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B3387" w14:textId="2D7587F2" w:rsidR="008C3868" w:rsidRPr="00AE5A51" w:rsidRDefault="008C3868" w:rsidP="00040326">
      <w:pPr>
        <w:spacing w:line="48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E5A51">
        <w:rPr>
          <w:rFonts w:ascii="Arial" w:eastAsia="DengXian" w:hAnsi="Arial" w:cs="Arial"/>
          <w:b/>
          <w:bCs/>
          <w:color w:val="000000"/>
          <w:kern w:val="32"/>
          <w:sz w:val="32"/>
          <w:szCs w:val="32"/>
          <w:lang w:eastAsia="en-US"/>
        </w:rPr>
        <w:t>Materials</w:t>
      </w:r>
    </w:p>
    <w:p w14:paraId="230EDADB" w14:textId="486A9BFB" w:rsidR="008C3868" w:rsidRPr="00AE5A51" w:rsidRDefault="00991E80" w:rsidP="00040326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AE5A51">
        <w:rPr>
          <w:rFonts w:ascii="Arial" w:hAnsi="Arial" w:cs="Arial"/>
          <w:color w:val="000000"/>
          <w:sz w:val="20"/>
          <w:szCs w:val="20"/>
        </w:rPr>
        <w:t>C</w:t>
      </w:r>
      <w:r w:rsidR="008C3868" w:rsidRPr="00AE5A51">
        <w:rPr>
          <w:rFonts w:ascii="Arial" w:hAnsi="Arial" w:cs="Arial"/>
          <w:color w:val="000000"/>
          <w:sz w:val="20"/>
          <w:szCs w:val="20"/>
        </w:rPr>
        <w:t>etrimonium bromide (CTAB)</w:t>
      </w:r>
      <w:r w:rsidRPr="00AE5A51">
        <w:rPr>
          <w:rFonts w:ascii="Arial" w:hAnsi="Arial" w:cs="Arial"/>
          <w:color w:val="000000"/>
          <w:sz w:val="20"/>
          <w:szCs w:val="20"/>
        </w:rPr>
        <w:t>,</w:t>
      </w:r>
      <w:r w:rsidRPr="00AE5A51">
        <w:rPr>
          <w:rFonts w:ascii="Arial" w:eastAsia="DengXian" w:hAnsi="Arial" w:cs="Arial"/>
          <w:color w:val="000000"/>
          <w:kern w:val="0"/>
          <w:sz w:val="20"/>
          <w:szCs w:val="20"/>
          <w:lang w:eastAsia="ja-JP"/>
        </w:rPr>
        <w:t xml:space="preserve"> tetraethyl orthosilicate (TEOS), 3-aminopropyltriethoxysilane (APTES)</w:t>
      </w:r>
      <w:r w:rsidR="008C3868" w:rsidRPr="00AE5A51">
        <w:rPr>
          <w:rFonts w:ascii="Arial" w:hAnsi="Arial" w:cs="Arial"/>
          <w:color w:val="000000"/>
          <w:sz w:val="20"/>
          <w:szCs w:val="20"/>
        </w:rPr>
        <w:t xml:space="preserve"> were </w:t>
      </w:r>
      <w:r w:rsidRPr="00AE5A51">
        <w:rPr>
          <w:rFonts w:ascii="Arial" w:hAnsi="Arial" w:cs="Arial"/>
          <w:color w:val="000000"/>
          <w:sz w:val="20"/>
          <w:szCs w:val="20"/>
        </w:rPr>
        <w:t>bought</w:t>
      </w:r>
      <w:r w:rsidR="008C3868" w:rsidRPr="00AE5A51">
        <w:rPr>
          <w:rFonts w:ascii="Arial" w:hAnsi="Arial" w:cs="Arial"/>
          <w:color w:val="000000"/>
          <w:sz w:val="20"/>
          <w:szCs w:val="20"/>
        </w:rPr>
        <w:t xml:space="preserve"> from the Sigma-Aldrich Co. Other chemical </w:t>
      </w:r>
      <w:r w:rsidR="008A553F" w:rsidRPr="00AE5A51">
        <w:rPr>
          <w:rFonts w:ascii="Arial" w:hAnsi="Arial" w:cs="Arial"/>
          <w:color w:val="000000"/>
          <w:sz w:val="20"/>
          <w:szCs w:val="20"/>
        </w:rPr>
        <w:t xml:space="preserve">reagents </w:t>
      </w:r>
      <w:r w:rsidR="008C3868" w:rsidRPr="00AE5A51">
        <w:rPr>
          <w:rFonts w:ascii="Arial" w:hAnsi="Arial" w:cs="Arial"/>
          <w:color w:val="000000"/>
          <w:sz w:val="20"/>
          <w:szCs w:val="20"/>
        </w:rPr>
        <w:t xml:space="preserve">were </w:t>
      </w:r>
      <w:r w:rsidR="008A553F" w:rsidRPr="00AE5A51">
        <w:rPr>
          <w:rFonts w:ascii="Arial" w:hAnsi="Arial" w:cs="Arial"/>
          <w:color w:val="000000"/>
          <w:sz w:val="20"/>
          <w:szCs w:val="20"/>
        </w:rPr>
        <w:t>obtained</w:t>
      </w:r>
      <w:r w:rsidR="008C3868" w:rsidRPr="00AE5A51">
        <w:rPr>
          <w:rFonts w:ascii="Arial" w:hAnsi="Arial" w:cs="Arial"/>
          <w:color w:val="000000"/>
          <w:sz w:val="20"/>
          <w:szCs w:val="20"/>
        </w:rPr>
        <w:t xml:space="preserve"> from China National Pharmaceutical Group Corporation. Fetal bovine serum (FBS)</w:t>
      </w:r>
      <w:r w:rsidR="005A3D0A" w:rsidRPr="00AE5A51">
        <w:rPr>
          <w:rFonts w:ascii="Arial" w:hAnsi="Arial" w:cs="Arial"/>
          <w:color w:val="000000"/>
          <w:sz w:val="20"/>
          <w:szCs w:val="20"/>
        </w:rPr>
        <w:t xml:space="preserve">, </w:t>
      </w:r>
      <w:r w:rsidR="008C3868" w:rsidRPr="00AE5A51">
        <w:rPr>
          <w:rFonts w:ascii="Arial" w:hAnsi="Arial" w:cs="Arial"/>
          <w:color w:val="000000"/>
          <w:sz w:val="20"/>
          <w:szCs w:val="20"/>
        </w:rPr>
        <w:t>RPMI-1640 medium</w:t>
      </w:r>
      <w:r w:rsidR="005A3D0A" w:rsidRPr="00AE5A51">
        <w:rPr>
          <w:rFonts w:ascii="Arial" w:hAnsi="Arial" w:cs="Arial"/>
          <w:color w:val="000000"/>
          <w:sz w:val="20"/>
          <w:szCs w:val="20"/>
        </w:rPr>
        <w:t>, Dulbecco's modified Eagle's medium and Iscove's Modified Dulbecco medium</w:t>
      </w:r>
      <w:r w:rsidR="008C3868" w:rsidRPr="00AE5A51">
        <w:rPr>
          <w:rFonts w:ascii="Arial" w:hAnsi="Arial" w:cs="Arial"/>
          <w:color w:val="000000"/>
          <w:sz w:val="20"/>
          <w:szCs w:val="20"/>
        </w:rPr>
        <w:t xml:space="preserve"> were purchased from GIBCO. Diagnostic kits for complex IV activity assay</w:t>
      </w:r>
      <w:r w:rsidR="005A3D0A" w:rsidRPr="00AE5A51">
        <w:rPr>
          <w:rFonts w:ascii="Arial" w:hAnsi="Arial" w:cs="Arial"/>
          <w:color w:val="000000"/>
          <w:sz w:val="20"/>
          <w:szCs w:val="20"/>
        </w:rPr>
        <w:t xml:space="preserve"> including</w:t>
      </w:r>
      <w:r w:rsidR="008C3868" w:rsidRPr="00AE5A51">
        <w:rPr>
          <w:rFonts w:ascii="Arial" w:hAnsi="Arial" w:cs="Arial"/>
          <w:color w:val="000000"/>
          <w:sz w:val="20"/>
          <w:szCs w:val="20"/>
        </w:rPr>
        <w:t xml:space="preserve"> </w:t>
      </w:r>
      <w:r w:rsidR="005A3D0A" w:rsidRPr="00AE5A51">
        <w:rPr>
          <w:rFonts w:ascii="Arial" w:hAnsi="Arial" w:cs="Arial"/>
          <w:color w:val="000000"/>
          <w:sz w:val="20"/>
          <w:szCs w:val="20"/>
        </w:rPr>
        <w:t>Alkaline phosphatase (ALP), alanine transaminase (ALT), aspartate transaminase (AST), blood urea nitrogen (BUN), and creatinine (CRE)</w:t>
      </w:r>
      <w:r w:rsidR="008C3868" w:rsidRPr="00AE5A51">
        <w:rPr>
          <w:rFonts w:ascii="Arial" w:hAnsi="Arial" w:cs="Arial"/>
          <w:color w:val="000000"/>
          <w:sz w:val="20"/>
          <w:szCs w:val="20"/>
        </w:rPr>
        <w:t xml:space="preserve"> were </w:t>
      </w:r>
      <w:r w:rsidR="005A3D0A" w:rsidRPr="00AE5A51">
        <w:rPr>
          <w:rFonts w:ascii="Arial" w:hAnsi="Arial" w:cs="Arial"/>
          <w:color w:val="000000"/>
          <w:sz w:val="20"/>
          <w:szCs w:val="20"/>
        </w:rPr>
        <w:t>bought</w:t>
      </w:r>
      <w:r w:rsidR="008C3868" w:rsidRPr="00AE5A51">
        <w:rPr>
          <w:rFonts w:ascii="Arial" w:hAnsi="Arial" w:cs="Arial"/>
          <w:color w:val="000000"/>
          <w:sz w:val="20"/>
          <w:szCs w:val="20"/>
        </w:rPr>
        <w:t xml:space="preserve"> from Nanjing Sheng Gong Bioengineering Company.</w:t>
      </w:r>
    </w:p>
    <w:p w14:paraId="6CD70F4F" w14:textId="77777777" w:rsidR="00645CCD" w:rsidRPr="00AE5A51" w:rsidRDefault="00645CCD" w:rsidP="00040326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</w:p>
    <w:p w14:paraId="1EAE2E8D" w14:textId="628142B0" w:rsidR="009F4FB9" w:rsidRPr="00AE5A51" w:rsidRDefault="009F4FB9" w:rsidP="00040326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bookmarkStart w:id="0" w:name="_Hlk147910777"/>
      <w:r w:rsidRPr="00AE5A51">
        <w:rPr>
          <w:rFonts w:ascii="Arial" w:hAnsi="Arial" w:cs="Arial"/>
          <w:color w:val="000000"/>
          <w:sz w:val="20"/>
          <w:szCs w:val="20"/>
        </w:rPr>
        <w:drawing>
          <wp:inline distT="0" distB="0" distL="0" distR="0" wp14:anchorId="37116CE8" wp14:editId="7AACFF9C">
            <wp:extent cx="5148000" cy="2029598"/>
            <wp:effectExtent l="0" t="0" r="0" b="8890"/>
            <wp:docPr id="8779967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0" cy="20295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3B436B" w14:textId="54EACA1D" w:rsidR="009F4FB9" w:rsidRPr="00AE5A51" w:rsidRDefault="00986B70" w:rsidP="00040326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bookmarkStart w:id="1" w:name="_Hlk147910804"/>
      <w:r w:rsidRPr="00AE5A51">
        <w:rPr>
          <w:rFonts w:ascii="Arial" w:hAnsi="Arial" w:cs="Arial"/>
          <w:b/>
          <w:bCs/>
          <w:color w:val="000000"/>
          <w:sz w:val="20"/>
          <w:szCs w:val="20"/>
        </w:rPr>
        <w:t>Figure S1.</w:t>
      </w:r>
      <w:r w:rsidRPr="00AE5A51">
        <w:rPr>
          <w:rFonts w:ascii="Arial" w:hAnsi="Arial" w:cs="Arial"/>
          <w:color w:val="000000"/>
          <w:sz w:val="20"/>
          <w:szCs w:val="20"/>
        </w:rPr>
        <w:t xml:space="preserve"> Characterization of </w:t>
      </w:r>
      <w:bookmarkStart w:id="2" w:name="_Hlk147910683"/>
      <w:r w:rsidRPr="00AE5A51">
        <w:rPr>
          <w:rFonts w:ascii="Arial" w:hAnsi="Arial" w:cs="Arial"/>
          <w:color w:val="000000"/>
          <w:sz w:val="20"/>
          <w:szCs w:val="20"/>
        </w:rPr>
        <w:t>MSNs@RA/GA</w:t>
      </w:r>
      <w:bookmarkEnd w:id="2"/>
      <w:r w:rsidRPr="00AE5A51">
        <w:rPr>
          <w:rFonts w:ascii="Arial" w:hAnsi="Arial" w:cs="Arial"/>
          <w:color w:val="000000"/>
          <w:sz w:val="20"/>
          <w:szCs w:val="20"/>
        </w:rPr>
        <w:t>. (A) TEM image of MSNs@RA/GA, the scale bar = 100 nm. (B)</w:t>
      </w:r>
      <w:r w:rsidRPr="00AE5A51">
        <w:rPr>
          <w:color w:val="000000"/>
        </w:rPr>
        <w:t xml:space="preserve"> </w:t>
      </w:r>
      <w:r w:rsidRPr="00AE5A51">
        <w:rPr>
          <w:rFonts w:ascii="Arial" w:hAnsi="Arial" w:cs="Arial"/>
          <w:color w:val="000000"/>
          <w:sz w:val="20"/>
          <w:szCs w:val="20"/>
        </w:rPr>
        <w:t>Pore size distribution of MSNs@RA/GA.</w:t>
      </w:r>
    </w:p>
    <w:bookmarkEnd w:id="0"/>
    <w:bookmarkEnd w:id="1"/>
    <w:p w14:paraId="556550AE" w14:textId="77777777" w:rsidR="009F4FB9" w:rsidRPr="00AE5A51" w:rsidRDefault="009F4FB9" w:rsidP="00040326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</w:p>
    <w:p w14:paraId="1DD75806" w14:textId="77777777" w:rsidR="009F4FB9" w:rsidRPr="00AE5A51" w:rsidRDefault="009F4FB9" w:rsidP="00040326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</w:p>
    <w:p w14:paraId="0C0CD584" w14:textId="478C255C" w:rsidR="00645CCD" w:rsidRPr="00AE5A51" w:rsidRDefault="00FA3649" w:rsidP="00040326">
      <w:pPr>
        <w:spacing w:line="48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E5A51">
        <w:rPr>
          <w:rFonts w:ascii="Arial" w:hAnsi="Arial" w:cs="Arial"/>
          <w:color w:val="000000"/>
          <w:sz w:val="20"/>
          <w:szCs w:val="20"/>
        </w:rPr>
        <w:lastRenderedPageBreak/>
        <w:drawing>
          <wp:inline distT="0" distB="0" distL="0" distR="0" wp14:anchorId="1DBFCB0F" wp14:editId="1CCBC911">
            <wp:extent cx="5040000" cy="1360870"/>
            <wp:effectExtent l="0" t="0" r="8255" b="0"/>
            <wp:docPr id="13427500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1360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1DFB80" w14:textId="7D4BF075" w:rsidR="00645CCD" w:rsidRPr="00AE5A51" w:rsidRDefault="003A7718" w:rsidP="00040326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AE5A51">
        <w:rPr>
          <w:rFonts w:ascii="Arial" w:hAnsi="Arial" w:cs="Arial"/>
          <w:b/>
          <w:bCs/>
          <w:color w:val="000000"/>
          <w:sz w:val="20"/>
          <w:szCs w:val="20"/>
        </w:rPr>
        <w:t xml:space="preserve">Figure </w:t>
      </w:r>
      <w:r w:rsidR="008F5AEF" w:rsidRPr="00AE5A51">
        <w:rPr>
          <w:rFonts w:ascii="Arial" w:hAnsi="Arial" w:cs="Arial"/>
          <w:b/>
          <w:bCs/>
          <w:color w:val="000000"/>
          <w:sz w:val="20"/>
          <w:szCs w:val="20"/>
        </w:rPr>
        <w:t>S2</w:t>
      </w:r>
      <w:r w:rsidRPr="00AE5A51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Pr="00AE5A51">
        <w:rPr>
          <w:rFonts w:ascii="Arial" w:hAnsi="Arial" w:cs="Arial"/>
          <w:color w:val="000000"/>
          <w:sz w:val="20"/>
          <w:szCs w:val="20"/>
        </w:rPr>
        <w:t xml:space="preserve"> Characterization and drug release of MSNs@Ce6. (A) TEM image of MSNs@Ce6, the scale bar = 100 nm. (B) Release profiles of MSNs@Ce6 at different pH, n = 3. Data are presented as mean ± SD.</w:t>
      </w:r>
      <w:r w:rsidR="00FA3649" w:rsidRPr="00AE5A51">
        <w:rPr>
          <w:rFonts w:ascii="Arial" w:hAnsi="Arial" w:cs="Arial"/>
          <w:color w:val="000000"/>
          <w:sz w:val="20"/>
          <w:szCs w:val="20"/>
        </w:rPr>
        <w:t xml:space="preserve"> (C) Average size of MSNs@Ce6 after stockage in deionized water and RPMI-1640 medium for 1, 3, 5 and 7 days, n = 3. Data are presented as mean ± SD.</w:t>
      </w:r>
    </w:p>
    <w:p w14:paraId="0EA77B28" w14:textId="77777777" w:rsidR="001B482A" w:rsidRPr="00AE5A51" w:rsidRDefault="001B482A" w:rsidP="00040326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</w:p>
    <w:p w14:paraId="2216EC79" w14:textId="77777777" w:rsidR="001B482A" w:rsidRPr="00AE5A51" w:rsidRDefault="001B482A" w:rsidP="00040326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</w:p>
    <w:p w14:paraId="4E2155E0" w14:textId="0012827E" w:rsidR="001B482A" w:rsidRPr="00AE5A51" w:rsidRDefault="00050178" w:rsidP="00040326">
      <w:pPr>
        <w:spacing w:line="48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E5A51">
        <w:rPr>
          <w:rFonts w:ascii="Arial" w:hAnsi="Arial" w:cs="Arial"/>
          <w:color w:val="000000"/>
          <w:sz w:val="20"/>
          <w:szCs w:val="20"/>
        </w:rPr>
        <w:drawing>
          <wp:inline distT="0" distB="0" distL="0" distR="0" wp14:anchorId="23A50F28" wp14:editId="70F575B7">
            <wp:extent cx="3593990" cy="2519656"/>
            <wp:effectExtent l="0" t="0" r="6985" b="0"/>
            <wp:docPr id="88428749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133"/>
                    <a:stretch/>
                  </pic:blipFill>
                  <pic:spPr bwMode="auto">
                    <a:xfrm>
                      <a:off x="0" y="0"/>
                      <a:ext cx="3594481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50BC35" w14:textId="6554B063" w:rsidR="001B482A" w:rsidRPr="00AE5A51" w:rsidRDefault="001B482A" w:rsidP="00040326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AE5A51">
        <w:rPr>
          <w:rFonts w:ascii="Arial" w:hAnsi="Arial" w:cs="Arial"/>
          <w:b/>
          <w:bCs/>
          <w:color w:val="000000"/>
          <w:sz w:val="20"/>
          <w:szCs w:val="20"/>
        </w:rPr>
        <w:t xml:space="preserve">Figure </w:t>
      </w:r>
      <w:r w:rsidR="008F5AEF" w:rsidRPr="00AE5A51">
        <w:rPr>
          <w:rFonts w:ascii="Arial" w:hAnsi="Arial" w:cs="Arial"/>
          <w:b/>
          <w:bCs/>
          <w:color w:val="000000"/>
          <w:sz w:val="20"/>
          <w:szCs w:val="20"/>
        </w:rPr>
        <w:t>S3</w:t>
      </w:r>
      <w:r w:rsidRPr="00AE5A51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Pr="00AE5A51">
        <w:rPr>
          <w:rFonts w:ascii="Arial" w:hAnsi="Arial" w:cs="Arial"/>
          <w:color w:val="000000"/>
          <w:sz w:val="20"/>
          <w:szCs w:val="20"/>
        </w:rPr>
        <w:t xml:space="preserve"> Cytotoxicity of MSNs@Ce6 at various concentration towards H22 cells at the absence of presence of the 660 nm laser irradiation,</w:t>
      </w:r>
      <w:r w:rsidR="00050178" w:rsidRPr="00AE5A51">
        <w:rPr>
          <w:rFonts w:ascii="Arial" w:hAnsi="Arial" w:cs="Arial"/>
          <w:color w:val="000000"/>
          <w:sz w:val="20"/>
          <w:szCs w:val="20"/>
        </w:rPr>
        <w:t xml:space="preserve"> n = 4. All the data are presented as mean ± SD.</w:t>
      </w:r>
    </w:p>
    <w:p w14:paraId="4716FEE5" w14:textId="77777777" w:rsidR="00050178" w:rsidRPr="00AE5A51" w:rsidRDefault="00050178" w:rsidP="00040326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</w:p>
    <w:p w14:paraId="457150BF" w14:textId="1EB29EBE" w:rsidR="00050178" w:rsidRPr="00AE5A51" w:rsidRDefault="00050178" w:rsidP="00040326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</w:p>
    <w:p w14:paraId="4580B38B" w14:textId="7574B123" w:rsidR="00A544E1" w:rsidRPr="00AE5A51" w:rsidRDefault="00A544E1" w:rsidP="00040326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</w:p>
    <w:p w14:paraId="18BC7D29" w14:textId="121A41AC" w:rsidR="00A544E1" w:rsidRPr="00AE5A51" w:rsidRDefault="00A544E1" w:rsidP="00040326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</w:p>
    <w:p w14:paraId="14562AAB" w14:textId="48AFAB07" w:rsidR="00A544E1" w:rsidRPr="00AE5A51" w:rsidRDefault="00A544E1" w:rsidP="00040326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</w:p>
    <w:p w14:paraId="1640FB45" w14:textId="55F443BB" w:rsidR="00A544E1" w:rsidRPr="00AE5A51" w:rsidRDefault="00A544E1" w:rsidP="00040326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</w:p>
    <w:p w14:paraId="16D74995" w14:textId="5C2E9B24" w:rsidR="00A544E1" w:rsidRPr="00AE5A51" w:rsidRDefault="00A544E1" w:rsidP="00040326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</w:p>
    <w:p w14:paraId="03028EE5" w14:textId="1430A05D" w:rsidR="00A544E1" w:rsidRPr="00AE5A51" w:rsidRDefault="00A544E1" w:rsidP="00040326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</w:p>
    <w:p w14:paraId="2884D9F8" w14:textId="0BAAC2D5" w:rsidR="00A544E1" w:rsidRPr="00AE5A51" w:rsidRDefault="00A544E1" w:rsidP="00040326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</w:p>
    <w:p w14:paraId="310120A6" w14:textId="77777777" w:rsidR="00A544E1" w:rsidRPr="00AE5A51" w:rsidRDefault="00A544E1" w:rsidP="00040326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</w:p>
    <w:p w14:paraId="7E6F2FE3" w14:textId="6562CA39" w:rsidR="00050178" w:rsidRPr="00AE5A51" w:rsidRDefault="00050178" w:rsidP="00040326">
      <w:pPr>
        <w:spacing w:line="48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E5A51">
        <w:rPr>
          <w:rFonts w:ascii="Arial" w:hAnsi="Arial" w:cs="Arial"/>
          <w:color w:val="000000"/>
          <w:sz w:val="20"/>
          <w:szCs w:val="20"/>
        </w:rPr>
        <w:drawing>
          <wp:inline distT="0" distB="0" distL="0" distR="0" wp14:anchorId="4398CB53" wp14:editId="556A2D90">
            <wp:extent cx="4225290" cy="2900680"/>
            <wp:effectExtent l="0" t="0" r="3810" b="0"/>
            <wp:docPr id="20603469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290" cy="290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DF44D" w14:textId="7CFFB7C7" w:rsidR="00050178" w:rsidRPr="00AE5A51" w:rsidRDefault="00050178" w:rsidP="00040326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AE5A51">
        <w:rPr>
          <w:rFonts w:ascii="Arial" w:hAnsi="Arial" w:cs="Arial"/>
          <w:b/>
          <w:bCs/>
          <w:color w:val="000000"/>
          <w:sz w:val="20"/>
          <w:szCs w:val="20"/>
        </w:rPr>
        <w:t xml:space="preserve">Figure </w:t>
      </w:r>
      <w:r w:rsidR="008F5AEF" w:rsidRPr="00AE5A51">
        <w:rPr>
          <w:rFonts w:ascii="Arial" w:hAnsi="Arial" w:cs="Arial"/>
          <w:b/>
          <w:bCs/>
          <w:color w:val="000000"/>
          <w:sz w:val="20"/>
          <w:szCs w:val="20"/>
        </w:rPr>
        <w:t>S4</w:t>
      </w:r>
      <w:r w:rsidRPr="00AE5A51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Pr="00AE5A51">
        <w:rPr>
          <w:rFonts w:ascii="Arial" w:hAnsi="Arial" w:cs="Arial"/>
          <w:color w:val="000000"/>
          <w:sz w:val="20"/>
          <w:szCs w:val="20"/>
        </w:rPr>
        <w:t xml:space="preserve"> The tumor accumulation of MSNs@Ce6 at predetermined time points in the mice pretreated with various formulations, n = 3. All the data are presented as mean ± SD.</w:t>
      </w:r>
    </w:p>
    <w:p w14:paraId="16FCDFB9" w14:textId="134E4DC9" w:rsidR="00050178" w:rsidRPr="00AE5A51" w:rsidRDefault="00050178" w:rsidP="00040326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</w:p>
    <w:p w14:paraId="3E0AC474" w14:textId="3E1F64F7" w:rsidR="00A544E1" w:rsidRPr="00AE5A51" w:rsidRDefault="00A544E1" w:rsidP="00040326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</w:p>
    <w:p w14:paraId="557134DE" w14:textId="7305FA05" w:rsidR="00A544E1" w:rsidRPr="00AE5A51" w:rsidRDefault="00A544E1" w:rsidP="00040326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</w:p>
    <w:p w14:paraId="475575B2" w14:textId="34910C73" w:rsidR="00A544E1" w:rsidRPr="00AE5A51" w:rsidRDefault="00A544E1" w:rsidP="00040326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</w:p>
    <w:p w14:paraId="3B976900" w14:textId="3AA3FAF2" w:rsidR="00A544E1" w:rsidRPr="00AE5A51" w:rsidRDefault="00A544E1" w:rsidP="00040326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</w:p>
    <w:p w14:paraId="3FDED681" w14:textId="62D7DC5E" w:rsidR="00A544E1" w:rsidRPr="00AE5A51" w:rsidRDefault="00A544E1" w:rsidP="00040326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</w:p>
    <w:p w14:paraId="0E2DE342" w14:textId="11741E0A" w:rsidR="00A544E1" w:rsidRPr="00AE5A51" w:rsidRDefault="00A544E1" w:rsidP="00040326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</w:p>
    <w:p w14:paraId="2EB12EEA" w14:textId="5E619335" w:rsidR="00A544E1" w:rsidRPr="00AE5A51" w:rsidRDefault="00A544E1" w:rsidP="00040326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</w:p>
    <w:p w14:paraId="60594E0A" w14:textId="5D13C427" w:rsidR="00A544E1" w:rsidRPr="00AE5A51" w:rsidRDefault="00A544E1" w:rsidP="00040326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</w:p>
    <w:p w14:paraId="5A58E2EF" w14:textId="1F06D1B4" w:rsidR="00A544E1" w:rsidRPr="00AE5A51" w:rsidRDefault="00A544E1" w:rsidP="00040326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</w:p>
    <w:p w14:paraId="63A7A8ED" w14:textId="77777777" w:rsidR="00A544E1" w:rsidRPr="00AE5A51" w:rsidRDefault="00A544E1" w:rsidP="00040326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</w:p>
    <w:p w14:paraId="606A7D1B" w14:textId="010A9B9E" w:rsidR="00050178" w:rsidRPr="00AE5A51" w:rsidRDefault="00145A0B" w:rsidP="00040326">
      <w:pPr>
        <w:spacing w:line="48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E5A51">
        <w:rPr>
          <w:rFonts w:ascii="Arial" w:hAnsi="Arial" w:cs="Arial"/>
          <w:color w:val="000000"/>
          <w:sz w:val="20"/>
          <w:szCs w:val="20"/>
        </w:rPr>
        <w:drawing>
          <wp:inline distT="0" distB="0" distL="0" distR="0" wp14:anchorId="1887EAE0" wp14:editId="5706354F">
            <wp:extent cx="5121567" cy="2376000"/>
            <wp:effectExtent l="0" t="0" r="0" b="0"/>
            <wp:docPr id="84024617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567" cy="237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3909C9" w14:textId="26AEFDDE" w:rsidR="00050178" w:rsidRPr="00AE5A51" w:rsidRDefault="00050178" w:rsidP="00040326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AE5A51">
        <w:rPr>
          <w:rFonts w:ascii="Arial" w:hAnsi="Arial" w:cs="Arial"/>
          <w:b/>
          <w:bCs/>
          <w:color w:val="000000"/>
          <w:sz w:val="20"/>
          <w:szCs w:val="20"/>
        </w:rPr>
        <w:t xml:space="preserve">Figure </w:t>
      </w:r>
      <w:r w:rsidR="00CB4F74" w:rsidRPr="00AE5A51">
        <w:rPr>
          <w:rFonts w:ascii="Arial" w:hAnsi="Arial" w:cs="Arial"/>
          <w:b/>
          <w:bCs/>
          <w:color w:val="000000"/>
          <w:sz w:val="20"/>
          <w:szCs w:val="20"/>
        </w:rPr>
        <w:t>S5</w:t>
      </w:r>
      <w:r w:rsidRPr="00AE5A51">
        <w:rPr>
          <w:rFonts w:ascii="Arial" w:hAnsi="Arial" w:cs="Arial"/>
          <w:color w:val="000000"/>
          <w:sz w:val="20"/>
          <w:szCs w:val="20"/>
        </w:rPr>
        <w:t>.</w:t>
      </w:r>
      <w:r w:rsidR="000A4CFF" w:rsidRPr="00AE5A51">
        <w:rPr>
          <w:rFonts w:ascii="Arial" w:hAnsi="Arial" w:cs="Arial"/>
          <w:color w:val="000000"/>
          <w:sz w:val="20"/>
          <w:szCs w:val="20"/>
        </w:rPr>
        <w:t xml:space="preserve"> Secretion of (</w:t>
      </w:r>
      <w:r w:rsidR="009923AB" w:rsidRPr="00AE5A51">
        <w:rPr>
          <w:rFonts w:ascii="Arial" w:hAnsi="Arial" w:cs="Arial"/>
          <w:color w:val="000000"/>
          <w:sz w:val="20"/>
          <w:szCs w:val="20"/>
        </w:rPr>
        <w:t>A</w:t>
      </w:r>
      <w:r w:rsidR="000A4CFF" w:rsidRPr="00AE5A51">
        <w:rPr>
          <w:rFonts w:ascii="Arial" w:hAnsi="Arial" w:cs="Arial"/>
          <w:color w:val="000000"/>
          <w:sz w:val="20"/>
          <w:szCs w:val="20"/>
        </w:rPr>
        <w:t>) TNF-α and (</w:t>
      </w:r>
      <w:r w:rsidR="009923AB" w:rsidRPr="00AE5A51">
        <w:rPr>
          <w:rFonts w:ascii="Arial" w:hAnsi="Arial" w:cs="Arial"/>
          <w:color w:val="000000"/>
          <w:sz w:val="20"/>
          <w:szCs w:val="20"/>
        </w:rPr>
        <w:t>B</w:t>
      </w:r>
      <w:r w:rsidR="000A4CFF" w:rsidRPr="00AE5A51">
        <w:rPr>
          <w:rFonts w:ascii="Arial" w:hAnsi="Arial" w:cs="Arial"/>
          <w:color w:val="000000"/>
          <w:sz w:val="20"/>
          <w:szCs w:val="20"/>
        </w:rPr>
        <w:t xml:space="preserve">) IFN-γ in the serum after various </w:t>
      </w:r>
      <w:r w:rsidR="009923AB" w:rsidRPr="00AE5A51">
        <w:rPr>
          <w:rFonts w:ascii="Arial" w:hAnsi="Arial" w:cs="Arial"/>
          <w:color w:val="000000"/>
          <w:sz w:val="20"/>
          <w:szCs w:val="20"/>
        </w:rPr>
        <w:t>treatments, n = 3. All the data are presented as mean ± SD. **P &lt; 0.01.</w:t>
      </w:r>
    </w:p>
    <w:sectPr w:rsidR="00050178" w:rsidRPr="00AE5A51">
      <w:footerReference w:type="even" r:id="rId11"/>
      <w:footerReference w:type="defaul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0AA00" w14:textId="77777777" w:rsidR="00B67810" w:rsidRDefault="00B67810" w:rsidP="00B3711D">
      <w:r>
        <w:separator/>
      </w:r>
    </w:p>
  </w:endnote>
  <w:endnote w:type="continuationSeparator" w:id="0">
    <w:p w14:paraId="7EB1F846" w14:textId="77777777" w:rsidR="00B67810" w:rsidRDefault="00B67810" w:rsidP="00B37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3E066" w14:textId="5AA5048E" w:rsidR="00590513" w:rsidRDefault="0059051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7ACA0F8" wp14:editId="2C1714B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09760584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088DF5" w14:textId="6D3AB682" w:rsidR="00590513" w:rsidRPr="00590513" w:rsidRDefault="00590513" w:rsidP="0059051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9051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ACA0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12088DF5" w14:textId="6D3AB682" w:rsidR="00590513" w:rsidRPr="00590513" w:rsidRDefault="00590513" w:rsidP="0059051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9051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FB70C" w14:textId="7A3CF080" w:rsidR="00590513" w:rsidRDefault="0059051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E36393" wp14:editId="1A3AA630">
              <wp:simplePos x="1143000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9305497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57124C" w14:textId="0265BAA4" w:rsidR="00590513" w:rsidRPr="00590513" w:rsidRDefault="00590513" w:rsidP="0059051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9051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363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1757124C" w14:textId="0265BAA4" w:rsidR="00590513" w:rsidRPr="00590513" w:rsidRDefault="00590513" w:rsidP="0059051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9051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086B5" w14:textId="35132A43" w:rsidR="00590513" w:rsidRDefault="0059051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B4911CD" wp14:editId="4EB2B8F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4175685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43B36C" w14:textId="174707C2" w:rsidR="00590513" w:rsidRPr="00590513" w:rsidRDefault="00590513" w:rsidP="0059051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9051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4911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4343B36C" w14:textId="174707C2" w:rsidR="00590513" w:rsidRPr="00590513" w:rsidRDefault="00590513" w:rsidP="0059051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9051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EBA54" w14:textId="77777777" w:rsidR="00B67810" w:rsidRDefault="00B67810" w:rsidP="00B3711D">
      <w:r>
        <w:separator/>
      </w:r>
    </w:p>
  </w:footnote>
  <w:footnote w:type="continuationSeparator" w:id="0">
    <w:p w14:paraId="783FA801" w14:textId="77777777" w:rsidR="00B67810" w:rsidRDefault="00B67810" w:rsidP="00B37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967"/>
    <w:rsid w:val="00040326"/>
    <w:rsid w:val="00050178"/>
    <w:rsid w:val="000A4CFF"/>
    <w:rsid w:val="000E45B2"/>
    <w:rsid w:val="001420A4"/>
    <w:rsid w:val="00145A0B"/>
    <w:rsid w:val="0015071B"/>
    <w:rsid w:val="001707E1"/>
    <w:rsid w:val="00173841"/>
    <w:rsid w:val="001B482A"/>
    <w:rsid w:val="001D0244"/>
    <w:rsid w:val="001E1E0F"/>
    <w:rsid w:val="002345C6"/>
    <w:rsid w:val="002649F8"/>
    <w:rsid w:val="0026691C"/>
    <w:rsid w:val="0027538A"/>
    <w:rsid w:val="002B3622"/>
    <w:rsid w:val="002C629A"/>
    <w:rsid w:val="002D1C5B"/>
    <w:rsid w:val="002E703D"/>
    <w:rsid w:val="002F5310"/>
    <w:rsid w:val="00380A78"/>
    <w:rsid w:val="003A4C92"/>
    <w:rsid w:val="003A7718"/>
    <w:rsid w:val="0040436A"/>
    <w:rsid w:val="00444E62"/>
    <w:rsid w:val="00470E6E"/>
    <w:rsid w:val="004773CC"/>
    <w:rsid w:val="004D591E"/>
    <w:rsid w:val="00532C3D"/>
    <w:rsid w:val="0054017C"/>
    <w:rsid w:val="00590513"/>
    <w:rsid w:val="005A3D0A"/>
    <w:rsid w:val="005B0D55"/>
    <w:rsid w:val="00645CCD"/>
    <w:rsid w:val="006863A3"/>
    <w:rsid w:val="006F04C8"/>
    <w:rsid w:val="006F29C3"/>
    <w:rsid w:val="007129A7"/>
    <w:rsid w:val="007A45A2"/>
    <w:rsid w:val="007B2751"/>
    <w:rsid w:val="007D75D8"/>
    <w:rsid w:val="00887407"/>
    <w:rsid w:val="008A553F"/>
    <w:rsid w:val="008C3868"/>
    <w:rsid w:val="008F5AEF"/>
    <w:rsid w:val="008F7B2A"/>
    <w:rsid w:val="00986B70"/>
    <w:rsid w:val="00991E80"/>
    <w:rsid w:val="009923AB"/>
    <w:rsid w:val="009E5EA9"/>
    <w:rsid w:val="009F4FB9"/>
    <w:rsid w:val="00A21C52"/>
    <w:rsid w:val="00A25EAE"/>
    <w:rsid w:val="00A417AE"/>
    <w:rsid w:val="00A544E1"/>
    <w:rsid w:val="00A9671D"/>
    <w:rsid w:val="00AA2A09"/>
    <w:rsid w:val="00AE5A51"/>
    <w:rsid w:val="00AF16D0"/>
    <w:rsid w:val="00B3702A"/>
    <w:rsid w:val="00B3711D"/>
    <w:rsid w:val="00B4023D"/>
    <w:rsid w:val="00B67810"/>
    <w:rsid w:val="00B701D3"/>
    <w:rsid w:val="00B806CD"/>
    <w:rsid w:val="00C01EAC"/>
    <w:rsid w:val="00C236A6"/>
    <w:rsid w:val="00C57EC6"/>
    <w:rsid w:val="00C65291"/>
    <w:rsid w:val="00C72045"/>
    <w:rsid w:val="00CB4F74"/>
    <w:rsid w:val="00CC6347"/>
    <w:rsid w:val="00CC7B94"/>
    <w:rsid w:val="00D16108"/>
    <w:rsid w:val="00D47831"/>
    <w:rsid w:val="00D62B79"/>
    <w:rsid w:val="00D93DB2"/>
    <w:rsid w:val="00DA38D8"/>
    <w:rsid w:val="00DB530C"/>
    <w:rsid w:val="00E1467A"/>
    <w:rsid w:val="00E27F3B"/>
    <w:rsid w:val="00F3329B"/>
    <w:rsid w:val="00FA3649"/>
    <w:rsid w:val="00FA7967"/>
    <w:rsid w:val="00FB3BF5"/>
    <w:rsid w:val="00FB7080"/>
    <w:rsid w:val="00FE1A46"/>
    <w:rsid w:val="00FE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A07979"/>
  <w15:chartTrackingRefBased/>
  <w15:docId w15:val="{D2AA24AD-48F9-41B6-ABB2-527F2E23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711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3711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371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3711D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3711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38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38A"/>
    <w:rPr>
      <w:sz w:val="18"/>
      <w:szCs w:val="18"/>
    </w:rPr>
  </w:style>
  <w:style w:type="paragraph" w:styleId="Revision">
    <w:name w:val="Revision"/>
    <w:hidden/>
    <w:uiPriority w:val="99"/>
    <w:semiHidden/>
    <w:rsid w:val="00FA3649"/>
  </w:style>
  <w:style w:type="paragraph" w:styleId="CommentText">
    <w:name w:val="annotation text"/>
    <w:basedOn w:val="Normal"/>
    <w:link w:val="CommentTextChar"/>
    <w:uiPriority w:val="99"/>
    <w:semiHidden/>
    <w:unhideWhenUsed/>
    <w:rsid w:val="00C72045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2045"/>
  </w:style>
  <w:style w:type="character" w:styleId="CommentReference">
    <w:name w:val="annotation reference"/>
    <w:basedOn w:val="DefaultParagraphFont"/>
    <w:uiPriority w:val="99"/>
    <w:semiHidden/>
    <w:unhideWhenUsed/>
    <w:rsid w:val="00C7204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wangz@sibet.ac.cn</dc:creator>
  <cp:keywords/>
  <dc:description/>
  <cp:lastModifiedBy>Spence, Oliver</cp:lastModifiedBy>
  <cp:revision>2</cp:revision>
  <dcterms:created xsi:type="dcterms:W3CDTF">2023-10-19T22:07:00Z</dcterms:created>
  <dcterms:modified xsi:type="dcterms:W3CDTF">2023-10-19T22:07:00Z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1a54acb8,7d06ecd7,58be7fd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2023-10-19T22:07:58Z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ce8ff81e-a6e1-49d2-b78c-e5856b21270a</vt:lpwstr>
  </property>
  <property fmtid="{D5CDD505-2E9C-101B-9397-08002B2CF9AE}" pid="11" name="MSIP_Label_2bbab825-a111-45e4-86a1-18cee0005896_ContentBits">
    <vt:lpwstr>2</vt:lpwstr>
  </property>
</Properties>
</file>