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240"/>
        <w:ind w:left="0"/>
        <w:rPr>
          <w:rFonts w:cstheme="minorHAnsi"/>
          <w:b w:val="0"/>
          <w:bCs w:val="0"/>
          <w:color w:val="auto"/>
          <w:szCs w:val="18"/>
          <w:lang w:bidi="ar"/>
        </w:rPr>
      </w:pPr>
      <w:r>
        <w:rPr>
          <w:rFonts w:ascii="Times New Roman" w:hAnsi="Times New Roman"/>
          <w:b w:val="0"/>
          <w:bCs w:val="0"/>
          <w:color w:val="auto"/>
          <w:szCs w:val="18"/>
        </w:rPr>
        <w:t>Table S1.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Fonts w:cstheme="minorHAnsi"/>
          <w:b w:val="0"/>
          <w:bCs w:val="0"/>
          <w:color w:val="auto"/>
          <w:szCs w:val="18"/>
          <w:lang w:bidi="ar"/>
        </w:rPr>
        <w:t xml:space="preserve">MK, MKT and CBF values between </w:t>
      </w:r>
      <w:r>
        <w:rPr>
          <w:b w:val="0"/>
          <w:bCs w:val="0"/>
          <w:color w:val="auto"/>
        </w:rPr>
        <w:t>patients with non-NPSLE</w:t>
      </w:r>
      <w:r>
        <w:rPr>
          <w:rFonts w:cstheme="minorHAnsi"/>
          <w:b w:val="0"/>
          <w:bCs w:val="0"/>
          <w:color w:val="auto"/>
          <w:szCs w:val="18"/>
          <w:lang w:bidi="ar"/>
        </w:rPr>
        <w:t xml:space="preserve"> and the healthy controls in all ROIs.</w:t>
      </w:r>
    </w:p>
    <w:tbl>
      <w:tblPr>
        <w:tblStyle w:val="4"/>
        <w:tblW w:w="13750" w:type="dxa"/>
        <w:tblInd w:w="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698"/>
        <w:gridCol w:w="1443"/>
        <w:gridCol w:w="1253"/>
        <w:gridCol w:w="871"/>
        <w:gridCol w:w="275"/>
        <w:gridCol w:w="1408"/>
        <w:gridCol w:w="1355"/>
        <w:gridCol w:w="746"/>
        <w:gridCol w:w="417"/>
        <w:gridCol w:w="1195"/>
        <w:gridCol w:w="12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restart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</w:tcPr>
          <w:p>
            <w:pPr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Brain Region</w:t>
            </w:r>
          </w:p>
        </w:tc>
        <w:tc>
          <w:tcPr>
            <w:tcW w:w="2696" w:type="dxa"/>
            <w:gridSpan w:val="2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540" w:firstLineChars="300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MK Mean</w:t>
            </w:r>
          </w:p>
        </w:tc>
        <w:tc>
          <w:tcPr>
            <w:tcW w:w="871" w:type="dxa"/>
            <w:vMerge w:val="restart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i/>
                <w:iCs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i/>
                <w:iCs/>
                <w:color w:val="auto"/>
                <w:kern w:val="0"/>
                <w:sz w:val="18"/>
                <w:szCs w:val="18"/>
              </w:rPr>
              <w:t>P</w:t>
            </w:r>
          </w:p>
        </w:tc>
        <w:tc>
          <w:tcPr>
            <w:tcW w:w="277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gridSpan w:val="2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MKT Mean</w:t>
            </w:r>
          </w:p>
        </w:tc>
        <w:tc>
          <w:tcPr>
            <w:tcW w:w="700" w:type="dxa"/>
            <w:vMerge w:val="restart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rPr>
                <w:rFonts w:ascii="Palatino Linotype" w:hAnsi="Palatino Linotype" w:eastAsia="等线"/>
                <w:b w:val="0"/>
                <w:bCs w:val="0"/>
                <w:i/>
                <w:iCs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i/>
                <w:iCs/>
                <w:color w:val="auto"/>
                <w:kern w:val="0"/>
                <w:sz w:val="18"/>
                <w:szCs w:val="18"/>
              </w:rPr>
              <w:t>P</w:t>
            </w:r>
          </w:p>
        </w:tc>
        <w:tc>
          <w:tcPr>
            <w:tcW w:w="423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59" w:type="dxa"/>
            <w:gridSpan w:val="2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CBF Mean </w:t>
            </w:r>
            <w:r>
              <w:rPr>
                <w:rFonts w:ascii="Palatino Linotype" w:hAnsi="Palatino Linotype" w:eastAsia="等线"/>
                <w:b w:val="0"/>
                <w:bCs w:val="0"/>
                <w:color w:val="auto"/>
                <w:sz w:val="18"/>
                <w:szCs w:val="18"/>
              </w:rPr>
              <w:t>[mL/100g/ min]</w:t>
            </w:r>
          </w:p>
        </w:tc>
        <w:tc>
          <w:tcPr>
            <w:tcW w:w="1002" w:type="dxa"/>
            <w:vMerge w:val="restart"/>
            <w:tcBorders>
              <w:top w:val="single" w:color="auto" w:sz="1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i/>
                <w:iCs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i/>
                <w:iCs/>
                <w:color w:val="auto"/>
                <w:kern w:val="0"/>
                <w:sz w:val="18"/>
                <w:szCs w:val="18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non-NPSLE</w:t>
            </w:r>
          </w:p>
        </w:tc>
        <w:tc>
          <w:tcPr>
            <w:tcW w:w="1253" w:type="dxa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HC</w:t>
            </w:r>
          </w:p>
        </w:tc>
        <w:tc>
          <w:tcPr>
            <w:tcW w:w="871" w:type="dxa"/>
            <w:vMerge w:val="continue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non-NPSLE</w:t>
            </w:r>
          </w:p>
        </w:tc>
        <w:tc>
          <w:tcPr>
            <w:tcW w:w="1364" w:type="dxa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HC</w:t>
            </w:r>
          </w:p>
        </w:tc>
        <w:tc>
          <w:tcPr>
            <w:tcW w:w="700" w:type="dxa"/>
            <w:vMerge w:val="continue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non-NPSLE</w:t>
            </w:r>
          </w:p>
        </w:tc>
        <w:tc>
          <w:tcPr>
            <w:tcW w:w="1263" w:type="dxa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HC</w:t>
            </w:r>
          </w:p>
        </w:tc>
        <w:tc>
          <w:tcPr>
            <w:tcW w:w="1002" w:type="dxa"/>
            <w:vMerge w:val="continue"/>
            <w:tcBorders>
              <w:top w:val="single" w:color="auto" w:sz="2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restart"/>
            <w:tcBorders>
              <w:top w:val="single" w:color="auto" w:sz="2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GM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L frontal 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0.98±0.05</w:t>
            </w: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ab/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1.00±0.04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0.041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0.97±0.06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ind w:firstLine="180" w:firstLineChars="100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1.0±0.04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0.070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44.76±9.82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46.08±9.50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>R frontal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0.98±0.06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0.99±0.06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0.709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0.99±0.06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0.99±0.06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0.945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45.62±7.35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45.79±9.21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L parietal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0.95±0.07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0.93±0.06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0.226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0.95±0.06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0.92±0.09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0.145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46.52±10.81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44.19±9.05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R parietal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0.94±0.06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0.92±0.08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0.262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0.94±0.05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0.93±0.06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0.601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45.65±8.13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44.07±10.15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L temporal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0.97±0.07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0.96±0.05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0.284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0.98±0.07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0.97±0.05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0.129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44.98±10.68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47.18±8.89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R temporal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0.97±0.06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0.97±0.05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0.850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180" w:firstLineChars="100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0.97±0.05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0.98±0.05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0.492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44.07±9.58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45.17±9.21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L occipital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0.98±0.07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0.98±0.07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0.925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0.99±0.06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0.99±0.07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0.825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45.68±9.91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47.5±8.47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  <w:bottom w:val="single" w:color="auto" w:sz="2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R occipital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0.99±0.06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0.99±0.07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0.902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0.97±0.05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1.00±0.08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0.102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49.39±9.84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45.91±9.18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5" w:type="dxa"/>
            <w:vMerge w:val="restart"/>
            <w:tcBorders>
              <w:top w:val="single" w:color="auto" w:sz="2" w:space="0"/>
              <w:left w:val="nil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deep GM</w:t>
            </w:r>
          </w:p>
        </w:tc>
        <w:tc>
          <w:tcPr>
            <w:tcW w:w="169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b w:val="0"/>
                <w:bCs w:val="0"/>
                <w:color w:val="auto"/>
                <w:sz w:val="18"/>
                <w:szCs w:val="18"/>
              </w:rPr>
              <w:t xml:space="preserve">L thalamus 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1.26±0.09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1.31±0.12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0.039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1.26±0.08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1.32±0.11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0.023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37.67±6.92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36.42±6.21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b w:val="0"/>
                <w:bCs w:val="0"/>
                <w:color w:val="auto"/>
                <w:sz w:val="18"/>
                <w:szCs w:val="18"/>
              </w:rPr>
              <w:t>R thalamus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1.24±0.09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1.30±0.11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0.036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1.24±0.09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1.34±0.12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0.0008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36.43±8.44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35.89±4.80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L caudate nucleus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1.17±0.10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1.18±0.07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0.732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1.18±0.08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1.17±0.07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0.665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43.36±8.18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43.4±7.42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>R caudate nucleus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1.18±0.09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1.18±0.07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0.771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1.17±0.09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1.17±0.08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0.960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41.43±7.67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43.45±10.11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L LN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1.26±0.11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1.36±0.12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0.0028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1.29±0.11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1.35±0.12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0.044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35.42±5.58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37.26±4.60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left w:val="nil"/>
              <w:bottom w:val="single" w:color="auto" w:sz="2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>R LN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1.26±0.10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1.36±0.12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0.003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1.27±0.10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1.36±0.13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0.007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37.50±6.45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37.56±6.41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restart"/>
            <w:tcBorders>
              <w:top w:val="single" w:color="auto" w:sz="2" w:space="0"/>
              <w:left w:val="nil"/>
              <w:bottom w:val="inset" w:color="auto" w:sz="12" w:space="0"/>
            </w:tcBorders>
          </w:tcPr>
          <w:p>
            <w:pPr>
              <w:widowControl/>
              <w:jc w:val="center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WM</w:t>
            </w:r>
          </w:p>
        </w:tc>
        <w:tc>
          <w:tcPr>
            <w:tcW w:w="1698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b w:val="0"/>
                <w:bCs w:val="0"/>
                <w:color w:val="auto"/>
                <w:sz w:val="18"/>
                <w:szCs w:val="18"/>
              </w:rPr>
              <w:t xml:space="preserve">SCC  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1.45±0.14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1.59±0.18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0.002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1.28±0.10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1.26±0.08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0.332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38.03±8.43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39.42±6.84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inset" w:color="auto" w:sz="12" w:space="0"/>
              <w:left w:val="nil"/>
              <w:bottom w:val="inset" w:color="auto" w:sz="12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L SOC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1.50±0.11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1.57±0.07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0.028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1.43±0.09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1.50±0.05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0.007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25.92±6.33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23.11±4.25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inset" w:color="auto" w:sz="12" w:space="0"/>
              <w:left w:val="nil"/>
              <w:bottom w:val="inset" w:color="auto" w:sz="12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>R SOC</w:t>
            </w:r>
            <w:r>
              <w:rPr>
                <w:rFonts w:ascii="Palatino Linotype" w:hAnsi="Palatino Linotype" w:cs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1.52±0.10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1.59±0.06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0.023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1.47±0.09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1.55±0.05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26.34±6.36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22.56±4.51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inset" w:color="auto" w:sz="12" w:space="0"/>
              <w:left w:val="nil"/>
              <w:bottom w:val="inset" w:color="auto" w:sz="12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L frontal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1.37±0.13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1.47±0.08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0.002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1.37±0.14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1.46±0.10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29.14±6.98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29.37±5.23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inset" w:color="auto" w:sz="12" w:space="0"/>
              <w:left w:val="nil"/>
              <w:bottom w:val="inset" w:color="auto" w:sz="12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>R frontal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1.36±0.13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1.43±0.09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0.050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1.39±0.13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1.45±0.11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0.098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31.40±7.78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31.74±6.75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inset" w:color="auto" w:sz="12" w:space="0"/>
              <w:left w:val="nil"/>
              <w:bottom w:val="nil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>L parietal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1.46±0.14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1.51±0.12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0.174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1.36±0.12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1.41±0.09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0.063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33.73±6.35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33.49±5.00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R parietal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1.44±0.12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1.49±0.10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0.093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1.37±0.10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1.42±0.09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0.091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32.89±5.69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29.77±5.13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nil"/>
              <w:left w:val="nil"/>
              <w:bottom w:val="inset" w:color="auto" w:sz="12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left w:val="single" w:color="auto" w:sz="2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L temporal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1.35±0.13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1.42±0.06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0.054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1.32±0.10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1.38±0.08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0.049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30.91±6.07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31.13±5.82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inset" w:color="auto" w:sz="12" w:space="0"/>
              <w:left w:val="nil"/>
              <w:bottom w:val="inset" w:color="auto" w:sz="12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R temporal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1.36±0.13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1.44±0.09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0.021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1.36±0.12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1.38±0.07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0.726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29.85±7.36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30.44±6.66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inset" w:color="auto" w:sz="12" w:space="0"/>
              <w:left w:val="nil"/>
              <w:bottom w:val="inset" w:color="auto" w:sz="12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L occipital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1.40±0.11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1.41±0.07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0.720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1.35±0.11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1.40±0.07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0.011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30.48±6.45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28.43±6.72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45" w:type="dxa"/>
            <w:vMerge w:val="continue"/>
            <w:tcBorders>
              <w:top w:val="inset" w:color="auto" w:sz="12" w:space="0"/>
              <w:left w:val="nil"/>
              <w:bottom w:val="inset" w:color="auto" w:sz="12" w:space="0"/>
            </w:tcBorders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 w:cs="Times New Roman"/>
                <w:b w:val="0"/>
                <w:bCs w:val="0"/>
                <w:color w:val="auto"/>
                <w:sz w:val="18"/>
                <w:szCs w:val="18"/>
              </w:rPr>
              <w:t xml:space="preserve">R occipital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1.39±0.10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1.44±0.06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0.012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1.36±0.10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1.41±0.06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0.109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28.89±8.18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28.19±6.43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jc w:val="center"/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Palatino Linotype" w:hAnsi="Palatino Linotype" w:eastAsia="等线"/>
                <w:b w:val="0"/>
                <w:bCs w:val="0"/>
                <w:color w:val="auto"/>
                <w:kern w:val="0"/>
                <w:sz w:val="18"/>
                <w:szCs w:val="18"/>
              </w:rPr>
              <w:t>0.739</w:t>
            </w:r>
          </w:p>
        </w:tc>
      </w:tr>
    </w:tbl>
    <w:p>
      <w:pPr>
        <w:widowControl/>
        <w:rPr>
          <w:rFonts w:ascii="Times New Roman" w:hAnsi="Times New Roman"/>
          <w:b w:val="0"/>
          <w:bCs w:val="0"/>
          <w:color w:val="auto"/>
        </w:rPr>
      </w:pPr>
    </w:p>
    <w:p>
      <w:pPr>
        <w:widowControl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GM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, gray matter; 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WM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, white matter; 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MK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, mean kurtosis; 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MKT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, mean kurtosis tensor;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 CBF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,</w:t>
      </w:r>
      <w:r>
        <w:rPr>
          <w:rStyle w:val="8"/>
          <w:rFonts w:hint="default" w:ascii="Times New Roman" w:hAnsi="Times New Roman"/>
          <w:b w:val="0"/>
          <w:bCs w:val="0"/>
          <w:color w:val="auto"/>
        </w:rPr>
        <w:t xml:space="preserve"> cerebral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 blood flow</w:t>
      </w:r>
      <w:r>
        <w:rPr>
          <w:rFonts w:hint="eastAsia" w:ascii="Times New Roman" w:hAnsi="Times New Roman"/>
          <w:b w:val="0"/>
          <w:bCs w:val="0"/>
          <w:color w:val="auto"/>
          <w:sz w:val="18"/>
          <w:szCs w:val="18"/>
        </w:rPr>
        <w:t>；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SOC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,</w:t>
      </w:r>
      <w:r>
        <w:rPr>
          <w:rFonts w:ascii="Times New Roman" w:hAnsi="Times New Roman"/>
          <w:b w:val="0"/>
          <w:bCs w:val="0"/>
          <w:color w:val="auto"/>
          <w:szCs w:val="2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semioval centre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; 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LN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, lenticular nucleus; 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SCC</w:t>
      </w:r>
      <w:r>
        <w:rPr>
          <w:rFonts w:ascii="Times New Roman" w:hAnsi="Times New Roman"/>
          <w:b w:val="0"/>
          <w:bCs w:val="0"/>
          <w:color w:val="auto"/>
          <w:sz w:val="18"/>
          <w:szCs w:val="18"/>
        </w:rPr>
        <w:t>, splenium of corpus callosum. L/R, left/right; Student t test and Wilcox test were used to compare the mean between two groups. P-value less than 0.05 was considered significant.</w:t>
      </w:r>
    </w:p>
    <w:p>
      <w:pPr>
        <w:rPr>
          <w:b w:val="0"/>
          <w:bCs w:val="0"/>
          <w:color w:val="auto"/>
        </w:rPr>
      </w:pPr>
    </w:p>
    <w:p>
      <w:pPr>
        <w:rPr>
          <w:b w:val="0"/>
          <w:bCs w:val="0"/>
          <w:color w:val="auto"/>
        </w:rPr>
      </w:pPr>
    </w:p>
    <w:p>
      <w:pPr>
        <w:rPr>
          <w:b w:val="0"/>
          <w:bCs w:val="0"/>
          <w:color w:val="auto"/>
        </w:rPr>
      </w:pPr>
    </w:p>
    <w:p>
      <w:pPr>
        <w:rPr>
          <w:b w:val="0"/>
          <w:bCs w:val="0"/>
          <w:color w:val="auto"/>
        </w:rPr>
      </w:pPr>
    </w:p>
    <w:p>
      <w:pPr>
        <w:rPr>
          <w:b w:val="0"/>
          <w:bCs w:val="0"/>
          <w:color w:val="auto"/>
        </w:rPr>
      </w:pPr>
      <w:bookmarkStart w:id="0" w:name="_GoBack"/>
      <w:bookmarkEnd w:id="0"/>
    </w:p>
    <w:p>
      <w:pPr>
        <w:rPr>
          <w:b w:val="0"/>
          <w:bCs w:val="0"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lZTQ1MzM1YmRkNDEwOGM3NGVhNDI5MGY4ZTFmYjQifQ=="/>
  </w:docVars>
  <w:rsids>
    <w:rsidRoot w:val="00733022"/>
    <w:rsid w:val="000069EE"/>
    <w:rsid w:val="00021704"/>
    <w:rsid w:val="0002586A"/>
    <w:rsid w:val="00041A82"/>
    <w:rsid w:val="000640AC"/>
    <w:rsid w:val="000706AD"/>
    <w:rsid w:val="00070B55"/>
    <w:rsid w:val="000A4BEB"/>
    <w:rsid w:val="000D2619"/>
    <w:rsid w:val="000D2884"/>
    <w:rsid w:val="000E54F6"/>
    <w:rsid w:val="001072DE"/>
    <w:rsid w:val="001240AA"/>
    <w:rsid w:val="001753C8"/>
    <w:rsid w:val="00186825"/>
    <w:rsid w:val="001A0B52"/>
    <w:rsid w:val="001B1D59"/>
    <w:rsid w:val="001C21C9"/>
    <w:rsid w:val="001C49D4"/>
    <w:rsid w:val="001D485B"/>
    <w:rsid w:val="001D586C"/>
    <w:rsid w:val="0023322E"/>
    <w:rsid w:val="00257E6A"/>
    <w:rsid w:val="00274658"/>
    <w:rsid w:val="00280A55"/>
    <w:rsid w:val="0028200E"/>
    <w:rsid w:val="002B104C"/>
    <w:rsid w:val="002C31E1"/>
    <w:rsid w:val="002C42DA"/>
    <w:rsid w:val="002C55D5"/>
    <w:rsid w:val="002D08E9"/>
    <w:rsid w:val="002D4142"/>
    <w:rsid w:val="002D7490"/>
    <w:rsid w:val="002F535D"/>
    <w:rsid w:val="002F5BAB"/>
    <w:rsid w:val="0030309A"/>
    <w:rsid w:val="00315420"/>
    <w:rsid w:val="003809DC"/>
    <w:rsid w:val="003B0AB6"/>
    <w:rsid w:val="003D54F8"/>
    <w:rsid w:val="0040738D"/>
    <w:rsid w:val="00407FEC"/>
    <w:rsid w:val="004111BC"/>
    <w:rsid w:val="00432C4D"/>
    <w:rsid w:val="0046088B"/>
    <w:rsid w:val="0046238F"/>
    <w:rsid w:val="004770AF"/>
    <w:rsid w:val="00495F96"/>
    <w:rsid w:val="004A3965"/>
    <w:rsid w:val="004A636D"/>
    <w:rsid w:val="004C6759"/>
    <w:rsid w:val="004D6846"/>
    <w:rsid w:val="00533E54"/>
    <w:rsid w:val="00541563"/>
    <w:rsid w:val="005425A3"/>
    <w:rsid w:val="005457D3"/>
    <w:rsid w:val="00590507"/>
    <w:rsid w:val="005A45D2"/>
    <w:rsid w:val="005A7706"/>
    <w:rsid w:val="00603B19"/>
    <w:rsid w:val="00650043"/>
    <w:rsid w:val="00650D2F"/>
    <w:rsid w:val="006609AD"/>
    <w:rsid w:val="0067334D"/>
    <w:rsid w:val="00675255"/>
    <w:rsid w:val="00696C27"/>
    <w:rsid w:val="006B0669"/>
    <w:rsid w:val="006B622B"/>
    <w:rsid w:val="006C4671"/>
    <w:rsid w:val="006E43BF"/>
    <w:rsid w:val="006F0A36"/>
    <w:rsid w:val="00713BBA"/>
    <w:rsid w:val="00716BF3"/>
    <w:rsid w:val="00721305"/>
    <w:rsid w:val="00721830"/>
    <w:rsid w:val="0072797F"/>
    <w:rsid w:val="00733022"/>
    <w:rsid w:val="007563DC"/>
    <w:rsid w:val="00766A6A"/>
    <w:rsid w:val="007A3949"/>
    <w:rsid w:val="007B1A36"/>
    <w:rsid w:val="007B66D0"/>
    <w:rsid w:val="007D6FA5"/>
    <w:rsid w:val="00802EDB"/>
    <w:rsid w:val="0081221B"/>
    <w:rsid w:val="00812251"/>
    <w:rsid w:val="008166A1"/>
    <w:rsid w:val="0084268D"/>
    <w:rsid w:val="008433FF"/>
    <w:rsid w:val="008526AE"/>
    <w:rsid w:val="008605E8"/>
    <w:rsid w:val="00864C7B"/>
    <w:rsid w:val="00871297"/>
    <w:rsid w:val="00872E53"/>
    <w:rsid w:val="00893E66"/>
    <w:rsid w:val="008964AC"/>
    <w:rsid w:val="008B349D"/>
    <w:rsid w:val="008C7D74"/>
    <w:rsid w:val="008D59BF"/>
    <w:rsid w:val="009121E0"/>
    <w:rsid w:val="0092082D"/>
    <w:rsid w:val="00923F13"/>
    <w:rsid w:val="0092686B"/>
    <w:rsid w:val="009739D4"/>
    <w:rsid w:val="009844F9"/>
    <w:rsid w:val="009A56B6"/>
    <w:rsid w:val="009B1EAC"/>
    <w:rsid w:val="00A069C0"/>
    <w:rsid w:val="00A10C41"/>
    <w:rsid w:val="00A15AE0"/>
    <w:rsid w:val="00A22E3A"/>
    <w:rsid w:val="00A24354"/>
    <w:rsid w:val="00A2532C"/>
    <w:rsid w:val="00A31ADB"/>
    <w:rsid w:val="00A63D10"/>
    <w:rsid w:val="00A7184F"/>
    <w:rsid w:val="00A810F7"/>
    <w:rsid w:val="00A9143F"/>
    <w:rsid w:val="00AA3F3F"/>
    <w:rsid w:val="00AB08BF"/>
    <w:rsid w:val="00AC6793"/>
    <w:rsid w:val="00AD5A80"/>
    <w:rsid w:val="00AD7C5B"/>
    <w:rsid w:val="00AE713A"/>
    <w:rsid w:val="00AF0AB3"/>
    <w:rsid w:val="00B11BAC"/>
    <w:rsid w:val="00B155B2"/>
    <w:rsid w:val="00B30D8A"/>
    <w:rsid w:val="00B43A62"/>
    <w:rsid w:val="00B55EAA"/>
    <w:rsid w:val="00BD0F32"/>
    <w:rsid w:val="00C007F3"/>
    <w:rsid w:val="00C15B43"/>
    <w:rsid w:val="00C32707"/>
    <w:rsid w:val="00C37294"/>
    <w:rsid w:val="00C50002"/>
    <w:rsid w:val="00C82BB9"/>
    <w:rsid w:val="00CA3ACD"/>
    <w:rsid w:val="00CA3E06"/>
    <w:rsid w:val="00CC5774"/>
    <w:rsid w:val="00CD2978"/>
    <w:rsid w:val="00CE619D"/>
    <w:rsid w:val="00CF2173"/>
    <w:rsid w:val="00D10985"/>
    <w:rsid w:val="00D10FDA"/>
    <w:rsid w:val="00D342E7"/>
    <w:rsid w:val="00D35BD0"/>
    <w:rsid w:val="00D41BFF"/>
    <w:rsid w:val="00D4558C"/>
    <w:rsid w:val="00D6469E"/>
    <w:rsid w:val="00D6702C"/>
    <w:rsid w:val="00D7719E"/>
    <w:rsid w:val="00D811F3"/>
    <w:rsid w:val="00D874A9"/>
    <w:rsid w:val="00D922BF"/>
    <w:rsid w:val="00D936FC"/>
    <w:rsid w:val="00DA096E"/>
    <w:rsid w:val="00DB343B"/>
    <w:rsid w:val="00DC30EE"/>
    <w:rsid w:val="00DF60A5"/>
    <w:rsid w:val="00E16899"/>
    <w:rsid w:val="00E22814"/>
    <w:rsid w:val="00E433E3"/>
    <w:rsid w:val="00E54551"/>
    <w:rsid w:val="00E5644F"/>
    <w:rsid w:val="00E86B0A"/>
    <w:rsid w:val="00E9227A"/>
    <w:rsid w:val="00ED551D"/>
    <w:rsid w:val="00EF0F8A"/>
    <w:rsid w:val="00F03C92"/>
    <w:rsid w:val="00F333F9"/>
    <w:rsid w:val="00F45728"/>
    <w:rsid w:val="00F54346"/>
    <w:rsid w:val="00F962F7"/>
    <w:rsid w:val="00FB1B48"/>
    <w:rsid w:val="00FB558F"/>
    <w:rsid w:val="00FB5C7A"/>
    <w:rsid w:val="00FD582B"/>
    <w:rsid w:val="00FD59DD"/>
    <w:rsid w:val="00FE1CA6"/>
    <w:rsid w:val="00FE7217"/>
    <w:rsid w:val="00FF56A8"/>
    <w:rsid w:val="11615E5E"/>
    <w:rsid w:val="14DE58BA"/>
    <w:rsid w:val="3EE43A16"/>
    <w:rsid w:val="473C009B"/>
    <w:rsid w:val="4F735B30"/>
    <w:rsid w:val="50E84DEF"/>
    <w:rsid w:val="7DDB5DAC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f01"/>
    <w:basedOn w:val="5"/>
    <w:uiPriority w:val="0"/>
    <w:rPr>
      <w:rFonts w:hint="eastAsia" w:ascii="Microsoft YaHei UI" w:hAnsi="Microsoft YaHei UI" w:eastAsia="Microsoft YaHei UI"/>
      <w:color w:val="212121"/>
      <w:sz w:val="18"/>
      <w:szCs w:val="18"/>
      <w:shd w:val="clear" w:color="auto" w:fill="FFFFFF"/>
    </w:rPr>
  </w:style>
  <w:style w:type="paragraph" w:customStyle="1" w:styleId="9">
    <w:name w:val="MDPI_6.2_BackMatter"/>
    <w:qFormat/>
    <w:uiPriority w:val="0"/>
    <w:pPr>
      <w:adjustRightInd w:val="0"/>
      <w:snapToGrid w:val="0"/>
      <w:spacing w:after="120" w:line="228" w:lineRule="auto"/>
      <w:ind w:left="2608"/>
      <w:jc w:val="both"/>
    </w:pPr>
    <w:rPr>
      <w:rFonts w:ascii="Palatino Linotype" w:hAnsi="Palatino Linotype" w:eastAsia="Times New Roman" w:cs="Times New Roman"/>
      <w:color w:val="000000"/>
      <w:sz w:val="18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2517</Characters>
  <Lines>20</Lines>
  <Paragraphs>5</Paragraphs>
  <TotalTime>87</TotalTime>
  <ScaleCrop>false</ScaleCrop>
  <LinksUpToDate>false</LinksUpToDate>
  <CharactersWithSpaces>2953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2023-03-29T12:20:00Z</dcterms:created>
  <dc:creator>Microsoft Office User</dc:creator>
  <cp:lastModifiedBy>Admin</cp:lastModifiedBy>
  <dcterms:modified xsi:type="dcterms:W3CDTF">2023-10-23T06:26:16Z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72DC0BFB86474F8A9C9E87389AA078DE_12</vt:lpwstr>
  </property>
</Properties>
</file>