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A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isk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core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ased on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mmune- and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xidative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tress-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elated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Lnc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RNAs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redicts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rognosis in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ung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denocarcinoma: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nsights from in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itro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xperiments and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arge-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cale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ranscriptome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nalysi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s</w:t>
      </w:r>
    </w:p>
    <w:p>
      <w:pPr>
        <w:widowControl/>
        <w:spacing w:line="360" w:lineRule="auto"/>
        <w:rPr>
          <w:rFonts w:hint="eastAsia" w:ascii="Times New Roman" w:hAnsi="Times New Roman" w:eastAsia="DengXian" w:cs="Times New Roman"/>
          <w:bCs/>
          <w:sz w:val="24"/>
        </w:rPr>
      </w:pPr>
    </w:p>
    <w:p>
      <w:pPr>
        <w:widowControl/>
        <w:spacing w:line="360" w:lineRule="auto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DengXian" w:cs="Times New Roman"/>
          <w:bCs/>
          <w:sz w:val="24"/>
          <w:lang w:val="en-US"/>
        </w:rPr>
        <w:t xml:space="preserve">Xin </w:t>
      </w:r>
      <w:r>
        <w:rPr>
          <w:rFonts w:hint="eastAsia" w:ascii="Times New Roman" w:hAnsi="Times New Roman" w:eastAsia="DengXian" w:cs="Times New Roman"/>
          <w:bCs/>
          <w:sz w:val="24"/>
        </w:rPr>
        <w:t>Liu</w:t>
      </w:r>
      <w:r>
        <w:rPr>
          <w:rFonts w:ascii="Times New Roman" w:hAnsi="Times New Roman" w:eastAsia="宋体" w:cs="Times New Roman"/>
          <w:kern w:val="0"/>
          <w:sz w:val="24"/>
          <w:lang w:eastAsia="zh-Hans" w:bidi="ar"/>
        </w:rPr>
        <w:t>,</w:t>
      </w:r>
      <w:r>
        <w:rPr>
          <w:rFonts w:hint="default" w:ascii="Times New Roman" w:hAnsi="Times New Roman" w:eastAsia="宋体" w:cs="Times New Roman"/>
          <w:kern w:val="0"/>
          <w:sz w:val="24"/>
          <w:vertAlign w:val="superscript"/>
          <w:lang w:val="en-US" w:eastAsia="zh-Hans" w:bidi="ar"/>
        </w:rPr>
        <w:t>#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>1,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  <w:lang w:bidi="ar"/>
        </w:rPr>
        <w:t>*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</w:t>
      </w:r>
      <w:r>
        <w:rPr>
          <w:rFonts w:hint="eastAsia" w:ascii="Times New Roman" w:hAnsi="Times New Roman" w:eastAsia="DengXian" w:cs="Times New Roman"/>
          <w:bCs/>
          <w:sz w:val="24"/>
          <w:lang w:eastAsia="zh-Hans"/>
        </w:rPr>
        <w:t>Fangchao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</w:t>
      </w:r>
      <w:r>
        <w:rPr>
          <w:rFonts w:hint="eastAsia" w:ascii="Times New Roman" w:hAnsi="Times New Roman" w:eastAsia="DengXian" w:cs="Times New Roman"/>
          <w:bCs/>
          <w:sz w:val="24"/>
          <w:lang w:eastAsia="zh-Hans"/>
        </w:rPr>
        <w:t>Zhao</w:t>
      </w:r>
      <w:r>
        <w:rPr>
          <w:rFonts w:ascii="Times New Roman" w:hAnsi="Times New Roman" w:eastAsia="宋体" w:cs="Times New Roman"/>
          <w:kern w:val="0"/>
          <w:sz w:val="24"/>
          <w:lang w:eastAsia="zh-Hans" w:bidi="ar"/>
        </w:rPr>
        <w:t>,</w:t>
      </w:r>
      <w:r>
        <w:rPr>
          <w:rFonts w:hint="default" w:ascii="Times New Roman" w:hAnsi="Times New Roman" w:eastAsia="宋体" w:cs="Times New Roman"/>
          <w:kern w:val="0"/>
          <w:sz w:val="24"/>
          <w:vertAlign w:val="superscript"/>
          <w:lang w:val="en-US" w:eastAsia="zh-Hans" w:bidi="ar"/>
        </w:rPr>
        <w:t>#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  <w:lang w:bidi="ar"/>
        </w:rPr>
        <w:t>*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Xiaodan Wang,</w:t>
      </w:r>
      <w:r>
        <w:rPr>
          <w:rFonts w:hint="default" w:ascii="Times New Roman" w:hAnsi="Times New Roman" w:eastAsia="宋体" w:cs="Times New Roman"/>
          <w:kern w:val="0"/>
          <w:sz w:val="24"/>
          <w:vertAlign w:val="superscript"/>
          <w:lang w:val="en-US" w:eastAsia="zh-Hans" w:bidi="ar"/>
        </w:rPr>
        <w:t>#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  <w:lang w:bidi="ar"/>
        </w:rPr>
        <w:t>*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Zheng Ma,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 xml:space="preserve">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>Hongjiang Yan,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 xml:space="preserve">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>Xuchao Lu,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 xml:space="preserve"> </w:t>
      </w:r>
      <w:r>
        <w:rPr>
          <w:rFonts w:hint="eastAsia" w:ascii="Times New Roman" w:hAnsi="Times New Roman" w:eastAsia="DengXian" w:cs="Times New Roman"/>
          <w:bCs/>
          <w:sz w:val="24"/>
        </w:rPr>
        <w:t>Shujun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</w:t>
      </w:r>
      <w:r>
        <w:rPr>
          <w:rFonts w:hint="eastAsia" w:ascii="Times New Roman" w:hAnsi="Times New Roman" w:eastAsia="DengXian" w:cs="Times New Roman"/>
          <w:bCs/>
          <w:sz w:val="24"/>
          <w:lang w:eastAsia="zh-Hans"/>
        </w:rPr>
        <w:t>Li</w:t>
      </w:r>
      <w:r>
        <w:rPr>
          <w:rFonts w:ascii="Times New Roman" w:hAnsi="Times New Roman" w:eastAsia="宋体" w:cs="Times New Roman"/>
          <w:kern w:val="0"/>
          <w:sz w:val="24"/>
          <w:lang w:eastAsia="zh-Hans" w:bidi="ar"/>
        </w:rPr>
        <w:t>,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</w:t>
      </w:r>
      <w:r>
        <w:rPr>
          <w:rFonts w:hint="eastAsia" w:ascii="Times New Roman" w:hAnsi="Times New Roman" w:eastAsia="DengXian" w:cs="Times New Roman"/>
          <w:bCs/>
          <w:sz w:val="24"/>
          <w:lang w:val="en-US" w:eastAsia="zh-CN"/>
        </w:rPr>
        <w:t>Haiyong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</w:t>
      </w:r>
      <w:r>
        <w:rPr>
          <w:rFonts w:hint="eastAsia" w:ascii="Times New Roman" w:hAnsi="Times New Roman" w:eastAsia="DengXian" w:cs="Times New Roman"/>
          <w:bCs/>
          <w:sz w:val="24"/>
          <w:lang w:val="en-US" w:eastAsia="zh-CN"/>
        </w:rPr>
        <w:t>Zhu</w:t>
      </w:r>
      <w:r>
        <w:rPr>
          <w:rFonts w:ascii="Times New Roman" w:hAnsi="Times New Roman" w:eastAsia="宋体" w:cs="Times New Roman"/>
          <w:kern w:val="0"/>
          <w:sz w:val="24"/>
          <w:lang w:eastAsia="zh-Hans" w:bidi="ar"/>
        </w:rPr>
        <w:t>,</w:t>
      </w:r>
      <w:r>
        <w:rPr>
          <w:rFonts w:hint="default" w:ascii="Times New Roman" w:hAnsi="Times New Roman" w:eastAsia="宋体" w:cs="Times New Roman"/>
          <w:kern w:val="0"/>
          <w:sz w:val="24"/>
          <w:vertAlign w:val="superscript"/>
          <w:lang w:val="en-US" w:eastAsia="zh-Hans" w:bidi="ar"/>
        </w:rPr>
        <w:t>#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vertAlign w:val="superscript"/>
        </w:rPr>
        <w:t>,</w:t>
      </w:r>
      <w:r>
        <w:rPr>
          <w:rFonts w:ascii="Times New Roman" w:hAnsi="Times New Roman" w:eastAsia="宋体" w:cs="Times New Roman"/>
          <w:color w:val="000000"/>
          <w:kern w:val="0"/>
          <w:sz w:val="24"/>
          <w:vertAlign w:val="superscript"/>
          <w:lang w:bidi="ar"/>
        </w:rPr>
        <w:t>*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Shaolin Gao</w:t>
      </w: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</w:p>
    <w:p>
      <w:pPr>
        <w:widowControl/>
        <w:spacing w:line="360" w:lineRule="auto"/>
        <w:rPr>
          <w:rFonts w:ascii="Times New Roman" w:hAnsi="Times New Roman" w:eastAsia="DengXian" w:cs="Times New Roman"/>
          <w:bCs/>
          <w:sz w:val="24"/>
          <w:lang w:eastAsia="zh-Hans"/>
        </w:rPr>
      </w:pPr>
    </w:p>
    <w:p>
      <w:pPr>
        <w:spacing w:line="360" w:lineRule="auto"/>
        <w:rPr>
          <w:rFonts w:ascii="Times New Roman" w:hAnsi="Times New Roman" w:eastAsia="DengXian" w:cs="Times New Roman"/>
          <w:bCs/>
          <w:sz w:val="24"/>
          <w:lang w:eastAsia="zh-Hans"/>
        </w:rPr>
      </w:pP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1</w:t>
      </w:r>
      <w:r>
        <w:rPr>
          <w:rFonts w:ascii="Times New Roman" w:hAnsi="Times New Roman" w:eastAsia="DengXian" w:cs="Times New Roman"/>
          <w:bCs/>
          <w:sz w:val="24"/>
        </w:rPr>
        <w:t>Second Department of Respiratory and Critical Care Medicine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, The Second Hospital of Hebei Medical University, Shijiazhuang, 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 xml:space="preserve">Hebei, People’ Republic of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China </w:t>
      </w:r>
    </w:p>
    <w:p>
      <w:pPr>
        <w:spacing w:line="360" w:lineRule="auto"/>
        <w:rPr>
          <w:rFonts w:ascii="Times New Roman" w:hAnsi="Times New Roman" w:eastAsia="DengXian" w:cs="Times New Roman"/>
          <w:bCs/>
          <w:sz w:val="24"/>
          <w:lang w:eastAsia="zh-Hans"/>
        </w:rPr>
      </w:pPr>
      <w:r>
        <w:rPr>
          <w:rFonts w:hint="eastAsia" w:ascii="Times New Roman" w:hAnsi="Times New Roman" w:eastAsia="DengXian" w:cs="Times New Roman"/>
          <w:bCs/>
          <w:sz w:val="24"/>
          <w:vertAlign w:val="superscript"/>
        </w:rPr>
        <w:t>2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Department of Thoracic Surgery, The Second Hospital of Hebei Medical University, Shijiazhuang, 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 xml:space="preserve">Hebei, People’ Republic of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>China</w:t>
      </w:r>
    </w:p>
    <w:p>
      <w:pPr>
        <w:spacing w:line="360" w:lineRule="auto"/>
        <w:rPr>
          <w:rFonts w:ascii="Times New Roman" w:hAnsi="Times New Roman" w:eastAsia="宋体" w:cs="Times New Roman"/>
          <w:color w:val="000000"/>
          <w:kern w:val="0"/>
          <w:sz w:val="24"/>
          <w:lang w:bidi="ar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vertAlign w:val="superscript"/>
          <w:lang w:val="en-US" w:bidi="ar"/>
        </w:rPr>
        <w:t>#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bidi="ar"/>
        </w:rPr>
        <w:t>Contributed equally.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bidi="ar"/>
        </w:rPr>
      </w:pPr>
    </w:p>
    <w:p>
      <w:pPr>
        <w:spacing w:line="360" w:lineRule="auto"/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</w:pP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 xml:space="preserve">Correspondence: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>Shaolin Gao</w:t>
      </w:r>
      <w:r>
        <w:rPr>
          <w:rFonts w:hint="default"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Department of Thoracic Surgery, The Second Hospital of Hebei Medical University, </w:t>
      </w:r>
      <w:r>
        <w:rPr>
          <w:rFonts w:ascii="Times New Roman" w:hAnsi="Times New Roman" w:eastAsia="等线" w:cs="Times New Roman"/>
          <w:bCs/>
          <w:color w:val="auto"/>
          <w:sz w:val="24"/>
        </w:rPr>
        <w:t>No.</w:t>
      </w:r>
      <w:r>
        <w:rPr>
          <w:rFonts w:hint="eastAsia" w:ascii="Times New Roman" w:hAnsi="Times New Roman" w:eastAsia="等线" w:cs="Times New Roman"/>
          <w:bCs/>
          <w:color w:val="auto"/>
          <w:sz w:val="24"/>
        </w:rPr>
        <w:t xml:space="preserve"> </w:t>
      </w:r>
      <w:r>
        <w:rPr>
          <w:rFonts w:ascii="Times New Roman" w:hAnsi="Times New Roman" w:eastAsia="等线" w:cs="Times New Roman"/>
          <w:bCs/>
          <w:color w:val="auto"/>
          <w:sz w:val="24"/>
        </w:rPr>
        <w:t xml:space="preserve">215 Heping West Road, </w:t>
      </w:r>
      <w:r>
        <w:rPr>
          <w:rFonts w:hint="eastAsia" w:ascii="Times New Roman" w:hAnsi="Times New Roman" w:eastAsia="等线" w:cs="Times New Roman"/>
          <w:bCs/>
          <w:color w:val="auto"/>
          <w:sz w:val="24"/>
        </w:rPr>
        <w:t xml:space="preserve">Shijiazhuang,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 xml:space="preserve"> 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 xml:space="preserve">Hebei, People’ Republic of </w:t>
      </w:r>
      <w:r>
        <w:rPr>
          <w:rFonts w:ascii="Times New Roman" w:hAnsi="Times New Roman" w:eastAsia="DengXian" w:cs="Times New Roman"/>
          <w:bCs/>
          <w:sz w:val="24"/>
          <w:lang w:eastAsia="zh-Hans"/>
        </w:rPr>
        <w:t>China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>, Tel/Fax</w:t>
      </w:r>
      <w:r>
        <w:rPr>
          <w:rFonts w:hint="eastAsia" w:ascii="Times New Roman" w:hAnsi="Times New Roman" w:eastAsia="等线" w:cs="Times New Roman"/>
          <w:bCs/>
          <w:sz w:val="24"/>
          <w:szCs w:val="24"/>
          <w:lang w:val="en-US" w:eastAsia="zh-CN"/>
        </w:rPr>
        <w:t xml:space="preserve"> +86-</w:t>
      </w:r>
      <w:r>
        <w:rPr>
          <w:rFonts w:hint="eastAsia" w:ascii="Times New Roman" w:hAnsi="Times New Roman" w:eastAsia="等线" w:cs="Times New Roman"/>
          <w:bCs/>
          <w:color w:val="auto"/>
          <w:sz w:val="24"/>
          <w:lang w:val="en-US" w:eastAsia="zh-CN"/>
        </w:rPr>
        <w:t>0311</w:t>
      </w:r>
      <w:r>
        <w:rPr>
          <w:rFonts w:hint="eastAsia" w:ascii="Times New Roman" w:hAnsi="Times New Roman" w:eastAsia="等线" w:cs="Times New Roman"/>
          <w:bCs/>
          <w:sz w:val="24"/>
          <w:szCs w:val="24"/>
          <w:lang w:val="en-US" w:eastAsia="zh-CN"/>
        </w:rPr>
        <w:t>-66003588</w:t>
      </w:r>
      <w:r>
        <w:rPr>
          <w:rFonts w:hint="default" w:ascii="Times New Roman" w:hAnsi="Times New Roman" w:eastAsia="等线" w:cs="Times New Roman"/>
          <w:bCs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 xml:space="preserve">Email 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fldChar w:fldCharType="begin"/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instrText xml:space="preserve"> HYPERLINK "mailto:gaoshaolinHB2H@163.com" </w:instrTex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fldChar w:fldCharType="separate"/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t>gaoshaolinHB2H@163.com</w:t>
      </w:r>
      <w:r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  <w:fldChar w:fldCharType="end"/>
      </w:r>
    </w:p>
    <w:p>
      <w:pPr>
        <w:spacing w:line="360" w:lineRule="auto"/>
        <w:rPr>
          <w:rFonts w:hint="default" w:ascii="Times New Roman" w:hAnsi="Times New Roman" w:eastAsia="DengXian" w:cs="Times New Roman"/>
          <w:bCs/>
          <w:sz w:val="24"/>
          <w:lang w:val="en-US" w:eastAsia="zh-Hans"/>
        </w:rPr>
      </w:pPr>
    </w:p>
    <w:p>
      <w:pPr>
        <w:spacing w:line="360" w:lineRule="auto"/>
        <w:rPr>
          <w:rFonts w:ascii="Times New Roman" w:hAnsi="Times New Roman" w:eastAsia="DengXian" w:cs="Times New Roman"/>
          <w:bCs/>
          <w:sz w:val="24"/>
          <w:lang w:eastAsia="zh-Hans"/>
        </w:rPr>
      </w:pPr>
      <w:r>
        <w:rPr>
          <w:rFonts w:ascii="Times New Roman" w:hAnsi="Times New Roman" w:eastAsia="DengXian" w:cs="Times New Roman"/>
          <w:bCs/>
          <w:sz w:val="24"/>
          <w:lang w:val="en-US" w:eastAsia="zh-CN"/>
        </w:rPr>
        <w:t>*</w:t>
      </w:r>
      <w:r>
        <w:rPr>
          <w:rFonts w:hint="default" w:ascii="Times New Roman" w:hAnsi="Times New Roman" w:eastAsia="DengXian" w:cs="Times New Roman"/>
          <w:bCs/>
          <w:sz w:val="24"/>
          <w:lang w:val="en-US" w:eastAsia="zh-CN"/>
        </w:rPr>
        <w:t>These authors contributed equally to this work</w:t>
      </w:r>
    </w:p>
    <w:p>
      <w:pPr>
        <w:widowControl w:val="0"/>
        <w:spacing w:before="156" w:beforeLines="50" w:after="62" w:afterLines="2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Hans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Hans"/>
        </w:rPr>
        <w:drawing>
          <wp:inline distT="0" distB="0" distL="114300" distR="114300">
            <wp:extent cx="5265420" cy="2157730"/>
            <wp:effectExtent l="0" t="0" r="17780" b="1270"/>
            <wp:docPr id="1" name="图片 1" descr="Fig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Hans"/>
        </w:rPr>
        <w:t xml:space="preserve">Figure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Hans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Han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External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validation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 of risk signature.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en-US" w:bidi="ar-SA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 xml:space="preserve">(a)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K-M analysis in 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IMvigor-210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cohort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>(</w:t>
      </w:r>
      <w:r>
        <w:rPr>
          <w:rFonts w:hint="eastAsia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>b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>)</w:t>
      </w:r>
      <w:r>
        <w:rPr>
          <w:rFonts w:hint="eastAsia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Responses to immunotherapy in different groups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 xml:space="preserve"> 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en-US" w:eastAsia="en-US"/>
        </w:rPr>
        <w:t>(</w:t>
      </w:r>
      <w:r>
        <w:rPr>
          <w:rFonts w:hint="eastAsia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>c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en-US" w:eastAsia="en-US"/>
        </w:rPr>
        <w:t>)</w:t>
      </w:r>
      <w:r>
        <w:rPr>
          <w:rFonts w:hint="eastAsia" w:ascii="Times New Roman Bold" w:hAnsi="Times New Roman Bold" w:cs="Times New Roman Bold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2"/>
          <w:sz w:val="24"/>
          <w:szCs w:val="24"/>
          <w:lang w:val="en-US" w:eastAsia="en-US" w:bidi="ar-SA"/>
        </w:rPr>
        <w:t xml:space="preserve">Proportion of response to immunotherapy in different groups.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t>***</w:t>
      </w:r>
      <w:r>
        <w:rPr>
          <w:rFonts w:hint="default" w:ascii="Times New Roman Italic" w:hAnsi="Times New Roman Italic" w:cs="Times New Roman Italic"/>
          <w:b w:val="0"/>
          <w:bCs w:val="0"/>
          <w:i/>
          <w:iCs/>
          <w:color w:val="auto"/>
          <w:sz w:val="24"/>
          <w:szCs w:val="24"/>
          <w:lang w:val="en-US" w:eastAsia="en-US"/>
        </w:rPr>
        <w:t>p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t xml:space="preserve"> &lt; 0.001. </w:t>
      </w: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jc w:val="both"/>
        <w:textAlignment w:val="center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62" w:afterLines="20" w:line="480" w:lineRule="auto"/>
        <w:ind w:firstLine="1801" w:firstLineChars="750"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Table S1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Hans"/>
        </w:rPr>
        <w:t>.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Han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Clinical information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in TCGA cohort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.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1682"/>
        <w:gridCol w:w="1682"/>
        <w:gridCol w:w="1016"/>
      </w:tblGrid>
      <w:tr>
        <w:trPr>
          <w:trHeight w:val="0" w:hRule="atLeast"/>
          <w:tblHeader/>
          <w:jc w:val="center"/>
        </w:trPr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  <w:t>Characteristics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  <w:t>Low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-risk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(n=249)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  <w:t>High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-risk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(n=241)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  <w:t>P value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Tumor.status,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0.200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TUMOR FREE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149 (33.9%)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126 (28.6%)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WITH TUMOR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79 (18%)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86 (19.5%)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Primary.therapy.outcome,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0.012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Complete Remission/Response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172 (41.5%)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134 (32.4%)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Stable Disease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 (3.4%)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21 (5.1%)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Partial Remission/Response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 (1%)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Progressive Disease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26 (6.3%)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42 (10.1%)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Gender,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0.004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149 (30.4%)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113 (23.1%)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100 (20.4%)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128 (26.1%)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Race,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0.206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BLACK OR AFRICAN AMERICAN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22 (5%)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30 (6.9%)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WHITE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199 (45.6%)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177 (40.6%)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ASIAN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 (1.1%)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AMERICAN INDIAN OR ALASKA NATIVE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 (0%)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Age, median (IQR)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66 (59, 73)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66 (59, 72)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0.355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OS.time, median (IQR)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747 (487, 1235)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592 (354, 1013)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&lt; 0.001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vital_status.x,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0.021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Alive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200 (40.8%)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172 (35.1%)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Dead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49 (10%)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69 (14.1%)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Pathologic_M,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0.358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M0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165 (34%)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159 (32.7%)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MX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74 (15.2%)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64 (13.2%)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M1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 (1.2%)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 (2.3%)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M1b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 (0.6%)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M1a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 (0%)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Pathologic_N,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0.011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N0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176 (36%)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141 (28.8%)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N1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42 (8.6%)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50 (10.2%)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N2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23 (4.7%)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45 (9.2%)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NX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 (1.4%)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 (0.6%)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N3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Pathologic_T,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0.013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T1b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34 (6.9%)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19 (3.9%)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41 (8.4%)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23 (4.7%)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 (1.4%)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 (2.2%)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T2a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42 (8.6%)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38 (7.8%)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68 (13.9%)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88 (18%)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T1a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28 (5.7%)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18 (3.7%)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T2b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13 (2.7%)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 (2.9%)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15 (3.1%)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28 (5.7%)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TX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Pathologic_stage,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&lt; 0.001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84 (17.2%)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44 (9%)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IIIA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25 (5.1%)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44 (9%)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67 (13.7%)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64 (13.1%)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IIB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27 (5.5%)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39 (8%)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IIA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25 (5.1%)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23 (4.7%)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IV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 (1.6%)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 (3.5%)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IIIB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 (0.8%)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 (1.2%)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Discrepancy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 (1.2%)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Stage 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 (0%)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Residual_tumor,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0.934</w:t>
            </w: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167 (45.5%)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161 (43.9%)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RX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12 (3.3%)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 (3%)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 (1.9%)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 (1.6%)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R2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 (0.3%)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 (0.5%)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spacing w:before="156" w:beforeLines="50" w:after="62" w:afterLines="20"/>
        <w:rPr>
          <w:rFonts w:ascii="Arial" w:hAnsi="Arial" w:cs="Arial"/>
          <w:sz w:val="16"/>
          <w:szCs w:val="16"/>
        </w:rPr>
      </w:pPr>
    </w:p>
    <w:sectPr>
      <w:pgSz w:w="12240" w:h="15840"/>
      <w:pgMar w:top="1440" w:right="1800" w:bottom="1440" w:left="1800" w:header="708" w:footer="708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DejaVu Sans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O0NLMwMrU0MjS2MDRW0lEKTi0uzszPAykwrQUAeGT4FywAAAA="/>
  </w:docVars>
  <w:rsids>
    <w:rsidRoot w:val="004150E6"/>
    <w:rsid w:val="00010771"/>
    <w:rsid w:val="00011F1C"/>
    <w:rsid w:val="00105641"/>
    <w:rsid w:val="00140D84"/>
    <w:rsid w:val="001950A7"/>
    <w:rsid w:val="002C444E"/>
    <w:rsid w:val="00303EE2"/>
    <w:rsid w:val="00335DA4"/>
    <w:rsid w:val="0038622B"/>
    <w:rsid w:val="004150E6"/>
    <w:rsid w:val="00427D79"/>
    <w:rsid w:val="004A62EF"/>
    <w:rsid w:val="00527A78"/>
    <w:rsid w:val="00535BB9"/>
    <w:rsid w:val="006F125F"/>
    <w:rsid w:val="00851431"/>
    <w:rsid w:val="008631BD"/>
    <w:rsid w:val="008E3A4C"/>
    <w:rsid w:val="009252D0"/>
    <w:rsid w:val="00996D62"/>
    <w:rsid w:val="009C42F8"/>
    <w:rsid w:val="00A20697"/>
    <w:rsid w:val="00AD6872"/>
    <w:rsid w:val="00B04DA9"/>
    <w:rsid w:val="00B7630B"/>
    <w:rsid w:val="00BB299A"/>
    <w:rsid w:val="00C25699"/>
    <w:rsid w:val="00CB1997"/>
    <w:rsid w:val="00CF4FB8"/>
    <w:rsid w:val="00D60223"/>
    <w:rsid w:val="00D90E6C"/>
    <w:rsid w:val="00EF34B0"/>
    <w:rsid w:val="00F36265"/>
    <w:rsid w:val="00F70E54"/>
    <w:rsid w:val="73FE181E"/>
    <w:rsid w:val="FF5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after="160" w:line="259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 w:val="20"/>
      <w:szCs w:val="20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widowControl/>
      <w:jc w:val="left"/>
    </w:pPr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character" w:styleId="10">
    <w:name w:val="annotation reference"/>
    <w:basedOn w:val="8"/>
    <w:uiPriority w:val="0"/>
    <w:rPr>
      <w:sz w:val="16"/>
      <w:szCs w:val="16"/>
    </w:rPr>
  </w:style>
  <w:style w:type="character" w:customStyle="1" w:styleId="11">
    <w:name w:val="页眉 字符"/>
    <w:basedOn w:val="8"/>
    <w:link w:val="5"/>
    <w:uiPriority w:val="99"/>
    <w:rPr>
      <w:kern w:val="0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1429</Words>
  <Characters>8148</Characters>
  <Lines>67</Lines>
  <Paragraphs>19</Paragraphs>
  <TotalTime>0</TotalTime>
  <ScaleCrop>false</ScaleCrop>
  <LinksUpToDate>false</LinksUpToDate>
  <CharactersWithSpaces>9558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2022-12-22T23:33:00Z</dcterms:created>
  <dc:creator>Bo</dc:creator>
  <cp:lastModifiedBy>黄老邪</cp:lastModifiedBy>
  <dcterms:modified xsi:type="dcterms:W3CDTF">2024-02-03T17:06:53Z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3627d89e-d182-4b14-af60-81cdc4950653</vt:lpwstr>
  </property>
  <property fmtid="{D5CDD505-2E9C-101B-9397-08002B2CF9AE}" pid="3" name="KSOProductBuildVer">
    <vt:lpwstr>2052-6.5.1.8687</vt:lpwstr>
  </property>
  <property fmtid="{D5CDD505-2E9C-101B-9397-08002B2CF9AE}" pid="4" name="ICV">
    <vt:lpwstr>ECDFA0D511B2F9EF98BFBD6597AFF503_42</vt:lpwstr>
  </property>
</Properties>
</file>