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23D1B" w14:textId="77777777" w:rsidR="003F2DCA" w:rsidRPr="00207EB8" w:rsidRDefault="003F2DCA" w:rsidP="006806D5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</w:p>
    <w:p w14:paraId="4B699735" w14:textId="0271EE9D" w:rsidR="00AE3234" w:rsidRPr="00207EB8" w:rsidRDefault="00ED58CC" w:rsidP="00ED58CC">
      <w:pPr>
        <w:widowControl/>
        <w:jc w:val="center"/>
        <w:rPr>
          <w:rFonts w:ascii="Arial" w:eastAsia="SimSun" w:hAnsi="Arial" w:cs="Arial"/>
          <w:kern w:val="0"/>
          <w:sz w:val="20"/>
          <w:szCs w:val="20"/>
        </w:rPr>
      </w:pPr>
      <w:r w:rsidRPr="00207EB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E0C6FD0" wp14:editId="02333B2D">
            <wp:extent cx="2349500" cy="1835150"/>
            <wp:effectExtent l="0" t="0" r="0" b="0"/>
            <wp:docPr id="1448045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CA1A1" w14:textId="058E0201" w:rsidR="00AE3234" w:rsidRPr="00207EB8" w:rsidRDefault="006F451C" w:rsidP="006806D5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  <w:r w:rsidRPr="00207EB8">
        <w:rPr>
          <w:rFonts w:ascii="Arial" w:hAnsi="Arial" w:cs="Arial"/>
          <w:b/>
          <w:bCs/>
          <w:sz w:val="20"/>
          <w:szCs w:val="20"/>
        </w:rPr>
        <w:t xml:space="preserve">Supplementary Figure1. </w:t>
      </w:r>
      <w:r w:rsidR="00ED58CC" w:rsidRPr="00207EB8">
        <w:rPr>
          <w:rFonts w:ascii="Arial" w:eastAsia="SimSun" w:hAnsi="Arial" w:cs="Arial"/>
          <w:kern w:val="0"/>
          <w:sz w:val="20"/>
          <w:szCs w:val="20"/>
        </w:rPr>
        <w:t>Ultraviolet absorption spectra of F/CL@BM or folic acid (FA) in PBS.</w:t>
      </w:r>
    </w:p>
    <w:p w14:paraId="617496E7" w14:textId="42D45A21" w:rsidR="0088246A" w:rsidRPr="00207EB8" w:rsidRDefault="0088246A" w:rsidP="0088246A">
      <w:pPr>
        <w:widowControl/>
        <w:jc w:val="center"/>
        <w:rPr>
          <w:rFonts w:ascii="Arial" w:eastAsia="SimSun" w:hAnsi="Arial" w:cs="Arial"/>
          <w:kern w:val="0"/>
          <w:sz w:val="20"/>
          <w:szCs w:val="20"/>
        </w:rPr>
      </w:pPr>
      <w:r w:rsidRPr="00207EB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35C5961" wp14:editId="1532B4CB">
            <wp:extent cx="3603625" cy="2562860"/>
            <wp:effectExtent l="0" t="0" r="0" b="0"/>
            <wp:docPr id="9516464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B4C28" w14:textId="0F6DC412" w:rsidR="00ED58CC" w:rsidRPr="00207EB8" w:rsidRDefault="006F451C" w:rsidP="006806D5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  <w:r w:rsidRPr="00207EB8">
        <w:rPr>
          <w:rFonts w:ascii="Arial" w:hAnsi="Arial" w:cs="Arial"/>
          <w:b/>
          <w:bCs/>
          <w:sz w:val="20"/>
          <w:szCs w:val="20"/>
        </w:rPr>
        <w:t xml:space="preserve">Supplementary Figure2 </w:t>
      </w:r>
      <w:r w:rsidR="0088246A" w:rsidRPr="00207EB8">
        <w:rPr>
          <w:rFonts w:ascii="Arial" w:eastAsia="SimSun" w:hAnsi="Arial" w:cs="Arial"/>
          <w:kern w:val="0"/>
          <w:sz w:val="20"/>
          <w:szCs w:val="20"/>
        </w:rPr>
        <w:t>Release of betulinic acid (BA) from BMs or CL@BM (left plot), and comparison of the release of celastrol (CEL) or BA from CL@BM (right plot). Experiments were conducted in PBS (pH6.5). Data are mean ± SD (n = 3).</w:t>
      </w:r>
    </w:p>
    <w:p w14:paraId="547AE6ED" w14:textId="77777777" w:rsidR="000B5210" w:rsidRPr="00207EB8" w:rsidRDefault="000B5210" w:rsidP="006806D5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</w:p>
    <w:p w14:paraId="37FBE3FE" w14:textId="77777777" w:rsidR="00ED58CC" w:rsidRPr="00207EB8" w:rsidRDefault="00ED58CC" w:rsidP="00ED58CC">
      <w:pPr>
        <w:rPr>
          <w:rFonts w:ascii="Arial" w:hAnsi="Arial" w:cs="Arial"/>
          <w:sz w:val="20"/>
          <w:szCs w:val="20"/>
        </w:rPr>
      </w:pPr>
      <w:r w:rsidRPr="00207EB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56450F" wp14:editId="4CA40C8B">
            <wp:extent cx="5274310" cy="1869440"/>
            <wp:effectExtent l="0" t="0" r="2540" b="0"/>
            <wp:docPr id="14841475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64DDB" w14:textId="78129E13" w:rsidR="00ED58CC" w:rsidRPr="00207EB8" w:rsidRDefault="00C545E2" w:rsidP="00ED58CC">
      <w:pPr>
        <w:rPr>
          <w:rFonts w:ascii="Arial" w:hAnsi="Arial" w:cs="Arial"/>
          <w:sz w:val="20"/>
          <w:szCs w:val="20"/>
        </w:rPr>
      </w:pPr>
      <w:r w:rsidRPr="00207EB8">
        <w:rPr>
          <w:rFonts w:ascii="Arial" w:hAnsi="Arial" w:cs="Arial"/>
          <w:b/>
          <w:bCs/>
          <w:sz w:val="20"/>
          <w:szCs w:val="20"/>
        </w:rPr>
        <w:t xml:space="preserve">Supplementary Figure3 </w:t>
      </w:r>
      <w:r w:rsidR="00ED58CC" w:rsidRPr="00207EB8">
        <w:rPr>
          <w:rFonts w:ascii="Arial" w:hAnsi="Arial" w:cs="Arial"/>
          <w:sz w:val="20"/>
          <w:szCs w:val="20"/>
        </w:rPr>
        <w:t>Cell viability of (</w:t>
      </w:r>
      <w:r w:rsidR="00EC2BC3" w:rsidRPr="00207EB8">
        <w:rPr>
          <w:rFonts w:ascii="Arial" w:hAnsi="Arial" w:cs="Arial"/>
          <w:sz w:val="20"/>
          <w:szCs w:val="20"/>
        </w:rPr>
        <w:t>a</w:t>
      </w:r>
      <w:r w:rsidR="00ED58CC" w:rsidRPr="00207EB8">
        <w:rPr>
          <w:rFonts w:ascii="Arial" w:hAnsi="Arial" w:cs="Arial"/>
          <w:sz w:val="20"/>
          <w:szCs w:val="20"/>
        </w:rPr>
        <w:t>) 4T1 cells or (</w:t>
      </w:r>
      <w:r w:rsidR="00EC2BC3" w:rsidRPr="00207EB8">
        <w:rPr>
          <w:rFonts w:ascii="Arial" w:hAnsi="Arial" w:cs="Arial"/>
          <w:sz w:val="20"/>
          <w:szCs w:val="20"/>
        </w:rPr>
        <w:t>b</w:t>
      </w:r>
      <w:r w:rsidR="00ED58CC" w:rsidRPr="00207EB8">
        <w:rPr>
          <w:rFonts w:ascii="Arial" w:hAnsi="Arial" w:cs="Arial"/>
          <w:sz w:val="20"/>
          <w:szCs w:val="20"/>
        </w:rPr>
        <w:t>) co-cultured cells (ratio of 4T1 to NIH 3T3 cells was 1:1) after incubation with blank liposome (Blank Lip) and blank FA- liposome (Blank FA-Lip) at different concentrations for 48 h.</w:t>
      </w:r>
    </w:p>
    <w:p w14:paraId="5A04A446" w14:textId="0B4CD27B" w:rsidR="00C545E2" w:rsidRPr="00207EB8" w:rsidRDefault="00C545E2" w:rsidP="00ED58CC">
      <w:pPr>
        <w:rPr>
          <w:rFonts w:ascii="Arial" w:hAnsi="Arial" w:cs="Arial"/>
          <w:sz w:val="20"/>
          <w:szCs w:val="20"/>
        </w:rPr>
      </w:pPr>
      <w:r w:rsidRPr="00207EB8">
        <w:rPr>
          <w:noProof/>
        </w:rPr>
        <w:lastRenderedPageBreak/>
        <w:drawing>
          <wp:inline distT="0" distB="0" distL="0" distR="0" wp14:anchorId="3065B026" wp14:editId="41E61455">
            <wp:extent cx="5274310" cy="4287520"/>
            <wp:effectExtent l="0" t="0" r="2540" b="0"/>
            <wp:docPr id="17476888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16F3B" w14:textId="0E7F6D9A" w:rsidR="00ED58CC" w:rsidRPr="00207EB8" w:rsidRDefault="00C545E2" w:rsidP="00ED58CC">
      <w:pPr>
        <w:rPr>
          <w:rFonts w:ascii="Arial" w:hAnsi="Arial" w:cs="Arial"/>
          <w:sz w:val="20"/>
          <w:szCs w:val="20"/>
        </w:rPr>
      </w:pPr>
      <w:r w:rsidRPr="00207EB8">
        <w:rPr>
          <w:rFonts w:ascii="Arial" w:hAnsi="Arial" w:cs="Arial"/>
          <w:b/>
          <w:bCs/>
          <w:sz w:val="20"/>
          <w:szCs w:val="20"/>
        </w:rPr>
        <w:t xml:space="preserve">Supplementary Figure4 </w:t>
      </w:r>
      <w:r w:rsidR="00B1597F" w:rsidRPr="00207EB8">
        <w:rPr>
          <w:rFonts w:ascii="Arial" w:hAnsi="Arial" w:cs="Arial"/>
          <w:b/>
          <w:bCs/>
          <w:sz w:val="20"/>
          <w:szCs w:val="20"/>
        </w:rPr>
        <w:t>Cytotoxicity of different drug formulations against 4T1 tumor cells. The formulations described in Figure 1 were used, as well as free betulinic acid (BA) and free celastrol (CEL). Cytotoxicity was assessed using the Cell Counting Kit-8 assay with 4T1 tumor cells cultured (</w:t>
      </w:r>
      <w:r w:rsidR="00EC2BC3" w:rsidRPr="00207EB8">
        <w:rPr>
          <w:rFonts w:ascii="Arial" w:hAnsi="Arial" w:cs="Arial"/>
          <w:b/>
          <w:bCs/>
          <w:sz w:val="20"/>
          <w:szCs w:val="20"/>
        </w:rPr>
        <w:t>a</w:t>
      </w:r>
      <w:r w:rsidR="00B1597F" w:rsidRPr="00207EB8">
        <w:rPr>
          <w:rFonts w:ascii="Arial" w:hAnsi="Arial" w:cs="Arial"/>
          <w:b/>
          <w:bCs/>
          <w:sz w:val="20"/>
          <w:szCs w:val="20"/>
        </w:rPr>
        <w:t>-</w:t>
      </w:r>
      <w:r w:rsidR="00EC2BC3" w:rsidRPr="00207EB8">
        <w:rPr>
          <w:rFonts w:ascii="Arial" w:hAnsi="Arial" w:cs="Arial"/>
          <w:b/>
          <w:bCs/>
          <w:sz w:val="20"/>
          <w:szCs w:val="20"/>
        </w:rPr>
        <w:t>b</w:t>
      </w:r>
      <w:r w:rsidR="00B1597F" w:rsidRPr="00207EB8">
        <w:rPr>
          <w:rFonts w:ascii="Arial" w:hAnsi="Arial" w:cs="Arial"/>
          <w:b/>
          <w:bCs/>
          <w:sz w:val="20"/>
          <w:szCs w:val="20"/>
        </w:rPr>
        <w:t>) alone or (</w:t>
      </w:r>
      <w:r w:rsidR="00EC2BC3" w:rsidRPr="00207EB8">
        <w:rPr>
          <w:rFonts w:ascii="Arial" w:hAnsi="Arial" w:cs="Arial"/>
          <w:b/>
          <w:bCs/>
          <w:sz w:val="20"/>
          <w:szCs w:val="20"/>
        </w:rPr>
        <w:t>c</w:t>
      </w:r>
      <w:r w:rsidR="00B1597F" w:rsidRPr="00207EB8">
        <w:rPr>
          <w:rFonts w:ascii="Arial" w:hAnsi="Arial" w:cs="Arial"/>
          <w:b/>
          <w:bCs/>
          <w:sz w:val="20"/>
          <w:szCs w:val="20"/>
        </w:rPr>
        <w:t>-</w:t>
      </w:r>
      <w:r w:rsidR="00EC2BC3" w:rsidRPr="00207EB8">
        <w:rPr>
          <w:rFonts w:ascii="Arial" w:hAnsi="Arial" w:cs="Arial"/>
          <w:b/>
          <w:bCs/>
          <w:sz w:val="20"/>
          <w:szCs w:val="20"/>
        </w:rPr>
        <w:t>d</w:t>
      </w:r>
      <w:r w:rsidR="00B1597F" w:rsidRPr="00207EB8">
        <w:rPr>
          <w:rFonts w:ascii="Arial" w:hAnsi="Arial" w:cs="Arial"/>
          <w:b/>
          <w:bCs/>
          <w:sz w:val="20"/>
          <w:szCs w:val="20"/>
        </w:rPr>
        <w:t>) together with NIH 3T3 fibroblasts. Data are mean ± SD (n = 3). ****p &lt; 0.0001, ***p &lt; 0.001,</w:t>
      </w:r>
      <w:r w:rsidR="005B101C" w:rsidRPr="00207EB8">
        <w:rPr>
          <w:rFonts w:ascii="Arial" w:hAnsi="Arial" w:cs="Arial"/>
          <w:b/>
          <w:bCs/>
          <w:sz w:val="20"/>
          <w:szCs w:val="20"/>
        </w:rPr>
        <w:t xml:space="preserve"> </w:t>
      </w:r>
      <w:r w:rsidR="00B1597F" w:rsidRPr="00207EB8">
        <w:rPr>
          <w:rFonts w:ascii="Arial" w:hAnsi="Arial" w:cs="Arial"/>
          <w:b/>
          <w:bCs/>
          <w:sz w:val="20"/>
          <w:szCs w:val="20"/>
        </w:rPr>
        <w:t>**p &lt; 0.01.</w:t>
      </w:r>
    </w:p>
    <w:p w14:paraId="3D3CC1BD" w14:textId="77777777" w:rsidR="006E04B7" w:rsidRPr="00207EB8" w:rsidRDefault="006E04B7" w:rsidP="006E04B7">
      <w:pPr>
        <w:pStyle w:val="ListParagraph"/>
        <w:spacing w:line="480" w:lineRule="auto"/>
        <w:ind w:left="360" w:firstLineChars="0" w:firstLine="0"/>
        <w:jc w:val="left"/>
        <w:rPr>
          <w:rFonts w:ascii="Arial" w:hAnsi="Arial" w:cs="Arial"/>
          <w:sz w:val="20"/>
          <w:szCs w:val="20"/>
        </w:rPr>
      </w:pPr>
      <w:r w:rsidRPr="00207EB8">
        <w:rPr>
          <w:noProof/>
        </w:rPr>
        <w:lastRenderedPageBreak/>
        <w:drawing>
          <wp:inline distT="0" distB="0" distL="0" distR="0" wp14:anchorId="05547396" wp14:editId="113A8BC9">
            <wp:extent cx="5274310" cy="5419090"/>
            <wp:effectExtent l="0" t="0" r="2540" b="0"/>
            <wp:docPr id="1987976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BE7BE" w14:textId="26DCAB06" w:rsidR="00ED58CC" w:rsidRPr="00207EB8" w:rsidRDefault="00D162CF" w:rsidP="00ED58CC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  <w:bookmarkStart w:id="0" w:name="OLE_LINK5"/>
      <w:r w:rsidRPr="00207EB8">
        <w:rPr>
          <w:rFonts w:ascii="Arial" w:hAnsi="Arial" w:cs="Arial"/>
          <w:b/>
          <w:bCs/>
          <w:sz w:val="20"/>
          <w:szCs w:val="20"/>
        </w:rPr>
        <w:t>Supplementary Figure5</w:t>
      </w:r>
      <w:r w:rsidR="005B101C" w:rsidRPr="00207EB8">
        <w:t xml:space="preserve"> </w:t>
      </w:r>
      <w:r w:rsidR="00663B11" w:rsidRPr="00207EB8">
        <w:rPr>
          <w:rFonts w:ascii="Arial" w:hAnsi="Arial" w:cs="Arial"/>
          <w:b/>
          <w:bCs/>
          <w:sz w:val="20"/>
          <w:szCs w:val="20"/>
        </w:rPr>
        <w:t>(</w:t>
      </w:r>
      <w:r w:rsidR="00444B1E" w:rsidRPr="00207EB8">
        <w:rPr>
          <w:rFonts w:ascii="Arial" w:hAnsi="Arial" w:cs="Arial"/>
          <w:b/>
          <w:bCs/>
          <w:sz w:val="20"/>
          <w:szCs w:val="20"/>
        </w:rPr>
        <w:t>A</w:t>
      </w:r>
      <w:r w:rsidR="00663B11" w:rsidRPr="00207EB8">
        <w:rPr>
          <w:rFonts w:ascii="Arial" w:hAnsi="Arial" w:cs="Arial"/>
          <w:b/>
          <w:bCs/>
          <w:sz w:val="20"/>
          <w:szCs w:val="20"/>
        </w:rPr>
        <w:t>)</w:t>
      </w:r>
      <w:bookmarkEnd w:id="0"/>
      <w:r w:rsidR="009026A0" w:rsidRPr="00207EB8">
        <w:rPr>
          <w:rFonts w:ascii="Arial" w:hAnsi="Arial" w:cs="Arial"/>
          <w:b/>
          <w:bCs/>
          <w:sz w:val="20"/>
          <w:szCs w:val="20"/>
        </w:rPr>
        <w:t xml:space="preserve"> </w:t>
      </w:r>
      <w:r w:rsidR="005B101C" w:rsidRPr="00207EB8">
        <w:rPr>
          <w:rFonts w:ascii="Arial" w:hAnsi="Arial" w:cs="Arial"/>
          <w:b/>
          <w:bCs/>
          <w:sz w:val="20"/>
          <w:szCs w:val="20"/>
        </w:rPr>
        <w:t xml:space="preserve">Confocal micrographs showing uptake of drug formulations by </w:t>
      </w:r>
      <w:r w:rsidR="00E17AE9" w:rsidRPr="00207EB8">
        <w:rPr>
          <w:rFonts w:ascii="Arial" w:hAnsi="Arial" w:cs="Arial"/>
          <w:b/>
          <w:bCs/>
          <w:sz w:val="20"/>
          <w:szCs w:val="20"/>
        </w:rPr>
        <w:t>co-</w:t>
      </w:r>
      <w:r w:rsidR="00E17AE9" w:rsidRPr="00207EB8">
        <w:t xml:space="preserve"> </w:t>
      </w:r>
      <w:r w:rsidR="00E17AE9" w:rsidRPr="00207EB8">
        <w:rPr>
          <w:rFonts w:ascii="Arial" w:hAnsi="Arial" w:cs="Arial"/>
          <w:b/>
          <w:bCs/>
          <w:sz w:val="20"/>
          <w:szCs w:val="20"/>
        </w:rPr>
        <w:t>cultured</w:t>
      </w:r>
      <w:r w:rsidR="005B101C" w:rsidRPr="00207EB8">
        <w:rPr>
          <w:rFonts w:ascii="Arial" w:hAnsi="Arial" w:cs="Arial"/>
          <w:b/>
          <w:bCs/>
          <w:sz w:val="20"/>
          <w:szCs w:val="20"/>
        </w:rPr>
        <w:t xml:space="preserve"> cells. Scale bar, 50 μm</w:t>
      </w:r>
      <w:r w:rsidR="00ED58CC" w:rsidRPr="00207EB8">
        <w:rPr>
          <w:rFonts w:ascii="Arial" w:eastAsia="SimSun" w:hAnsi="Arial" w:cs="Arial"/>
          <w:kern w:val="0"/>
          <w:sz w:val="20"/>
          <w:szCs w:val="20"/>
        </w:rPr>
        <w:t>.</w:t>
      </w:r>
      <w:r w:rsidR="009026A0" w:rsidRPr="00207EB8">
        <w:rPr>
          <w:rFonts w:ascii="Arial" w:eastAsia="SimSun" w:hAnsi="Arial" w:cs="Arial"/>
          <w:kern w:val="0"/>
          <w:sz w:val="20"/>
          <w:szCs w:val="20"/>
        </w:rPr>
        <w:t xml:space="preserve"> </w:t>
      </w:r>
      <w:r w:rsidR="009026A0" w:rsidRPr="00207EB8">
        <w:rPr>
          <w:rFonts w:ascii="Arial" w:hAnsi="Arial" w:cs="Arial" w:hint="eastAsia"/>
          <w:b/>
          <w:bCs/>
          <w:sz w:val="20"/>
          <w:szCs w:val="20"/>
        </w:rPr>
        <w:t>(</w:t>
      </w:r>
      <w:r w:rsidR="00444B1E" w:rsidRPr="00207EB8">
        <w:rPr>
          <w:rFonts w:ascii="Arial" w:hAnsi="Arial" w:cs="Arial"/>
          <w:b/>
          <w:bCs/>
          <w:sz w:val="20"/>
          <w:szCs w:val="20"/>
        </w:rPr>
        <w:t>B</w:t>
      </w:r>
      <w:r w:rsidR="009026A0" w:rsidRPr="00207EB8">
        <w:rPr>
          <w:rFonts w:ascii="Arial" w:hAnsi="Arial" w:cs="Arial"/>
          <w:b/>
          <w:bCs/>
          <w:sz w:val="20"/>
          <w:szCs w:val="20"/>
        </w:rPr>
        <w:t xml:space="preserve">) Quantitation of uptake using flow cytometry. Data are mean ± SD (n = 3). </w:t>
      </w:r>
      <w:r w:rsidR="0007359D" w:rsidRPr="00207EB8">
        <w:rPr>
          <w:rFonts w:ascii="Arial" w:hAnsi="Arial" w:cs="Arial"/>
          <w:b/>
          <w:bCs/>
          <w:sz w:val="20"/>
          <w:szCs w:val="20"/>
        </w:rPr>
        <w:t>*</w:t>
      </w:r>
      <w:r w:rsidR="009026A0" w:rsidRPr="00207EB8">
        <w:rPr>
          <w:rFonts w:ascii="Arial" w:hAnsi="Arial" w:cs="Arial"/>
          <w:b/>
          <w:bCs/>
          <w:sz w:val="20"/>
          <w:szCs w:val="20"/>
        </w:rPr>
        <w:t>*p &lt; 0.0</w:t>
      </w:r>
      <w:r w:rsidR="0007359D" w:rsidRPr="00207EB8">
        <w:rPr>
          <w:rFonts w:ascii="Arial" w:hAnsi="Arial" w:cs="Arial"/>
          <w:b/>
          <w:bCs/>
          <w:sz w:val="20"/>
          <w:szCs w:val="20"/>
        </w:rPr>
        <w:t>1</w:t>
      </w:r>
      <w:r w:rsidR="009026A0" w:rsidRPr="00207EB8">
        <w:rPr>
          <w:rFonts w:ascii="Arial" w:hAnsi="Arial" w:cs="Arial"/>
          <w:b/>
          <w:bCs/>
          <w:sz w:val="20"/>
          <w:szCs w:val="20"/>
        </w:rPr>
        <w:t>.</w:t>
      </w:r>
    </w:p>
    <w:p w14:paraId="216F53A0" w14:textId="77777777" w:rsidR="00084D44" w:rsidRPr="00207EB8" w:rsidRDefault="00084D44" w:rsidP="00ED58CC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48D95257" w14:textId="77777777" w:rsidR="00084D44" w:rsidRPr="00207EB8" w:rsidRDefault="00084D44" w:rsidP="00ED58CC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</w:p>
    <w:p w14:paraId="44AFEABC" w14:textId="5EEECE69" w:rsidR="00084D44" w:rsidRPr="00207EB8" w:rsidRDefault="00F2342B" w:rsidP="00ED58CC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  <w:r w:rsidRPr="00207EB8">
        <w:rPr>
          <w:noProof/>
        </w:rPr>
        <w:lastRenderedPageBreak/>
        <w:drawing>
          <wp:inline distT="0" distB="0" distL="0" distR="0" wp14:anchorId="090C763A" wp14:editId="4E8D1782">
            <wp:extent cx="5173345" cy="3920490"/>
            <wp:effectExtent l="0" t="0" r="8255" b="3810"/>
            <wp:docPr id="581138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D0FB1" w14:textId="21CCEDCB" w:rsidR="00F2342B" w:rsidRPr="00207EB8" w:rsidRDefault="00F2342B" w:rsidP="00ED58CC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  <w:r w:rsidRPr="00207EB8">
        <w:rPr>
          <w:rFonts w:ascii="Arial" w:hAnsi="Arial" w:cs="Arial"/>
          <w:b/>
          <w:bCs/>
          <w:sz w:val="20"/>
          <w:szCs w:val="20"/>
        </w:rPr>
        <w:t>Supplementary Figure6</w:t>
      </w:r>
      <w:r w:rsidR="008D58F7" w:rsidRPr="00207EB8">
        <w:rPr>
          <w:rFonts w:ascii="Arial" w:hAnsi="Arial" w:cs="Arial"/>
          <w:b/>
          <w:bCs/>
          <w:sz w:val="20"/>
          <w:szCs w:val="20"/>
        </w:rPr>
        <w:t xml:space="preserve"> Western blotting against FAP and F</w:t>
      </w:r>
      <w:r w:rsidR="008D58F7" w:rsidRPr="00207EB8">
        <w:rPr>
          <w:rFonts w:ascii="Arial" w:hAnsi="Arial" w:cs="Arial" w:hint="eastAsia"/>
          <w:b/>
          <w:bCs/>
          <w:sz w:val="20"/>
          <w:szCs w:val="20"/>
        </w:rPr>
        <w:t>ibroncetin</w:t>
      </w:r>
      <w:r w:rsidR="008D58F7" w:rsidRPr="00207EB8">
        <w:rPr>
          <w:rFonts w:ascii="Arial" w:hAnsi="Arial" w:cs="Arial"/>
          <w:b/>
          <w:bCs/>
          <w:sz w:val="20"/>
          <w:szCs w:val="20"/>
        </w:rPr>
        <w:t xml:space="preserve"> in total soluble protein fractions from (</w:t>
      </w:r>
      <w:r w:rsidR="008D58F7" w:rsidRPr="00207EB8">
        <w:rPr>
          <w:rFonts w:ascii="Arial" w:hAnsi="Arial" w:cs="Arial" w:hint="eastAsia"/>
          <w:b/>
          <w:bCs/>
          <w:sz w:val="20"/>
          <w:szCs w:val="20"/>
        </w:rPr>
        <w:t>a</w:t>
      </w:r>
      <w:r w:rsidR="008D58F7" w:rsidRPr="00207EB8">
        <w:rPr>
          <w:rFonts w:ascii="Arial" w:hAnsi="Arial" w:cs="Arial"/>
          <w:b/>
          <w:bCs/>
          <w:sz w:val="20"/>
          <w:szCs w:val="20"/>
        </w:rPr>
        <w:t>) control 4T1 cells in monoculture, (</w:t>
      </w:r>
      <w:r w:rsidR="008D58F7" w:rsidRPr="00207EB8">
        <w:rPr>
          <w:rFonts w:ascii="Arial" w:hAnsi="Arial" w:cs="Arial" w:hint="eastAsia"/>
          <w:b/>
          <w:bCs/>
          <w:sz w:val="20"/>
          <w:szCs w:val="20"/>
        </w:rPr>
        <w:t>b</w:t>
      </w:r>
      <w:r w:rsidR="008D58F7" w:rsidRPr="00207EB8">
        <w:rPr>
          <w:rFonts w:ascii="Arial" w:hAnsi="Arial" w:cs="Arial"/>
          <w:b/>
          <w:bCs/>
          <w:sz w:val="20"/>
          <w:szCs w:val="20"/>
        </w:rPr>
        <w:t>) control co-cultures of 4T1 cells and NIH 3T3 fibroblasts, or co-cultures treated with (</w:t>
      </w:r>
      <w:r w:rsidR="008D58F7" w:rsidRPr="00207EB8">
        <w:rPr>
          <w:rFonts w:ascii="Arial" w:hAnsi="Arial" w:cs="Arial" w:hint="eastAsia"/>
          <w:b/>
          <w:bCs/>
          <w:sz w:val="20"/>
          <w:szCs w:val="20"/>
        </w:rPr>
        <w:t>c</w:t>
      </w:r>
      <w:r w:rsidR="008D58F7" w:rsidRPr="00207EB8">
        <w:rPr>
          <w:rFonts w:ascii="Arial" w:hAnsi="Arial" w:cs="Arial"/>
          <w:b/>
          <w:bCs/>
          <w:sz w:val="20"/>
          <w:szCs w:val="20"/>
        </w:rPr>
        <w:t>) free BA, (</w:t>
      </w:r>
      <w:r w:rsidR="008D58F7" w:rsidRPr="00207EB8">
        <w:rPr>
          <w:rFonts w:ascii="Arial" w:hAnsi="Arial" w:cs="Arial" w:hint="eastAsia"/>
          <w:b/>
          <w:bCs/>
          <w:sz w:val="20"/>
          <w:szCs w:val="20"/>
        </w:rPr>
        <w:t>d</w:t>
      </w:r>
      <w:r w:rsidR="008D58F7" w:rsidRPr="00207EB8">
        <w:rPr>
          <w:rFonts w:ascii="Arial" w:hAnsi="Arial" w:cs="Arial"/>
          <w:b/>
          <w:bCs/>
          <w:sz w:val="20"/>
          <w:szCs w:val="20"/>
        </w:rPr>
        <w:t>) free CEL (</w:t>
      </w:r>
      <w:r w:rsidR="008D58F7" w:rsidRPr="00207EB8">
        <w:rPr>
          <w:rFonts w:ascii="Arial" w:hAnsi="Arial" w:cs="Arial" w:hint="eastAsia"/>
          <w:b/>
          <w:bCs/>
          <w:sz w:val="20"/>
          <w:szCs w:val="20"/>
        </w:rPr>
        <w:t>e</w:t>
      </w:r>
      <w:r w:rsidR="008D58F7" w:rsidRPr="00207EB8">
        <w:rPr>
          <w:rFonts w:ascii="Arial" w:hAnsi="Arial" w:cs="Arial"/>
          <w:b/>
          <w:bCs/>
          <w:sz w:val="20"/>
          <w:szCs w:val="20"/>
        </w:rPr>
        <w:t>) free CEL+BA, (f) BM, (g) CL, (h) CL@BM or (i) F/CL@BM. (</w:t>
      </w:r>
      <w:r w:rsidR="000947BF" w:rsidRPr="00207EB8">
        <w:rPr>
          <w:rFonts w:ascii="Arial" w:hAnsi="Arial" w:cs="Arial"/>
          <w:b/>
          <w:bCs/>
          <w:sz w:val="20"/>
          <w:szCs w:val="20"/>
        </w:rPr>
        <w:t>A</w:t>
      </w:r>
      <w:r w:rsidR="008D58F7" w:rsidRPr="00207EB8">
        <w:rPr>
          <w:rFonts w:ascii="Arial" w:hAnsi="Arial" w:cs="Arial"/>
          <w:b/>
          <w:bCs/>
          <w:sz w:val="20"/>
          <w:szCs w:val="20"/>
        </w:rPr>
        <w:t>) Western blotting assay for the expression of protein.  (</w:t>
      </w:r>
      <w:r w:rsidR="000947BF" w:rsidRPr="00207EB8">
        <w:rPr>
          <w:rFonts w:ascii="Arial" w:hAnsi="Arial" w:cs="Arial"/>
          <w:b/>
          <w:bCs/>
          <w:sz w:val="20"/>
          <w:szCs w:val="20"/>
        </w:rPr>
        <w:t>B</w:t>
      </w:r>
      <w:r w:rsidR="008D58F7" w:rsidRPr="00207EB8">
        <w:rPr>
          <w:rFonts w:ascii="Arial" w:hAnsi="Arial" w:cs="Arial"/>
          <w:b/>
          <w:bCs/>
          <w:sz w:val="20"/>
          <w:szCs w:val="20"/>
        </w:rPr>
        <w:t xml:space="preserve">) Quantitative analysis. </w:t>
      </w:r>
      <w:r w:rsidR="00B161C9" w:rsidRPr="00207EB8">
        <w:rPr>
          <w:rFonts w:ascii="Arial" w:hAnsi="Arial" w:cs="Arial"/>
          <w:b/>
          <w:bCs/>
          <w:sz w:val="20"/>
          <w:szCs w:val="20"/>
        </w:rPr>
        <w:t xml:space="preserve">Data are shown as mean±SD (n=3). </w:t>
      </w:r>
      <w:r w:rsidR="008D58F7" w:rsidRPr="00207EB8">
        <w:rPr>
          <w:rFonts w:ascii="Arial" w:hAnsi="Arial" w:cs="Arial"/>
          <w:b/>
          <w:bCs/>
          <w:sz w:val="20"/>
          <w:szCs w:val="20"/>
        </w:rPr>
        <w:t>****p &lt; 0.0001.</w:t>
      </w:r>
    </w:p>
    <w:p w14:paraId="6AE42E9E" w14:textId="77777777" w:rsidR="00F2342B" w:rsidRPr="00207EB8" w:rsidRDefault="00F2342B" w:rsidP="00ED58CC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</w:p>
    <w:p w14:paraId="1AED232E" w14:textId="40F6CD52" w:rsidR="00F2342B" w:rsidRPr="00207EB8" w:rsidRDefault="00F2342B" w:rsidP="00ED58CC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  <w:r w:rsidRPr="00207EB8">
        <w:rPr>
          <w:noProof/>
        </w:rPr>
        <w:drawing>
          <wp:inline distT="0" distB="0" distL="0" distR="0" wp14:anchorId="4FDAF2F7" wp14:editId="13455174">
            <wp:extent cx="6203400" cy="2471352"/>
            <wp:effectExtent l="0" t="0" r="6985" b="5715"/>
            <wp:docPr id="66230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100" cy="248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678B0" w14:textId="755D7842" w:rsidR="00F2342B" w:rsidRPr="00207EB8" w:rsidRDefault="00F2342B" w:rsidP="00F174E4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  <w:r w:rsidRPr="00207EB8">
        <w:rPr>
          <w:rFonts w:ascii="Arial" w:hAnsi="Arial" w:cs="Arial"/>
          <w:b/>
          <w:bCs/>
          <w:sz w:val="20"/>
          <w:szCs w:val="20"/>
        </w:rPr>
        <w:t>Supplementary Figure7</w:t>
      </w:r>
      <w:r w:rsidR="002F275A" w:rsidRPr="00207EB8">
        <w:rPr>
          <w:rFonts w:ascii="Arial" w:hAnsi="Arial" w:cs="Arial"/>
          <w:b/>
          <w:bCs/>
          <w:sz w:val="20"/>
          <w:szCs w:val="20"/>
        </w:rPr>
        <w:t xml:space="preserve"> </w:t>
      </w:r>
      <w:r w:rsidR="00F174E4" w:rsidRPr="00207EB8">
        <w:rPr>
          <w:rFonts w:ascii="Arial" w:hAnsi="Arial" w:cs="Arial"/>
          <w:b/>
          <w:bCs/>
          <w:sz w:val="20"/>
          <w:szCs w:val="20"/>
        </w:rPr>
        <w:t>The expression of FAP (A), F</w:t>
      </w:r>
      <w:r w:rsidR="00F174E4" w:rsidRPr="00207EB8">
        <w:rPr>
          <w:rFonts w:ascii="Arial" w:hAnsi="Arial" w:cs="Arial" w:hint="eastAsia"/>
          <w:b/>
          <w:bCs/>
          <w:sz w:val="20"/>
          <w:szCs w:val="20"/>
        </w:rPr>
        <w:t>ibroncetin</w:t>
      </w:r>
      <w:r w:rsidR="00F174E4" w:rsidRPr="00207EB8">
        <w:rPr>
          <w:rFonts w:ascii="Arial" w:hAnsi="Arial" w:cs="Arial"/>
          <w:b/>
          <w:bCs/>
          <w:sz w:val="20"/>
          <w:szCs w:val="20"/>
        </w:rPr>
        <w:t xml:space="preserve"> (B) was determined by </w:t>
      </w:r>
      <w:r w:rsidR="00B87812" w:rsidRPr="00207EB8">
        <w:rPr>
          <w:rFonts w:ascii="Arial" w:hAnsi="Arial" w:cs="Arial"/>
          <w:b/>
          <w:bCs/>
          <w:sz w:val="20"/>
          <w:szCs w:val="20"/>
        </w:rPr>
        <w:t>Quantitative Real-time PCR</w:t>
      </w:r>
      <w:r w:rsidR="00F174E4" w:rsidRPr="00207EB8">
        <w:rPr>
          <w:rFonts w:ascii="Arial" w:hAnsi="Arial" w:cs="Arial"/>
          <w:b/>
          <w:bCs/>
          <w:sz w:val="20"/>
          <w:szCs w:val="20"/>
        </w:rPr>
        <w:t xml:space="preserve"> </w:t>
      </w:r>
      <w:r w:rsidR="00B161C9" w:rsidRPr="00207EB8">
        <w:rPr>
          <w:rFonts w:ascii="Arial" w:hAnsi="Arial" w:cs="Arial"/>
          <w:b/>
          <w:bCs/>
          <w:sz w:val="20"/>
          <w:szCs w:val="20"/>
        </w:rPr>
        <w:t xml:space="preserve">of co-cultures of 4T1 cells and NIH 3T3 fibroblasts </w:t>
      </w:r>
      <w:r w:rsidR="00F174E4" w:rsidRPr="00207EB8">
        <w:rPr>
          <w:rFonts w:ascii="Arial" w:hAnsi="Arial" w:cs="Arial"/>
          <w:b/>
          <w:bCs/>
          <w:sz w:val="20"/>
          <w:szCs w:val="20"/>
        </w:rPr>
        <w:t>after treatment with diferent preparations. Data are shown as mean±SD (n=3). ***p&lt;0.001, ****p&lt;0.0001</w:t>
      </w:r>
      <w:r w:rsidR="00BE53B4" w:rsidRPr="00207EB8">
        <w:rPr>
          <w:rFonts w:ascii="Arial" w:hAnsi="Arial" w:cs="Arial"/>
          <w:b/>
          <w:bCs/>
          <w:sz w:val="20"/>
          <w:szCs w:val="20"/>
        </w:rPr>
        <w:t>.</w:t>
      </w:r>
      <w:r w:rsidR="00F174E4" w:rsidRPr="00207EB8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0F30DFCD" w14:textId="327032D9" w:rsidR="00F2342B" w:rsidRPr="00207EB8" w:rsidRDefault="008B2B3C" w:rsidP="00ED58CC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  <w:r w:rsidRPr="00207EB8">
        <w:rPr>
          <w:noProof/>
        </w:rPr>
        <w:lastRenderedPageBreak/>
        <w:drawing>
          <wp:inline distT="0" distB="0" distL="0" distR="0" wp14:anchorId="30D9B122" wp14:editId="59519580">
            <wp:extent cx="5274310" cy="3782695"/>
            <wp:effectExtent l="0" t="0" r="2540" b="8255"/>
            <wp:docPr id="19471401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52FBC" w14:textId="654A1E54" w:rsidR="007E0EBD" w:rsidRPr="00207EB8" w:rsidRDefault="00F2342B" w:rsidP="007E0EBD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  <w:r w:rsidRPr="00207EB8">
        <w:rPr>
          <w:rFonts w:ascii="Arial" w:hAnsi="Arial" w:cs="Arial"/>
          <w:b/>
          <w:bCs/>
          <w:sz w:val="20"/>
          <w:szCs w:val="20"/>
        </w:rPr>
        <w:t>Supplementary Figure8</w:t>
      </w:r>
      <w:r w:rsidR="000E4278" w:rsidRPr="00207EB8">
        <w:rPr>
          <w:rFonts w:ascii="Arial" w:hAnsi="Arial" w:cs="Arial"/>
          <w:b/>
          <w:bCs/>
          <w:sz w:val="20"/>
          <w:szCs w:val="20"/>
        </w:rPr>
        <w:t xml:space="preserve"> </w:t>
      </w:r>
      <w:r w:rsidR="007E0EBD" w:rsidRPr="00207EB8">
        <w:rPr>
          <w:rFonts w:ascii="Arial" w:hAnsi="Arial" w:cs="Arial"/>
          <w:b/>
          <w:bCs/>
          <w:sz w:val="20"/>
          <w:szCs w:val="20"/>
        </w:rPr>
        <w:t xml:space="preserve">Western blotting </w:t>
      </w:r>
      <w:r w:rsidR="00EC1765" w:rsidRPr="00207EB8">
        <w:rPr>
          <w:rFonts w:ascii="Arial" w:hAnsi="Arial" w:cs="Arial"/>
          <w:b/>
          <w:bCs/>
          <w:sz w:val="20"/>
          <w:szCs w:val="20"/>
        </w:rPr>
        <w:t xml:space="preserve">and Quantitative Real-time PCR </w:t>
      </w:r>
      <w:r w:rsidR="007E0EBD" w:rsidRPr="00207EB8">
        <w:rPr>
          <w:rFonts w:ascii="Arial" w:hAnsi="Arial" w:cs="Arial"/>
          <w:b/>
          <w:bCs/>
          <w:sz w:val="20"/>
          <w:szCs w:val="20"/>
        </w:rPr>
        <w:t xml:space="preserve">against </w:t>
      </w:r>
      <w:r w:rsidR="007E0EBD" w:rsidRPr="00207EB8">
        <w:rPr>
          <w:rFonts w:ascii="Arial" w:hAnsi="Arial" w:cs="Arial" w:hint="eastAsia"/>
          <w:b/>
          <w:bCs/>
          <w:sz w:val="20"/>
          <w:szCs w:val="20"/>
        </w:rPr>
        <w:t>α</w:t>
      </w:r>
      <w:r w:rsidR="007E0EBD" w:rsidRPr="00207EB8">
        <w:rPr>
          <w:rFonts w:ascii="Arial" w:hAnsi="Arial" w:cs="Arial"/>
          <w:b/>
          <w:bCs/>
          <w:sz w:val="20"/>
          <w:szCs w:val="20"/>
        </w:rPr>
        <w:t>-SMA</w:t>
      </w:r>
      <w:r w:rsidR="007E0EBD" w:rsidRPr="00207EB8">
        <w:rPr>
          <w:rFonts w:ascii="Arial" w:hAnsi="Arial" w:cs="Arial" w:hint="eastAsia"/>
          <w:b/>
          <w:bCs/>
          <w:sz w:val="20"/>
          <w:szCs w:val="20"/>
        </w:rPr>
        <w:t>,</w:t>
      </w:r>
      <w:r w:rsidR="007E0EBD" w:rsidRPr="00207EB8">
        <w:rPr>
          <w:rFonts w:ascii="Arial" w:hAnsi="Arial" w:cs="Arial"/>
          <w:b/>
          <w:bCs/>
          <w:sz w:val="20"/>
          <w:szCs w:val="20"/>
        </w:rPr>
        <w:t xml:space="preserve"> FAP and F</w:t>
      </w:r>
      <w:r w:rsidR="007E0EBD" w:rsidRPr="00207EB8">
        <w:rPr>
          <w:rFonts w:ascii="Arial" w:hAnsi="Arial" w:cs="Arial" w:hint="eastAsia"/>
          <w:b/>
          <w:bCs/>
          <w:sz w:val="20"/>
          <w:szCs w:val="20"/>
        </w:rPr>
        <w:t>ibroncetin</w:t>
      </w:r>
      <w:r w:rsidR="007E0EBD" w:rsidRPr="00207EB8">
        <w:rPr>
          <w:rFonts w:ascii="Arial" w:hAnsi="Arial" w:cs="Arial"/>
          <w:b/>
          <w:bCs/>
          <w:sz w:val="20"/>
          <w:szCs w:val="20"/>
        </w:rPr>
        <w:t xml:space="preserve"> </w:t>
      </w:r>
      <w:r w:rsidR="00EC1765" w:rsidRPr="00207EB8">
        <w:rPr>
          <w:rFonts w:ascii="Arial" w:hAnsi="Arial" w:cs="Arial"/>
          <w:b/>
          <w:bCs/>
          <w:sz w:val="20"/>
          <w:szCs w:val="20"/>
        </w:rPr>
        <w:t xml:space="preserve">in vivo </w:t>
      </w:r>
      <w:r w:rsidR="007E0EBD" w:rsidRPr="00207EB8">
        <w:rPr>
          <w:rFonts w:ascii="Arial" w:hAnsi="Arial" w:cs="Arial"/>
          <w:b/>
          <w:bCs/>
          <w:sz w:val="20"/>
          <w:szCs w:val="20"/>
        </w:rPr>
        <w:t>from (</w:t>
      </w:r>
      <w:r w:rsidR="007E0EBD" w:rsidRPr="00207EB8">
        <w:rPr>
          <w:rFonts w:ascii="Arial" w:hAnsi="Arial" w:cs="Arial" w:hint="eastAsia"/>
          <w:b/>
          <w:bCs/>
          <w:sz w:val="20"/>
          <w:szCs w:val="20"/>
        </w:rPr>
        <w:t>a</w:t>
      </w:r>
      <w:r w:rsidR="007E0EBD" w:rsidRPr="00207EB8">
        <w:rPr>
          <w:rFonts w:ascii="Arial" w:hAnsi="Arial" w:cs="Arial"/>
          <w:b/>
          <w:bCs/>
          <w:sz w:val="20"/>
          <w:szCs w:val="20"/>
        </w:rPr>
        <w:t xml:space="preserve">) </w:t>
      </w:r>
      <w:r w:rsidR="001C213E" w:rsidRPr="00207EB8">
        <w:rPr>
          <w:rFonts w:ascii="Arial" w:hAnsi="Arial" w:cs="Arial" w:hint="eastAsia"/>
          <w:b/>
          <w:bCs/>
          <w:sz w:val="20"/>
          <w:szCs w:val="20"/>
        </w:rPr>
        <w:t>“</w:t>
      </w:r>
      <w:r w:rsidR="001C213E" w:rsidRPr="00207EB8">
        <w:rPr>
          <w:rFonts w:ascii="Arial" w:hAnsi="Arial" w:cs="Arial"/>
          <w:b/>
          <w:bCs/>
          <w:sz w:val="20"/>
          <w:szCs w:val="20"/>
        </w:rPr>
        <w:t xml:space="preserve">Control” animals </w:t>
      </w:r>
      <w:r w:rsidR="00222652" w:rsidRPr="00207EB8">
        <w:rPr>
          <w:rFonts w:ascii="Arial" w:hAnsi="Arial" w:cs="Arial"/>
          <w:b/>
          <w:bCs/>
          <w:sz w:val="20"/>
          <w:szCs w:val="20"/>
        </w:rPr>
        <w:t>(</w:t>
      </w:r>
      <w:r w:rsidR="001C213E" w:rsidRPr="00207EB8">
        <w:rPr>
          <w:rFonts w:ascii="Arial" w:hAnsi="Arial" w:cs="Arial"/>
          <w:b/>
          <w:bCs/>
          <w:sz w:val="20"/>
          <w:szCs w:val="20"/>
        </w:rPr>
        <w:t>injected with PBS</w:t>
      </w:r>
      <w:r w:rsidR="00222652" w:rsidRPr="00207EB8">
        <w:rPr>
          <w:rFonts w:ascii="Arial" w:hAnsi="Arial" w:cs="Arial"/>
          <w:b/>
          <w:bCs/>
          <w:sz w:val="20"/>
          <w:szCs w:val="20"/>
        </w:rPr>
        <w:t>)</w:t>
      </w:r>
      <w:r w:rsidR="007E0EBD" w:rsidRPr="00207EB8">
        <w:rPr>
          <w:rFonts w:ascii="Arial" w:hAnsi="Arial" w:cs="Arial"/>
          <w:b/>
          <w:bCs/>
          <w:sz w:val="20"/>
          <w:szCs w:val="20"/>
        </w:rPr>
        <w:t>, (</w:t>
      </w:r>
      <w:r w:rsidR="007E0EBD" w:rsidRPr="00207EB8">
        <w:rPr>
          <w:rFonts w:ascii="Arial" w:hAnsi="Arial" w:cs="Arial" w:hint="eastAsia"/>
          <w:b/>
          <w:bCs/>
          <w:sz w:val="20"/>
          <w:szCs w:val="20"/>
        </w:rPr>
        <w:t>b</w:t>
      </w:r>
      <w:r w:rsidR="007E0EBD" w:rsidRPr="00207EB8">
        <w:rPr>
          <w:rFonts w:ascii="Arial" w:hAnsi="Arial" w:cs="Arial"/>
          <w:b/>
          <w:bCs/>
          <w:sz w:val="20"/>
          <w:szCs w:val="20"/>
        </w:rPr>
        <w:t>) free BA, (</w:t>
      </w:r>
      <w:r w:rsidR="00222652" w:rsidRPr="00207EB8">
        <w:rPr>
          <w:rFonts w:ascii="Arial" w:hAnsi="Arial" w:cs="Arial"/>
          <w:b/>
          <w:bCs/>
          <w:sz w:val="20"/>
          <w:szCs w:val="20"/>
        </w:rPr>
        <w:t>c</w:t>
      </w:r>
      <w:r w:rsidR="007E0EBD" w:rsidRPr="00207EB8">
        <w:rPr>
          <w:rFonts w:ascii="Arial" w:hAnsi="Arial" w:cs="Arial"/>
          <w:b/>
          <w:bCs/>
          <w:sz w:val="20"/>
          <w:szCs w:val="20"/>
        </w:rPr>
        <w:t>) free CEL (</w:t>
      </w:r>
      <w:r w:rsidR="00222652" w:rsidRPr="00207EB8">
        <w:rPr>
          <w:rFonts w:ascii="Arial" w:hAnsi="Arial" w:cs="Arial"/>
          <w:b/>
          <w:bCs/>
          <w:sz w:val="20"/>
          <w:szCs w:val="20"/>
        </w:rPr>
        <w:t>d</w:t>
      </w:r>
      <w:r w:rsidR="007E0EBD" w:rsidRPr="00207EB8">
        <w:rPr>
          <w:rFonts w:ascii="Arial" w:hAnsi="Arial" w:cs="Arial"/>
          <w:b/>
          <w:bCs/>
          <w:sz w:val="20"/>
          <w:szCs w:val="20"/>
        </w:rPr>
        <w:t>) free CEL+BA, (</w:t>
      </w:r>
      <w:r w:rsidR="00222652" w:rsidRPr="00207EB8">
        <w:rPr>
          <w:rFonts w:ascii="Arial" w:hAnsi="Arial" w:cs="Arial"/>
          <w:b/>
          <w:bCs/>
          <w:sz w:val="20"/>
          <w:szCs w:val="20"/>
        </w:rPr>
        <w:t>e</w:t>
      </w:r>
      <w:r w:rsidR="007E0EBD" w:rsidRPr="00207EB8">
        <w:rPr>
          <w:rFonts w:ascii="Arial" w:hAnsi="Arial" w:cs="Arial"/>
          <w:b/>
          <w:bCs/>
          <w:sz w:val="20"/>
          <w:szCs w:val="20"/>
        </w:rPr>
        <w:t>) BM, (</w:t>
      </w:r>
      <w:r w:rsidR="00222652" w:rsidRPr="00207EB8">
        <w:rPr>
          <w:rFonts w:ascii="Arial" w:hAnsi="Arial" w:cs="Arial"/>
          <w:b/>
          <w:bCs/>
          <w:sz w:val="20"/>
          <w:szCs w:val="20"/>
        </w:rPr>
        <w:t>f</w:t>
      </w:r>
      <w:r w:rsidR="007E0EBD" w:rsidRPr="00207EB8">
        <w:rPr>
          <w:rFonts w:ascii="Arial" w:hAnsi="Arial" w:cs="Arial"/>
          <w:b/>
          <w:bCs/>
          <w:sz w:val="20"/>
          <w:szCs w:val="20"/>
        </w:rPr>
        <w:t>) CL, (</w:t>
      </w:r>
      <w:r w:rsidR="00222652" w:rsidRPr="00207EB8">
        <w:rPr>
          <w:rFonts w:ascii="Arial" w:hAnsi="Arial" w:cs="Arial"/>
          <w:b/>
          <w:bCs/>
          <w:sz w:val="20"/>
          <w:szCs w:val="20"/>
        </w:rPr>
        <w:t>g</w:t>
      </w:r>
      <w:r w:rsidR="007E0EBD" w:rsidRPr="00207EB8">
        <w:rPr>
          <w:rFonts w:ascii="Arial" w:hAnsi="Arial" w:cs="Arial"/>
          <w:b/>
          <w:bCs/>
          <w:sz w:val="20"/>
          <w:szCs w:val="20"/>
        </w:rPr>
        <w:t>) CL@BM or (</w:t>
      </w:r>
      <w:r w:rsidR="00222652" w:rsidRPr="00207EB8">
        <w:rPr>
          <w:rFonts w:ascii="Arial" w:hAnsi="Arial" w:cs="Arial"/>
          <w:b/>
          <w:bCs/>
          <w:sz w:val="20"/>
          <w:szCs w:val="20"/>
        </w:rPr>
        <w:t>h</w:t>
      </w:r>
      <w:r w:rsidR="007E0EBD" w:rsidRPr="00207EB8">
        <w:rPr>
          <w:rFonts w:ascii="Arial" w:hAnsi="Arial" w:cs="Arial"/>
          <w:b/>
          <w:bCs/>
          <w:sz w:val="20"/>
          <w:szCs w:val="20"/>
        </w:rPr>
        <w:t xml:space="preserve">) F/CL@BM. (A) Western blotting assay for the expression of protein.  (B) Quantitative analysis. </w:t>
      </w:r>
      <w:r w:rsidR="0045377D" w:rsidRPr="00207EB8">
        <w:rPr>
          <w:rFonts w:ascii="Arial" w:hAnsi="Arial" w:cs="Arial"/>
          <w:b/>
          <w:bCs/>
          <w:sz w:val="20"/>
          <w:szCs w:val="20"/>
        </w:rPr>
        <w:t xml:space="preserve">(C-E) The expression of </w:t>
      </w:r>
      <w:r w:rsidR="0045377D" w:rsidRPr="00207EB8">
        <w:rPr>
          <w:rFonts w:ascii="Arial" w:hAnsi="Arial" w:cs="Arial" w:hint="eastAsia"/>
          <w:b/>
          <w:bCs/>
          <w:sz w:val="20"/>
          <w:szCs w:val="20"/>
        </w:rPr>
        <w:t>α</w:t>
      </w:r>
      <w:r w:rsidR="0045377D" w:rsidRPr="00207EB8">
        <w:rPr>
          <w:rFonts w:ascii="Arial" w:hAnsi="Arial" w:cs="Arial"/>
          <w:b/>
          <w:bCs/>
          <w:sz w:val="20"/>
          <w:szCs w:val="20"/>
        </w:rPr>
        <w:t>-SMA (C), FAP (D), F</w:t>
      </w:r>
      <w:r w:rsidR="0045377D" w:rsidRPr="00207EB8">
        <w:rPr>
          <w:rFonts w:ascii="Arial" w:hAnsi="Arial" w:cs="Arial" w:hint="eastAsia"/>
          <w:b/>
          <w:bCs/>
          <w:sz w:val="20"/>
          <w:szCs w:val="20"/>
        </w:rPr>
        <w:t>ibroncetin</w:t>
      </w:r>
      <w:r w:rsidR="0045377D" w:rsidRPr="00207EB8">
        <w:rPr>
          <w:rFonts w:ascii="Arial" w:hAnsi="Arial" w:cs="Arial"/>
          <w:b/>
          <w:bCs/>
          <w:sz w:val="20"/>
          <w:szCs w:val="20"/>
        </w:rPr>
        <w:t xml:space="preserve"> (E) was determined by Quantitative Real-time PCR. </w:t>
      </w:r>
      <w:r w:rsidR="007E0EBD" w:rsidRPr="00207EB8">
        <w:rPr>
          <w:rFonts w:ascii="Arial" w:hAnsi="Arial" w:cs="Arial"/>
          <w:b/>
          <w:bCs/>
          <w:sz w:val="20"/>
          <w:szCs w:val="20"/>
        </w:rPr>
        <w:t>Data are shown as mean±SD (n=3). ****p &lt; 0.0001.</w:t>
      </w:r>
    </w:p>
    <w:p w14:paraId="165EF69B" w14:textId="63454724" w:rsidR="00F2342B" w:rsidRPr="00207EB8" w:rsidRDefault="00F2342B" w:rsidP="00F2342B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</w:p>
    <w:p w14:paraId="27C551E1" w14:textId="77777777" w:rsidR="00F2342B" w:rsidRPr="00207EB8" w:rsidRDefault="00F2342B" w:rsidP="00ED58CC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</w:p>
    <w:p w14:paraId="4990182A" w14:textId="748377F8" w:rsidR="00ED58CC" w:rsidRPr="00207EB8" w:rsidRDefault="00B85074" w:rsidP="00B85074">
      <w:pPr>
        <w:widowControl/>
        <w:jc w:val="center"/>
        <w:rPr>
          <w:rFonts w:ascii="Arial" w:eastAsia="SimSun" w:hAnsi="Arial" w:cs="Arial"/>
          <w:kern w:val="0"/>
          <w:sz w:val="20"/>
          <w:szCs w:val="20"/>
        </w:rPr>
      </w:pPr>
      <w:r w:rsidRPr="00207EB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3B05FF5" wp14:editId="2A5AB2A0">
            <wp:extent cx="3136900" cy="4178300"/>
            <wp:effectExtent l="0" t="0" r="6350" b="0"/>
            <wp:docPr id="278739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1873" w14:textId="7F4893B6" w:rsidR="00B85074" w:rsidRPr="00207EB8" w:rsidRDefault="00381991" w:rsidP="00B85074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  <w:r w:rsidRPr="00207EB8">
        <w:rPr>
          <w:rFonts w:ascii="Arial" w:hAnsi="Arial" w:cs="Arial"/>
          <w:b/>
          <w:bCs/>
          <w:sz w:val="20"/>
          <w:szCs w:val="20"/>
        </w:rPr>
        <w:t>Supplementary Figure9</w:t>
      </w:r>
      <w:r w:rsidRPr="00207EB8">
        <w:rPr>
          <w:rFonts w:ascii="Arial" w:eastAsia="SimSun" w:hAnsi="Arial" w:cs="Arial" w:hint="eastAsia"/>
          <w:kern w:val="0"/>
          <w:sz w:val="20"/>
          <w:szCs w:val="20"/>
        </w:rPr>
        <w:t xml:space="preserve"> </w:t>
      </w:r>
      <w:r w:rsidRPr="00207EB8">
        <w:rPr>
          <w:rFonts w:ascii="Arial" w:eastAsia="SimSun" w:hAnsi="Arial" w:cs="Arial"/>
          <w:kern w:val="0"/>
          <w:sz w:val="20"/>
          <w:szCs w:val="20"/>
        </w:rPr>
        <w:t>H</w:t>
      </w:r>
      <w:r w:rsidR="00B85074" w:rsidRPr="00207EB8">
        <w:rPr>
          <w:rFonts w:ascii="Arial" w:eastAsia="SimSun" w:hAnsi="Arial" w:cs="Arial"/>
          <w:kern w:val="0"/>
          <w:sz w:val="20"/>
          <w:szCs w:val="20"/>
        </w:rPr>
        <w:t>emolysis assay. a, Water; b, Free BA; c, Free CEL; d, Free BA+CEL; e, BM; f, CL; g, CL@BM; h, F/CL@BM.</w:t>
      </w:r>
    </w:p>
    <w:p w14:paraId="712D644F" w14:textId="77777777" w:rsidR="00E15246" w:rsidRPr="00207EB8" w:rsidRDefault="00E15246" w:rsidP="00B85074">
      <w:pPr>
        <w:widowControl/>
        <w:jc w:val="left"/>
        <w:rPr>
          <w:rFonts w:ascii="Arial" w:eastAsia="SimSun" w:hAnsi="Arial" w:cs="Arial"/>
          <w:kern w:val="0"/>
          <w:sz w:val="20"/>
          <w:szCs w:val="20"/>
        </w:rPr>
      </w:pPr>
    </w:p>
    <w:p w14:paraId="5408EC7B" w14:textId="77777777" w:rsidR="00B85074" w:rsidRPr="00207EB8" w:rsidRDefault="00B85074" w:rsidP="00B85074">
      <w:pPr>
        <w:widowControl/>
        <w:jc w:val="center"/>
        <w:rPr>
          <w:rFonts w:ascii="Arial" w:eastAsia="SimSun" w:hAnsi="Arial" w:cs="Arial"/>
          <w:kern w:val="0"/>
          <w:sz w:val="20"/>
          <w:szCs w:val="20"/>
        </w:rPr>
      </w:pPr>
    </w:p>
    <w:sectPr w:rsidR="00B85074" w:rsidRPr="00207EB8">
      <w:footerReference w:type="even" r:id="rId15"/>
      <w:footerReference w:type="defaul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C06BB" w14:textId="77777777" w:rsidR="006A3B7E" w:rsidRDefault="006A3B7E" w:rsidP="00EC5D0F">
      <w:r>
        <w:separator/>
      </w:r>
    </w:p>
  </w:endnote>
  <w:endnote w:type="continuationSeparator" w:id="0">
    <w:p w14:paraId="4146C1A7" w14:textId="77777777" w:rsidR="006A3B7E" w:rsidRDefault="006A3B7E" w:rsidP="00EC5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2C2E6" w14:textId="41E2450F" w:rsidR="00207EB8" w:rsidRDefault="00207EB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0801CBA" wp14:editId="109C7CE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335599943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12A59" w14:textId="68825553" w:rsidR="00207EB8" w:rsidRPr="00207EB8" w:rsidRDefault="00207EB8" w:rsidP="00207EB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07EB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801C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17C12A59" w14:textId="68825553" w:rsidR="00207EB8" w:rsidRPr="00207EB8" w:rsidRDefault="00207EB8" w:rsidP="00207EB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07EB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6774D" w14:textId="1970A9B5" w:rsidR="00207EB8" w:rsidRDefault="00207EB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22B518F" wp14:editId="70F72304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5777391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565149" w14:textId="46794E96" w:rsidR="00207EB8" w:rsidRPr="00207EB8" w:rsidRDefault="00207EB8" w:rsidP="00207EB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07EB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B518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6C565149" w14:textId="46794E96" w:rsidR="00207EB8" w:rsidRPr="00207EB8" w:rsidRDefault="00207EB8" w:rsidP="00207EB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07EB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AA0A6" w14:textId="45318E4D" w:rsidR="00207EB8" w:rsidRDefault="00207EB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92D0414" wp14:editId="7BF1043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819099682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7F8897" w14:textId="74A7F2CD" w:rsidR="00207EB8" w:rsidRPr="00207EB8" w:rsidRDefault="00207EB8" w:rsidP="00207EB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07EB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D04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617F8897" w14:textId="74A7F2CD" w:rsidR="00207EB8" w:rsidRPr="00207EB8" w:rsidRDefault="00207EB8" w:rsidP="00207EB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07EB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70343" w14:textId="77777777" w:rsidR="006A3B7E" w:rsidRDefault="006A3B7E" w:rsidP="00EC5D0F">
      <w:r>
        <w:separator/>
      </w:r>
    </w:p>
  </w:footnote>
  <w:footnote w:type="continuationSeparator" w:id="0">
    <w:p w14:paraId="4933B276" w14:textId="77777777" w:rsidR="006A3B7E" w:rsidRDefault="006A3B7E" w:rsidP="00EC5D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FC"/>
    <w:rsid w:val="00006879"/>
    <w:rsid w:val="000133F0"/>
    <w:rsid w:val="000166A8"/>
    <w:rsid w:val="00042A92"/>
    <w:rsid w:val="00055168"/>
    <w:rsid w:val="0007359D"/>
    <w:rsid w:val="00084D44"/>
    <w:rsid w:val="000947BF"/>
    <w:rsid w:val="000B2063"/>
    <w:rsid w:val="000B5210"/>
    <w:rsid w:val="000E4278"/>
    <w:rsid w:val="001350E6"/>
    <w:rsid w:val="00164A9B"/>
    <w:rsid w:val="00184CC2"/>
    <w:rsid w:val="001B7DBD"/>
    <w:rsid w:val="001C213E"/>
    <w:rsid w:val="00207EB8"/>
    <w:rsid w:val="00212184"/>
    <w:rsid w:val="00222652"/>
    <w:rsid w:val="002C6BFA"/>
    <w:rsid w:val="002F180D"/>
    <w:rsid w:val="002F275A"/>
    <w:rsid w:val="00381991"/>
    <w:rsid w:val="003D6149"/>
    <w:rsid w:val="003F2DCA"/>
    <w:rsid w:val="003F5013"/>
    <w:rsid w:val="00402A59"/>
    <w:rsid w:val="00444B1E"/>
    <w:rsid w:val="0045377D"/>
    <w:rsid w:val="00461D6B"/>
    <w:rsid w:val="00473394"/>
    <w:rsid w:val="00536B4E"/>
    <w:rsid w:val="00584E7A"/>
    <w:rsid w:val="005B101C"/>
    <w:rsid w:val="00612073"/>
    <w:rsid w:val="00643FBA"/>
    <w:rsid w:val="00663B11"/>
    <w:rsid w:val="006806D5"/>
    <w:rsid w:val="006A384E"/>
    <w:rsid w:val="006A3B7E"/>
    <w:rsid w:val="006E04B7"/>
    <w:rsid w:val="006F451C"/>
    <w:rsid w:val="00701FF6"/>
    <w:rsid w:val="007C119C"/>
    <w:rsid w:val="007E0EBD"/>
    <w:rsid w:val="00861224"/>
    <w:rsid w:val="00873404"/>
    <w:rsid w:val="0088246A"/>
    <w:rsid w:val="008B2B3C"/>
    <w:rsid w:val="008D58F7"/>
    <w:rsid w:val="008F2E28"/>
    <w:rsid w:val="008F6AFC"/>
    <w:rsid w:val="009026A0"/>
    <w:rsid w:val="0094347D"/>
    <w:rsid w:val="00972C35"/>
    <w:rsid w:val="009D03E6"/>
    <w:rsid w:val="00A10C7B"/>
    <w:rsid w:val="00A34219"/>
    <w:rsid w:val="00AE3234"/>
    <w:rsid w:val="00B05839"/>
    <w:rsid w:val="00B1597F"/>
    <w:rsid w:val="00B161C9"/>
    <w:rsid w:val="00B85074"/>
    <w:rsid w:val="00B87812"/>
    <w:rsid w:val="00B9400D"/>
    <w:rsid w:val="00BB026F"/>
    <w:rsid w:val="00BE53B4"/>
    <w:rsid w:val="00C0292E"/>
    <w:rsid w:val="00C545E2"/>
    <w:rsid w:val="00D162CF"/>
    <w:rsid w:val="00D50E91"/>
    <w:rsid w:val="00DC7FE7"/>
    <w:rsid w:val="00E15246"/>
    <w:rsid w:val="00E17AE9"/>
    <w:rsid w:val="00E67038"/>
    <w:rsid w:val="00E757AB"/>
    <w:rsid w:val="00EC0343"/>
    <w:rsid w:val="00EC1765"/>
    <w:rsid w:val="00EC2BC3"/>
    <w:rsid w:val="00EC5D0F"/>
    <w:rsid w:val="00ED58CC"/>
    <w:rsid w:val="00F174E4"/>
    <w:rsid w:val="00F2342B"/>
    <w:rsid w:val="00FB7097"/>
    <w:rsid w:val="00FC2C51"/>
    <w:rsid w:val="00FC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E24939"/>
  <w15:chartTrackingRefBased/>
  <w15:docId w15:val="{D83715A4-B2FA-4201-AB70-3D50A7470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EBD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5D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C5D0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C5D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C5D0F"/>
    <w:rPr>
      <w:sz w:val="18"/>
      <w:szCs w:val="18"/>
    </w:rPr>
  </w:style>
  <w:style w:type="table" w:styleId="TableGrid">
    <w:name w:val="Table Grid"/>
    <w:basedOn w:val="TableNormal"/>
    <w:uiPriority w:val="39"/>
    <w:rsid w:val="00FC5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6E04B7"/>
    <w:pPr>
      <w:ind w:firstLineChars="200" w:firstLine="42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6E0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7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6</Pages>
  <Words>382</Words>
  <Characters>2184</Characters>
  <Application>Microsoft Office Word</Application>
  <DocSecurity>0</DocSecurity>
  <Lines>18</Lines>
  <Paragraphs>5</Paragraphs>
  <ScaleCrop>false</ScaleCrop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珍</dc:creator>
  <cp:keywords/>
  <dc:description/>
  <cp:lastModifiedBy>Thadani, Lavina</cp:lastModifiedBy>
  <cp:revision>78</cp:revision>
  <dcterms:created xsi:type="dcterms:W3CDTF">2023-10-22T03:46:00Z</dcterms:created>
  <dcterms:modified xsi:type="dcterms:W3CDTF">2023-11-07T20:57:00Z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6c6d4222,1400d947,f5d5159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2023-11-07T20:57:49Z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fb8fd934-c46c-4870-8843-17a3586e2f8e</vt:lpwstr>
  </property>
  <property fmtid="{D5CDD505-2E9C-101B-9397-08002B2CF9AE}" pid="11" name="MSIP_Label_2bbab825-a111-45e4-86a1-18cee0005896_ContentBits">
    <vt:lpwstr>2</vt:lpwstr>
  </property>
</Properties>
</file>