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default" w:ascii="Arial" w:hAnsi="Arial" w:eastAsia="宋体" w:cs="Arial"/>
          <w:sz w:val="20"/>
          <w:szCs w:val="20"/>
          <w:lang w:val="en-US" w:eastAsia="zh-CN" w:bidi="ar"/>
        </w:rPr>
      </w:pPr>
      <w:bookmarkStart w:id="0" w:name="_GoBack"/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Table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S1.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The Hardy-Weinberg equilibrium of </w:t>
      </w:r>
      <w:r>
        <w:rPr>
          <w:rFonts w:hint="default" w:ascii="Arial" w:hAnsi="Arial" w:eastAsia="宋体" w:cs="Arial"/>
          <w:i/>
          <w:iCs/>
          <w:sz w:val="20"/>
          <w:szCs w:val="20"/>
        </w:rPr>
        <w:t>GSTM1</w:t>
      </w:r>
      <w:r>
        <w:rPr>
          <w:rFonts w:hint="default" w:ascii="Arial" w:hAnsi="Arial" w:eastAsia="宋体" w:cs="Arial"/>
          <w:sz w:val="20"/>
          <w:szCs w:val="20"/>
        </w:rPr>
        <w:t xml:space="preserve">(rs1056806),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SOD2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(rs4880),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NOS1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(rs1047735),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NOS3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(rs1800779) and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ADORA2A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(rs2298383)</w:t>
      </w:r>
      <w:r>
        <w:rPr>
          <w:rFonts w:hint="default" w:ascii="Arial" w:hAnsi="Arial" w:eastAsia="宋体" w:cs="Arial"/>
          <w:sz w:val="20"/>
          <w:szCs w:val="20"/>
          <w:lang w:val="en-US" w:eastAsia="zh-CN" w:bidi="ar"/>
        </w:rPr>
        <w:t xml:space="preserve"> </w:t>
      </w:r>
    </w:p>
    <w:p>
      <w:pPr>
        <w:spacing w:line="276" w:lineRule="auto"/>
        <w:rPr>
          <w:rFonts w:hint="default" w:ascii="Arial" w:hAnsi="Arial" w:eastAsia="宋体" w:cs="Arial"/>
          <w:sz w:val="20"/>
          <w:szCs w:val="20"/>
          <w:lang w:val="en-US" w:eastAsia="zh-CN" w:bidi="ar"/>
        </w:rPr>
      </w:pPr>
    </w:p>
    <w:tbl>
      <w:tblPr>
        <w:tblStyle w:val="3"/>
        <w:tblW w:w="376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1125"/>
        <w:gridCol w:w="1254"/>
        <w:gridCol w:w="125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single" w:color="auto" w:sz="8" w:space="0"/>
              <w:bottom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SNP</w:t>
            </w:r>
          </w:p>
        </w:tc>
        <w:tc>
          <w:tcPr>
            <w:tcW w:w="877" w:type="pct"/>
            <w:tcBorders>
              <w:top w:val="single" w:color="auto" w:sz="8" w:space="0"/>
              <w:bottom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Group</w:t>
            </w:r>
          </w:p>
        </w:tc>
        <w:tc>
          <w:tcPr>
            <w:tcW w:w="978" w:type="pct"/>
            <w:tcBorders>
              <w:top w:val="single" w:color="auto" w:sz="8" w:space="0"/>
              <w:bottom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χ</w:t>
            </w: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0" w:type="pct"/>
            <w:tcBorders>
              <w:top w:val="single" w:color="auto" w:sz="8" w:space="0"/>
              <w:bottom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  <w:t>GSTM1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(rs1056806)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0.90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2.17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0.141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ALL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3.07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0.079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 xml:space="preserve">SOD2 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(rs4880)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0.01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0.906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0.76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ALL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0.39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0.534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NOS1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 (rs1047735)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1.81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0.179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0.46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0.497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ALL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0.01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NOS3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 (rs1800779)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0.62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0.429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0.18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0.671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ALL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0.06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ADORA2A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 (rs2298383)</w:t>
            </w: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0.05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0.828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978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1.05</w:t>
            </w:r>
          </w:p>
        </w:tc>
        <w:tc>
          <w:tcPr>
            <w:tcW w:w="980" w:type="pct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pct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ALL</w:t>
            </w:r>
          </w:p>
        </w:tc>
        <w:tc>
          <w:tcPr>
            <w:tcW w:w="978" w:type="pct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1.18</w:t>
            </w:r>
          </w:p>
        </w:tc>
        <w:tc>
          <w:tcPr>
            <w:tcW w:w="980" w:type="pct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0.278</w:t>
            </w:r>
          </w:p>
        </w:tc>
      </w:tr>
    </w:tbl>
    <w:p>
      <w:pPr>
        <w:spacing w:line="276" w:lineRule="auto"/>
        <w:ind w:firstLine="1000" w:firstLineChars="500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>Notes:</w:t>
      </w: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TD, tardive dyskinesia;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non-TD</w:t>
      </w:r>
      <w:r>
        <w:rPr>
          <w:rFonts w:hint="default" w:ascii="Arial" w:hAnsi="Arial" w:cs="Arial"/>
          <w:sz w:val="20"/>
          <w:szCs w:val="20"/>
        </w:rPr>
        <w:t>, without</w:t>
      </w:r>
      <w:r>
        <w:rPr>
          <w:rFonts w:hint="default" w:ascii="Arial" w:hAnsi="Arial" w:cs="Arial"/>
          <w:color w:val="2E2E2E"/>
          <w:sz w:val="20"/>
          <w:szCs w:val="20"/>
        </w:rPr>
        <w:t> </w:t>
      </w:r>
      <w:r>
        <w:rPr>
          <w:rFonts w:hint="default" w:ascii="Arial" w:hAnsi="Arial" w:cs="Arial"/>
          <w:sz w:val="20"/>
          <w:szCs w:val="20"/>
        </w:rPr>
        <w:t>tardive dyskinesia</w:t>
      </w:r>
      <w:r>
        <w:rPr>
          <w:rFonts w:hint="default" w:ascii="Arial" w:hAnsi="Arial" w:eastAsia="宋体" w:cs="Arial"/>
          <w:sz w:val="20"/>
          <w:szCs w:val="20"/>
        </w:rPr>
        <w:t>; All,216 schizophrenic patients.</w:t>
      </w:r>
    </w:p>
    <w:p>
      <w:pPr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宋体" w:cs="Arial"/>
          <w:sz w:val="20"/>
          <w:szCs w:val="20"/>
        </w:rPr>
        <w:br w:type="page"/>
      </w:r>
    </w:p>
    <w:p>
      <w:pPr>
        <w:spacing w:line="276" w:lineRule="auto"/>
        <w:jc w:val="both"/>
        <w:rPr>
          <w:rFonts w:hint="default" w:ascii="Arial" w:hAnsi="Arial" w:eastAsia="宋体" w:cs="Arial"/>
          <w:b/>
          <w:bCs/>
          <w:sz w:val="20"/>
          <w:szCs w:val="20"/>
        </w:rPr>
      </w:pPr>
      <w:r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  <w:t>Table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2</w:t>
      </w:r>
      <w:r>
        <w:rPr>
          <w:rFonts w:hint="default" w:ascii="Arial" w:hAnsi="Arial" w:cs="Arial"/>
          <w:b/>
          <w:bCs/>
          <w:sz w:val="20"/>
          <w:szCs w:val="20"/>
        </w:rPr>
        <w:t>.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bidi="ar"/>
        </w:rPr>
        <w:t>GMDR models of gene-gene interactions and TD risk</w:t>
      </w:r>
    </w:p>
    <w:tbl>
      <w:tblPr>
        <w:tblStyle w:val="2"/>
        <w:tblpPr w:leftFromText="180" w:rightFromText="180" w:vertAnchor="text" w:horzAnchor="page" w:tblpXSpec="center" w:tblpY="254"/>
        <w:tblOverlap w:val="never"/>
        <w:tblW w:w="433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462"/>
        <w:gridCol w:w="1469"/>
        <w:gridCol w:w="1425"/>
        <w:gridCol w:w="14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0" w:type="pct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Best model</w:t>
            </w:r>
          </w:p>
        </w:tc>
        <w:tc>
          <w:tcPr>
            <w:tcW w:w="988" w:type="pct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Training accuracy (%)</w:t>
            </w:r>
          </w:p>
        </w:tc>
        <w:tc>
          <w:tcPr>
            <w:tcW w:w="993" w:type="pct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Testing accuracy (%)</w:t>
            </w:r>
          </w:p>
        </w:tc>
        <w:tc>
          <w:tcPr>
            <w:tcW w:w="963" w:type="pct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Sign test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 xml:space="preserve"> (</w:t>
            </w: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p-value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)</w:t>
            </w:r>
          </w:p>
        </w:tc>
        <w:tc>
          <w:tcPr>
            <w:tcW w:w="964" w:type="pct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CVC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0" w:type="pc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rs1047735</w:t>
            </w:r>
          </w:p>
        </w:tc>
        <w:tc>
          <w:tcPr>
            <w:tcW w:w="988" w:type="pc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55.94</w:t>
            </w:r>
          </w:p>
        </w:tc>
        <w:tc>
          <w:tcPr>
            <w:tcW w:w="993" w:type="pc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51.28</w:t>
            </w:r>
          </w:p>
        </w:tc>
        <w:tc>
          <w:tcPr>
            <w:tcW w:w="963" w:type="pc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5(0.62)</w:t>
            </w:r>
          </w:p>
        </w:tc>
        <w:tc>
          <w:tcPr>
            <w:tcW w:w="96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8/10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0" w:type="pct"/>
            <w:tcBorders>
              <w:top w:val="nil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rs1047735 rs2298383</w:t>
            </w:r>
          </w:p>
        </w:tc>
        <w:tc>
          <w:tcPr>
            <w:tcW w:w="988" w:type="pct"/>
            <w:tcBorders>
              <w:top w:val="nil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61.48</w:t>
            </w:r>
          </w:p>
        </w:tc>
        <w:tc>
          <w:tcPr>
            <w:tcW w:w="993" w:type="pct"/>
            <w:tcBorders>
              <w:top w:val="nil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49.72</w:t>
            </w:r>
          </w:p>
        </w:tc>
        <w:tc>
          <w:tcPr>
            <w:tcW w:w="963" w:type="pct"/>
            <w:tcBorders>
              <w:top w:val="nil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3(0.95)</w:t>
            </w:r>
          </w:p>
        </w:tc>
        <w:tc>
          <w:tcPr>
            <w:tcW w:w="964" w:type="pct"/>
            <w:tcBorders>
              <w:top w:val="nil"/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5/10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0" w:type="pct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rs1056806 rs1047735 rs2298383</w:t>
            </w:r>
          </w:p>
        </w:tc>
        <w:tc>
          <w:tcPr>
            <w:tcW w:w="988" w:type="pct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69.32</w:t>
            </w:r>
          </w:p>
        </w:tc>
        <w:tc>
          <w:tcPr>
            <w:tcW w:w="993" w:type="pct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59.35</w:t>
            </w:r>
          </w:p>
        </w:tc>
        <w:tc>
          <w:tcPr>
            <w:tcW w:w="963" w:type="pct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9(</w:t>
            </w: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bidi="ar"/>
              </w:rPr>
              <w:t>0.01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)</w:t>
            </w:r>
          </w:p>
        </w:tc>
        <w:tc>
          <w:tcPr>
            <w:tcW w:w="964" w:type="pct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10/10</w:t>
            </w:r>
          </w:p>
        </w:tc>
      </w:tr>
    </w:tbl>
    <w:p>
      <w:pPr>
        <w:spacing w:line="276" w:lineRule="auto"/>
        <w:ind w:firstLine="400" w:firstLineChars="200"/>
        <w:jc w:val="both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>Notes:</w:t>
      </w: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sz w:val="20"/>
          <w:szCs w:val="20"/>
        </w:rPr>
        <w:t xml:space="preserve">CVC, </w:t>
      </w:r>
      <w:r>
        <w:rPr>
          <w:rFonts w:hint="default" w:ascii="Arial" w:hAnsi="Arial" w:eastAsia="宋体" w:cs="Arial"/>
          <w:sz w:val="20"/>
          <w:szCs w:val="20"/>
          <w:lang w:bidi="ar"/>
        </w:rPr>
        <w:t>Cross-validation Consistency</w:t>
      </w:r>
      <w:r>
        <w:rPr>
          <w:rFonts w:hint="default" w:ascii="Arial" w:hAnsi="Arial" w:eastAsia="宋体" w:cs="Arial"/>
          <w:sz w:val="20"/>
          <w:szCs w:val="20"/>
          <w:lang w:eastAsia="zh-CN" w:bidi="ar"/>
        </w:rPr>
        <w:t>；</w:t>
      </w:r>
      <w:r>
        <w:rPr>
          <w:rFonts w:hint="default" w:ascii="Arial" w:hAnsi="Arial" w:eastAsia="等线" w:cs="Arial"/>
          <w:iCs/>
          <w:color w:val="000000"/>
          <w:kern w:val="0"/>
          <w:sz w:val="20"/>
          <w:szCs w:val="20"/>
          <w:lang w:val="en-US" w:eastAsia="zh-CN"/>
        </w:rPr>
        <w:t>Bolding represents P&lt;0.05.</w:t>
      </w:r>
    </w:p>
    <w:p>
      <w:pPr>
        <w:rPr>
          <w:rFonts w:hint="default" w:ascii="Arial" w:hAnsi="Arial" w:eastAsia="宋体" w:cs="Arial"/>
          <w:b/>
          <w:bCs/>
          <w:sz w:val="20"/>
          <w:szCs w:val="20"/>
          <w:lang w:bidi="ar"/>
        </w:rPr>
      </w:pPr>
      <w:r>
        <w:rPr>
          <w:rFonts w:hint="default" w:ascii="Arial" w:hAnsi="Arial" w:eastAsia="宋体" w:cs="Arial"/>
          <w:b/>
          <w:bCs/>
          <w:sz w:val="20"/>
          <w:szCs w:val="20"/>
          <w:lang w:bidi="ar"/>
        </w:rPr>
        <w:br w:type="page"/>
      </w:r>
    </w:p>
    <w:p>
      <w:pPr>
        <w:spacing w:line="276" w:lineRule="auto"/>
        <w:jc w:val="both"/>
        <w:rPr>
          <w:rFonts w:hint="default" w:ascii="Arial" w:hAnsi="Arial" w:eastAsia="宋体" w:cs="Arial"/>
          <w:sz w:val="20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  <w:t>Table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3</w:t>
      </w:r>
      <w:r>
        <w:rPr>
          <w:rFonts w:hint="default" w:ascii="Arial" w:hAnsi="Arial" w:cs="Arial"/>
          <w:b/>
          <w:bCs/>
          <w:sz w:val="20"/>
          <w:szCs w:val="20"/>
        </w:rPr>
        <w:t>.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  <w:lang w:bidi="ar"/>
        </w:rPr>
        <w:t>Interaction analysis between the best genetic model and AIMS total score</w:t>
      </w:r>
    </w:p>
    <w:tbl>
      <w:tblPr>
        <w:tblStyle w:val="2"/>
        <w:tblpPr w:leftFromText="180" w:rightFromText="180" w:vertAnchor="text" w:horzAnchor="page" w:tblpXSpec="center" w:tblpY="305"/>
        <w:tblOverlap w:val="never"/>
        <w:tblW w:w="544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161"/>
        <w:gridCol w:w="1020"/>
        <w:gridCol w:w="230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genotype combination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Frequency（%）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p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OR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 xml:space="preserve"> (95%</w:t>
            </w: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CI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CCAATC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17(7.87)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0.193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1.739(-0.886-4.364)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CCAACC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7(3.24)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0.340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-1.556(-4.765-1.654)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CCAGTT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23(10.64)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0.556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0.749(-1.755-3.252)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CCAGTC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39(18.06)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0.920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-0.12(-2.474-2.235)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CCAGCC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21(9.72)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0.666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-0.556(-3.093-1.981)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CCGGTT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17(7.87)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bidi="ar"/>
              </w:rPr>
              <w:t>0.021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3.092(0.466-5.717)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CCGGTC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21(9.72)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0.313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1.302(-1.235-3.839)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CCGGCC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16(7.41)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0.714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-0.493(-3.146-2.16)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CTAATT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2(0.93)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0.442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1.944(-3.034-6.922)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CTAATC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5(2.31)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0.675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-0.756(-4.307-2.796)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CTAACC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4(1.85)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0.539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1.194(-2.632-5.021)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CTAGTT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3(1.38)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0.918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-0.222(-4.467-4.023)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CTAGTC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13(6.02)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0.193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1.829(-0.932-4.59)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CTAGCC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7(3.24)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0.331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1.587(-1.622-4.796)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CTGGTT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6(2.78)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0.536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-1.056(-4.412-2.301)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CTGGTC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5(2.31)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0.675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-0.756(-4.307-2.796)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CTGGCC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1(0.46)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0.111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5.444(-1.268-12.157)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CCAATT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9(4.17)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23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hint="default" w:ascii="Arial" w:hAnsi="Arial" w:eastAsia="宋体" w:cs="Arial"/>
          <w:sz w:val="20"/>
          <w:szCs w:val="20"/>
          <w:lang w:bidi="ar"/>
        </w:rPr>
      </w:pPr>
    </w:p>
    <w:p>
      <w:pPr>
        <w:spacing w:line="276" w:lineRule="auto"/>
        <w:rPr>
          <w:rFonts w:hint="default" w:ascii="Arial" w:hAnsi="Arial" w:eastAsia="宋体" w:cs="Arial"/>
          <w:sz w:val="20"/>
          <w:szCs w:val="20"/>
          <w:lang w:bidi="ar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eastAsia="宋体" w:cs="Arial"/>
          <w:sz w:val="20"/>
          <w:szCs w:val="20"/>
        </w:rPr>
      </w:pPr>
    </w:p>
    <w:p>
      <w:pPr>
        <w:spacing w:line="276" w:lineRule="auto"/>
        <w:rPr>
          <w:rFonts w:hint="default" w:ascii="Arial" w:hAnsi="Arial" w:cs="Arial"/>
          <w:b/>
          <w:bCs/>
          <w:sz w:val="20"/>
          <w:szCs w:val="20"/>
        </w:rPr>
      </w:pPr>
    </w:p>
    <w:p>
      <w:pPr>
        <w:spacing w:line="276" w:lineRule="auto"/>
        <w:ind w:firstLine="1201" w:firstLineChars="600"/>
        <w:jc w:val="both"/>
        <w:rPr>
          <w:rFonts w:hint="default" w:ascii="Arial" w:hAnsi="Arial" w:eastAsia="宋体" w:cs="Arial"/>
          <w:sz w:val="20"/>
          <w:szCs w:val="20"/>
          <w:lang w:val="en-US" w:eastAsia="zh-CN" w:bidi="ar"/>
        </w:rPr>
      </w:pP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>Notes:</w:t>
      </w:r>
      <w:r>
        <w:rPr>
          <w:rFonts w:hint="default" w:ascii="Arial" w:hAnsi="Arial" w:eastAsia="等线" w:cs="Arial"/>
          <w:b/>
          <w:bCs w:val="0"/>
          <w:kern w:val="2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cs="Arial"/>
          <w:sz w:val="20"/>
          <w:szCs w:val="20"/>
        </w:rPr>
        <w:t>OR</w:t>
      </w:r>
      <w:r>
        <w:rPr>
          <w:rFonts w:hint="default" w:ascii="Arial" w:hAnsi="Arial" w:eastAsia="宋体" w:cs="Arial"/>
          <w:sz w:val="20"/>
          <w:szCs w:val="20"/>
        </w:rPr>
        <w:t xml:space="preserve">, </w:t>
      </w:r>
      <w:r>
        <w:rPr>
          <w:rFonts w:hint="default" w:ascii="Arial" w:hAnsi="Arial" w:cs="Arial"/>
          <w:sz w:val="20"/>
          <w:szCs w:val="20"/>
        </w:rPr>
        <w:t>odds ratio</w:t>
      </w:r>
      <w:r>
        <w:rPr>
          <w:rFonts w:hint="default" w:ascii="Arial" w:hAnsi="Arial" w:eastAsia="宋体" w:cs="Arial"/>
          <w:sz w:val="20"/>
          <w:szCs w:val="20"/>
        </w:rPr>
        <w:t xml:space="preserve">; </w:t>
      </w:r>
      <w:r>
        <w:rPr>
          <w:rFonts w:hint="default" w:ascii="Arial" w:hAnsi="Arial" w:cs="Arial"/>
          <w:sz w:val="20"/>
          <w:szCs w:val="20"/>
        </w:rPr>
        <w:t>95% CI</w:t>
      </w:r>
      <w:r>
        <w:rPr>
          <w:rFonts w:hint="default" w:ascii="Arial" w:hAnsi="Arial" w:eastAsia="宋体" w:cs="Arial"/>
          <w:sz w:val="20"/>
          <w:szCs w:val="20"/>
        </w:rPr>
        <w:t xml:space="preserve">, </w:t>
      </w:r>
      <w:r>
        <w:rPr>
          <w:rFonts w:hint="default" w:ascii="Arial" w:hAnsi="Arial" w:cs="Arial"/>
          <w:sz w:val="20"/>
          <w:szCs w:val="20"/>
        </w:rPr>
        <w:t>95% confidence interval</w:t>
      </w:r>
      <w:r>
        <w:rPr>
          <w:rFonts w:hint="default" w:ascii="Arial" w:hAnsi="Arial" w:eastAsia="宋体" w:cs="Arial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eastAsia="等线" w:cs="Arial"/>
          <w:iCs/>
          <w:color w:val="000000"/>
          <w:kern w:val="0"/>
          <w:sz w:val="20"/>
          <w:szCs w:val="20"/>
          <w:lang w:val="en-US" w:eastAsia="zh-CN"/>
        </w:rPr>
        <w:t>Bolding represents P&lt;0.05.</w:t>
      </w: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</w:pPr>
    </w:p>
    <w:p>
      <w:pPr>
        <w:spacing w:line="276" w:lineRule="auto"/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  <w:t>Table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4</w:t>
      </w:r>
      <w:r>
        <w:rPr>
          <w:rFonts w:hint="default" w:ascii="Arial" w:hAnsi="Arial" w:cs="Arial"/>
          <w:b/>
          <w:bCs/>
          <w:sz w:val="20"/>
          <w:szCs w:val="20"/>
        </w:rPr>
        <w:t>.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</w:rPr>
        <w:t xml:space="preserve">Comparison between the PANSS scores of </w:t>
      </w:r>
      <w:r>
        <w:rPr>
          <w:rFonts w:hint="default" w:ascii="Arial" w:hAnsi="Arial" w:eastAsia="宋体" w:cs="Arial"/>
          <w:i/>
          <w:iCs/>
          <w:sz w:val="20"/>
          <w:szCs w:val="20"/>
        </w:rPr>
        <w:t>GSTM1</w:t>
      </w:r>
      <w:r>
        <w:rPr>
          <w:rFonts w:hint="default" w:ascii="Arial" w:hAnsi="Arial" w:eastAsia="宋体" w:cs="Arial"/>
          <w:sz w:val="20"/>
          <w:szCs w:val="20"/>
        </w:rPr>
        <w:t xml:space="preserve">(rs1056806),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SOD2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(rs4880),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NOS1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(rs1047735),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 xml:space="preserve">NOS3 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(rs1800779) and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ADORA2A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(rs2298383) </w:t>
      </w:r>
      <w:r>
        <w:rPr>
          <w:rFonts w:hint="default" w:ascii="Arial" w:hAnsi="Arial" w:eastAsia="宋体" w:cs="Arial"/>
          <w:sz w:val="20"/>
          <w:szCs w:val="20"/>
        </w:rPr>
        <w:t>genotype groups</w:t>
      </w:r>
    </w:p>
    <w:p>
      <w:pPr>
        <w:spacing w:line="276" w:lineRule="auto"/>
        <w:rPr>
          <w:rFonts w:hint="default" w:ascii="Arial" w:hAnsi="Arial" w:eastAsia="宋体" w:cs="Arial"/>
          <w:sz w:val="20"/>
          <w:szCs w:val="20"/>
          <w:lang w:val="en-US" w:eastAsia="zh-CN"/>
        </w:rPr>
      </w:pPr>
    </w:p>
    <w:tbl>
      <w:tblPr>
        <w:tblStyle w:val="2"/>
        <w:tblW w:w="6750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86"/>
        <w:gridCol w:w="907"/>
        <w:gridCol w:w="1133"/>
        <w:gridCol w:w="877"/>
        <w:gridCol w:w="930"/>
        <w:gridCol w:w="818"/>
        <w:gridCol w:w="1005"/>
        <w:gridCol w:w="840"/>
        <w:gridCol w:w="975"/>
        <w:gridCol w:w="772"/>
        <w:gridCol w:w="1133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SNP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GSTM1</w:t>
            </w: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(rs1056806)</w:t>
            </w: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SOD2</w:t>
            </w: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(rs4880)</w:t>
            </w:r>
          </w:p>
        </w:tc>
        <w:tc>
          <w:tcPr>
            <w:tcW w:w="182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 xml:space="preserve">NOS1 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(rs1047735)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NOS3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 xml:space="preserve"> (rs1800779)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ADORA2A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 xml:space="preserve"> (rs2298383)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PANSS (score)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F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F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F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F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F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P subscore</w:t>
            </w: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4.625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  <w:t>0.036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0.462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0.499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0.362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0.698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3.831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0.055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0.148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0.863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  <w:t>non-TD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2.658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0.105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0.042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0.837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2.539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0.082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0.150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0.699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0.201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0.818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N subscore</w:t>
            </w: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0.008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0.931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1.39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0.243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1.535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0.224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0.015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0.408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0.184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0.832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  <w:t>non-TD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1.589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0.209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0.913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0.479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0.620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0.528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0.469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0.765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G subscore</w:t>
            </w: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1.200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0.278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0.966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0.330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0.538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0.587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6.291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  <w:t>0.015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1.073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0.349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  <w:t>non-TD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3.110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0.080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0.151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0.698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0.675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0.511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0.546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0.461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0.846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0.431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PANSS total score</w:t>
            </w: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1.497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0.226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1.867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0.177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1.296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0.282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3.756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0.058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0.689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0.506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  <w:t>non-TD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4.104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  <w:t>0.044</w:t>
            </w:r>
          </w:p>
        </w:tc>
        <w:tc>
          <w:tcPr>
            <w:tcW w:w="8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0.001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0.987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0.352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0.704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0.273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0.602</w:t>
            </w:r>
          </w:p>
        </w:tc>
        <w:tc>
          <w:tcPr>
            <w:tcW w:w="7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0.340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0.712</w:t>
            </w:r>
          </w:p>
        </w:tc>
      </w:tr>
    </w:tbl>
    <w:p>
      <w:pPr>
        <w:spacing w:line="276" w:lineRule="auto"/>
        <w:rPr>
          <w:rFonts w:hint="default" w:ascii="Arial" w:hAnsi="Arial" w:eastAsia="宋体" w:cs="Arial"/>
          <w:color w:val="2E2E2E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 xml:space="preserve">TD, tardive dyskinesia;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non-TD</w:t>
      </w:r>
      <w:r>
        <w:rPr>
          <w:rFonts w:hint="default" w:ascii="Arial" w:hAnsi="Arial" w:cs="Arial"/>
          <w:sz w:val="20"/>
          <w:szCs w:val="20"/>
        </w:rPr>
        <w:t>, without</w:t>
      </w:r>
      <w:r>
        <w:rPr>
          <w:rFonts w:hint="default" w:ascii="Arial" w:hAnsi="Arial" w:cs="Arial"/>
          <w:color w:val="2E2E2E"/>
          <w:sz w:val="20"/>
          <w:szCs w:val="20"/>
        </w:rPr>
        <w:t> </w:t>
      </w:r>
      <w:r>
        <w:rPr>
          <w:rFonts w:hint="default" w:ascii="Arial" w:hAnsi="Arial" w:cs="Arial"/>
          <w:sz w:val="20"/>
          <w:szCs w:val="20"/>
        </w:rPr>
        <w:t xml:space="preserve">tardive dyskinesia. </w:t>
      </w:r>
      <w:r>
        <w:rPr>
          <w:rFonts w:hint="default" w:ascii="Arial" w:hAnsi="Arial" w:cs="Arial"/>
          <w:color w:val="2E2E2E"/>
          <w:sz w:val="20"/>
          <w:szCs w:val="20"/>
        </w:rPr>
        <w:t>PANSS</w:t>
      </w:r>
      <w:r>
        <w:rPr>
          <w:rFonts w:hint="default" w:ascii="Arial" w:hAnsi="Arial" w:eastAsia="宋体" w:cs="Arial"/>
          <w:color w:val="2E2E2E"/>
          <w:sz w:val="20"/>
          <w:szCs w:val="20"/>
        </w:rPr>
        <w:t>,</w:t>
      </w:r>
      <w:r>
        <w:rPr>
          <w:rFonts w:hint="default" w:ascii="Arial" w:hAnsi="Arial" w:cs="Arial"/>
          <w:color w:val="2E2E2E"/>
          <w:sz w:val="20"/>
          <w:szCs w:val="20"/>
        </w:rPr>
        <w:t xml:space="preserve"> Positive and Negative Syndrome Scale</w:t>
      </w:r>
      <w:r>
        <w:rPr>
          <w:rFonts w:hint="default" w:ascii="Arial" w:hAnsi="Arial" w:eastAsia="宋体" w:cs="Arial"/>
          <w:color w:val="2E2E2E"/>
          <w:sz w:val="20"/>
          <w:szCs w:val="20"/>
        </w:rPr>
        <w:t xml:space="preserve">; </w:t>
      </w:r>
      <w:r>
        <w:rPr>
          <w:rFonts w:hint="default" w:ascii="Arial" w:hAnsi="Arial" w:cs="Arial"/>
          <w:color w:val="2E2E2E"/>
          <w:sz w:val="20"/>
          <w:szCs w:val="20"/>
        </w:rPr>
        <w:t>P,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color w:val="2E2E2E"/>
          <w:sz w:val="20"/>
          <w:szCs w:val="20"/>
        </w:rPr>
        <w:t xml:space="preserve">positive symptom; N, Negative symptom; </w:t>
      </w:r>
      <w:r>
        <w:rPr>
          <w:rFonts w:hint="default" w:ascii="Arial" w:hAnsi="Arial" w:eastAsia="宋体" w:cs="Arial"/>
          <w:color w:val="2E2E2E"/>
          <w:sz w:val="20"/>
          <w:szCs w:val="20"/>
        </w:rPr>
        <w:t xml:space="preserve">G, </w:t>
      </w:r>
      <w:r>
        <w:rPr>
          <w:rFonts w:hint="default" w:ascii="Arial" w:hAnsi="Arial" w:cs="Arial"/>
          <w:color w:val="2E2E2E"/>
          <w:sz w:val="20"/>
          <w:szCs w:val="20"/>
        </w:rPr>
        <w:t>General symptom</w:t>
      </w:r>
      <w:r>
        <w:rPr>
          <w:rFonts w:hint="default" w:ascii="Arial" w:hAnsi="Arial" w:eastAsia="宋体" w:cs="Arial"/>
          <w:color w:val="2E2E2E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eastAsia="等线" w:cs="Arial"/>
          <w:iCs/>
          <w:color w:val="000000"/>
          <w:kern w:val="0"/>
          <w:sz w:val="20"/>
          <w:szCs w:val="20"/>
          <w:lang w:val="en-US" w:eastAsia="zh-CN"/>
        </w:rPr>
        <w:t>Bolding represents P&lt;0.05.</w:t>
      </w:r>
    </w:p>
    <w:p>
      <w:pPr>
        <w:rPr>
          <w:rFonts w:hint="default" w:ascii="Arial" w:hAnsi="Arial" w:eastAsia="宋体" w:cs="Arial"/>
          <w:color w:val="2E2E2E"/>
          <w:sz w:val="20"/>
          <w:szCs w:val="20"/>
        </w:rPr>
      </w:pPr>
      <w:r>
        <w:rPr>
          <w:rFonts w:hint="default" w:ascii="Arial" w:hAnsi="Arial" w:eastAsia="宋体" w:cs="Arial"/>
          <w:color w:val="2E2E2E"/>
          <w:sz w:val="20"/>
          <w:szCs w:val="20"/>
        </w:rPr>
        <w:br w:type="page"/>
      </w:r>
    </w:p>
    <w:p>
      <w:pPr>
        <w:spacing w:line="276" w:lineRule="auto"/>
        <w:rPr>
          <w:rFonts w:hint="default" w:ascii="Arial" w:hAnsi="Arial" w:eastAsia="宋体" w:cs="Arial"/>
          <w:b/>
          <w:bCs/>
          <w:sz w:val="20"/>
          <w:szCs w:val="20"/>
          <w:lang w:eastAsia="zh-CN"/>
        </w:rPr>
      </w:pPr>
      <w:r>
        <w:rPr>
          <w:rFonts w:hint="default" w:ascii="Arial" w:hAnsi="Arial" w:eastAsia="等线" w:cs="Arial"/>
          <w:b/>
          <w:bCs/>
          <w:iCs/>
          <w:sz w:val="20"/>
          <w:szCs w:val="20"/>
          <w:lang w:val="en-US" w:eastAsia="zh-CN" w:bidi="en-US"/>
        </w:rPr>
        <w:t>Table</w:t>
      </w:r>
      <w:r>
        <w:rPr>
          <w:rFonts w:hint="default" w:ascii="Arial" w:hAnsi="Arial" w:cs="Arial"/>
          <w:b/>
          <w:bCs/>
          <w:sz w:val="20"/>
          <w:szCs w:val="20"/>
        </w:rPr>
        <w:t xml:space="preserve"> S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>5</w:t>
      </w:r>
      <w:r>
        <w:rPr>
          <w:rFonts w:hint="default" w:ascii="Arial" w:hAnsi="Arial" w:cs="Arial"/>
          <w:b/>
          <w:bCs/>
          <w:sz w:val="20"/>
          <w:szCs w:val="20"/>
        </w:rPr>
        <w:t>.</w:t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</w:rPr>
        <w:t xml:space="preserve">Comparison between the RBANS scores of </w:t>
      </w:r>
      <w:r>
        <w:rPr>
          <w:rFonts w:hint="default" w:ascii="Arial" w:hAnsi="Arial" w:eastAsia="宋体" w:cs="Arial"/>
          <w:i/>
          <w:iCs/>
          <w:sz w:val="20"/>
          <w:szCs w:val="20"/>
        </w:rPr>
        <w:t>GSTM1</w:t>
      </w:r>
      <w:r>
        <w:rPr>
          <w:rFonts w:hint="default" w:ascii="Arial" w:hAnsi="Arial" w:eastAsia="宋体" w:cs="Arial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</w:rPr>
        <w:t xml:space="preserve">(rs1056806),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SOD2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(rs4880),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NOS1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(rs1047735),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NOS3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(rs1800779) and </w:t>
      </w:r>
      <w:r>
        <w:rPr>
          <w:rFonts w:hint="default" w:ascii="Arial" w:hAnsi="Arial" w:eastAsia="宋体" w:cs="Arial"/>
          <w:i/>
          <w:iCs/>
          <w:sz w:val="20"/>
          <w:szCs w:val="20"/>
          <w:lang w:bidi="ar"/>
        </w:rPr>
        <w:t>ADORA2A</w:t>
      </w:r>
      <w:r>
        <w:rPr>
          <w:rFonts w:hint="default" w:ascii="Arial" w:hAnsi="Arial" w:eastAsia="宋体" w:cs="Arial"/>
          <w:sz w:val="20"/>
          <w:szCs w:val="20"/>
          <w:lang w:bidi="ar"/>
        </w:rPr>
        <w:t xml:space="preserve"> (rs2298383) </w:t>
      </w:r>
      <w:r>
        <w:rPr>
          <w:rFonts w:hint="default" w:ascii="Arial" w:hAnsi="Arial" w:eastAsia="宋体" w:cs="Arial"/>
          <w:sz w:val="20"/>
          <w:szCs w:val="20"/>
        </w:rPr>
        <w:t>genotype groups</w:t>
      </w:r>
    </w:p>
    <w:tbl>
      <w:tblPr>
        <w:tblStyle w:val="2"/>
        <w:tblW w:w="6770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756"/>
        <w:gridCol w:w="753"/>
        <w:gridCol w:w="986"/>
        <w:gridCol w:w="783"/>
        <w:gridCol w:w="991"/>
        <w:gridCol w:w="765"/>
        <w:gridCol w:w="1034"/>
        <w:gridCol w:w="771"/>
        <w:gridCol w:w="1064"/>
        <w:gridCol w:w="847"/>
        <w:gridCol w:w="114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>SNP</w:t>
            </w:r>
          </w:p>
        </w:tc>
        <w:tc>
          <w:tcPr>
            <w:tcW w:w="753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</w:rPr>
              <w:t>GSTM1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  <w:t xml:space="preserve"> (rs1056806)</w:t>
            </w:r>
          </w:p>
        </w:tc>
        <w:tc>
          <w:tcPr>
            <w:tcW w:w="76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SOD2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 xml:space="preserve"> (rs4880)</w:t>
            </w:r>
          </w:p>
        </w:tc>
        <w:tc>
          <w:tcPr>
            <w:tcW w:w="779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 xml:space="preserve">NOS1 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>(rs1047735)</w:t>
            </w:r>
          </w:p>
        </w:tc>
        <w:tc>
          <w:tcPr>
            <w:tcW w:w="795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NOS3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 xml:space="preserve"> (rs1800779)</w:t>
            </w:r>
          </w:p>
        </w:tc>
        <w:tc>
          <w:tcPr>
            <w:tcW w:w="863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/>
                <w:iCs/>
                <w:kern w:val="2"/>
                <w:sz w:val="20"/>
                <w:szCs w:val="20"/>
                <w:lang w:bidi="ar"/>
              </w:rPr>
              <w:t>ADORA2A</w:t>
            </w:r>
            <w:r>
              <w:rPr>
                <w:rFonts w:hint="default" w:ascii="Arial" w:hAnsi="Arial" w:eastAsia="宋体" w:cs="Arial"/>
                <w:b w:val="0"/>
                <w:bCs w:val="0"/>
                <w:kern w:val="2"/>
                <w:sz w:val="20"/>
                <w:szCs w:val="20"/>
                <w:lang w:bidi="ar"/>
              </w:rPr>
              <w:t xml:space="preserve"> (rs2298383)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pct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</w:rPr>
              <w:t>RBANS (score)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F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p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F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p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F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  <w:t>p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F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p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F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/>
                <w:iCs/>
                <w:kern w:val="2"/>
                <w:sz w:val="20"/>
                <w:szCs w:val="20"/>
                <w:lang w:bidi="ar"/>
              </w:rPr>
              <w:t>p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Immediate memory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0.14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0.705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0.38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0.539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0.71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0.496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2.37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0.129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0.95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0.393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0.16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0.690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0.06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0.804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0.88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0.417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0.65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0.422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1.51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0.225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Visuospatial/constructional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0.59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0.448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0.80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0.376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1.70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0.192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0.96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0.332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2.16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0.125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0.01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0.907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0.07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0.799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2.65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0.075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0.41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0.525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0.90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0.408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Language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0.891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0.02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0.877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3.53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bidi="ar"/>
              </w:rPr>
              <w:t xml:space="preserve">0.034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2.63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0.110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0.43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0.652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0.80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0.372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0.51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0.479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1.50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0.226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0.22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0.642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0.36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0.697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Attention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0.07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0.790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0.79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0.377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1.90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0.159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1.93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0.171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3.37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bidi="ar"/>
              </w:rPr>
              <w:t xml:space="preserve">0.041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2.04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0.155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1.03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0.312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0.81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0.449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0.01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0.927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0.78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0.463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Delayed memory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0.22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0.638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0.01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0.927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2.39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0.101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0.08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0.773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2.75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0.073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1.36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0.246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0.08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0.781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1.68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0.190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2.66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0.105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0.78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0.459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 total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>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0.56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0.459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0.27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0.608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2.36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0.103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1.12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0.295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b/>
                <w:bCs/>
                <w:kern w:val="2"/>
                <w:sz w:val="20"/>
                <w:szCs w:val="20"/>
                <w:lang w:bidi="ar"/>
              </w:rPr>
              <w:t>0.038</w:t>
            </w: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eastAsia="zh-CN" w:bidi="ar"/>
              </w:rPr>
              <w:t>non-TD</w:t>
            </w:r>
          </w:p>
        </w:tc>
        <w:tc>
          <w:tcPr>
            <w:tcW w:w="3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0.12 </w:t>
            </w:r>
          </w:p>
        </w:tc>
        <w:tc>
          <w:tcPr>
            <w:tcW w:w="42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0.726 </w:t>
            </w:r>
          </w:p>
        </w:tc>
        <w:tc>
          <w:tcPr>
            <w:tcW w:w="3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0.54 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0.462 </w:t>
            </w:r>
          </w:p>
        </w:tc>
        <w:tc>
          <w:tcPr>
            <w:tcW w:w="33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1.79 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0.171 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0.20 </w:t>
            </w:r>
          </w:p>
        </w:tc>
        <w:tc>
          <w:tcPr>
            <w:tcW w:w="46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0.660 </w:t>
            </w:r>
          </w:p>
        </w:tc>
        <w:tc>
          <w:tcPr>
            <w:tcW w:w="36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0.82 </w:t>
            </w:r>
          </w:p>
        </w:tc>
        <w:tc>
          <w:tcPr>
            <w:tcW w:w="49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2"/>
                <w:sz w:val="20"/>
                <w:szCs w:val="20"/>
                <w:lang w:bidi="ar"/>
              </w:rPr>
              <w:t xml:space="preserve">0.442 </w:t>
            </w:r>
          </w:p>
        </w:tc>
      </w:tr>
    </w:tbl>
    <w:p>
      <w:pPr>
        <w:spacing w:line="276" w:lineRule="auto"/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 xml:space="preserve">TD, tardive dyskinesia; </w:t>
      </w:r>
      <w:r>
        <w:rPr>
          <w:rFonts w:hint="default" w:ascii="Arial" w:hAnsi="Arial" w:eastAsia="宋体" w:cs="Arial"/>
          <w:sz w:val="20"/>
          <w:szCs w:val="20"/>
          <w:lang w:eastAsia="zh-CN"/>
        </w:rPr>
        <w:t>non-TD</w:t>
      </w:r>
      <w:r>
        <w:rPr>
          <w:rFonts w:hint="default" w:ascii="Arial" w:hAnsi="Arial" w:cs="Arial"/>
          <w:sz w:val="20"/>
          <w:szCs w:val="20"/>
        </w:rPr>
        <w:t>, without</w:t>
      </w:r>
      <w:r>
        <w:rPr>
          <w:rFonts w:hint="default" w:ascii="Arial" w:hAnsi="Arial" w:cs="Arial"/>
          <w:color w:val="2E2E2E"/>
          <w:sz w:val="20"/>
          <w:szCs w:val="20"/>
        </w:rPr>
        <w:t> </w:t>
      </w:r>
      <w:r>
        <w:rPr>
          <w:rFonts w:hint="default" w:ascii="Arial" w:hAnsi="Arial" w:cs="Arial"/>
          <w:sz w:val="20"/>
          <w:szCs w:val="20"/>
        </w:rPr>
        <w:t xml:space="preserve">tardive dyskinesia. </w:t>
      </w:r>
      <w:r>
        <w:rPr>
          <w:rFonts w:hint="default" w:ascii="Arial" w:hAnsi="Arial" w:cs="Arial"/>
          <w:color w:val="2E2E2E"/>
          <w:sz w:val="20"/>
          <w:szCs w:val="20"/>
        </w:rPr>
        <w:t xml:space="preserve">RBANS: </w:t>
      </w:r>
      <w:r>
        <w:rPr>
          <w:rFonts w:hint="default" w:ascii="Arial" w:hAnsi="Arial" w:eastAsia="宋体" w:cs="Arial"/>
          <w:color w:val="2E2E2E"/>
          <w:sz w:val="20"/>
          <w:szCs w:val="20"/>
        </w:rPr>
        <w:t>Repeatable Battery for the Assessment of Neuropsychological Status</w:t>
      </w:r>
      <w:r>
        <w:rPr>
          <w:rFonts w:hint="default" w:ascii="Arial" w:hAnsi="Arial" w:eastAsia="宋体" w:cs="Arial"/>
          <w:color w:val="2E2E2E"/>
          <w:sz w:val="20"/>
          <w:szCs w:val="20"/>
          <w:lang w:val="en-US" w:eastAsia="zh-CN"/>
        </w:rPr>
        <w:t xml:space="preserve">; </w:t>
      </w:r>
      <w:r>
        <w:rPr>
          <w:rFonts w:hint="default" w:ascii="Arial" w:hAnsi="Arial" w:eastAsia="等线" w:cs="Arial"/>
          <w:iCs/>
          <w:color w:val="000000"/>
          <w:kern w:val="0"/>
          <w:sz w:val="20"/>
          <w:szCs w:val="20"/>
          <w:lang w:val="en-US" w:eastAsia="zh-CN"/>
        </w:rPr>
        <w:t>Bolding represents P&lt;0.05.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Cambria"/>
    <w:panose1 w:val="02010609000101010101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ZjRkZTdiNmE3Y2U3ZTcyZjlkMzg0NDc0OTZmMzYifQ=="/>
  </w:docVars>
  <w:rsids>
    <w:rsidRoot w:val="79C35DEC"/>
    <w:rsid w:val="001A02D9"/>
    <w:rsid w:val="00323BE3"/>
    <w:rsid w:val="00B80F85"/>
    <w:rsid w:val="00C556CE"/>
    <w:rsid w:val="00C87322"/>
    <w:rsid w:val="05181AA4"/>
    <w:rsid w:val="063B0F35"/>
    <w:rsid w:val="083D4E82"/>
    <w:rsid w:val="08511DD2"/>
    <w:rsid w:val="0D263E0D"/>
    <w:rsid w:val="0E8F62CF"/>
    <w:rsid w:val="17252D70"/>
    <w:rsid w:val="1C4A1A87"/>
    <w:rsid w:val="24084D36"/>
    <w:rsid w:val="35A24EB8"/>
    <w:rsid w:val="489919F7"/>
    <w:rsid w:val="4C6F1E48"/>
    <w:rsid w:val="50E37C01"/>
    <w:rsid w:val="59A12B5D"/>
    <w:rsid w:val="5BDC074B"/>
    <w:rsid w:val="62BC2821"/>
    <w:rsid w:val="79C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MingLiU" w:hAnsi="MingLiU" w:eastAsia="MingLiU" w:cs="Times New Roman"/>
      <w:color w:val="000000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592</Words>
  <Characters>3396</Characters>
  <Lines>917</Lines>
  <Paragraphs>478</Paragraphs>
  <TotalTime>2</TotalTime>
  <ScaleCrop>false</ScaleCrop>
  <LinksUpToDate>false</LinksUpToDate>
  <CharactersWithSpaces>3685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2023-02-02T07:47:00Z</dcterms:created>
  <dc:creator>clover</dc:creator>
  <cp:lastModifiedBy>clover</cp:lastModifiedBy>
  <dcterms:modified xsi:type="dcterms:W3CDTF">2023-09-17T05:43:55Z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13BDFBA898D14CBFB4E813168AB2AF35</vt:lpwstr>
  </property>
  <property fmtid="{D5CDD505-2E9C-101B-9397-08002B2CF9AE}" pid="4" name="GrammarlyDocumentId">
    <vt:lpwstr>63064e5078dd1197ed50e32d782a7d20b11e3831d74bc3489e84fdd0e14f0e0a</vt:lpwstr>
  </property>
</Properties>
</file>