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6"/>
        <w:widowControl/>
        <w:spacing w:line="360" w:lineRule="auto"/>
        <w:ind w:left="0" w:firstLine="0" w:firstLineChars="0"/>
        <w:jc w:val="both"/>
        <w:rPr>
          <w:b/>
          <w:bCs w:val="0"/>
          <w:sz w:val="22"/>
          <w:szCs w:val="22"/>
          <w:lang w:val="en-US"/>
        </w:rPr>
      </w:pPr>
      <w:r>
        <w:rPr>
          <w:rFonts w:hint="eastAsia"/>
          <w:b/>
          <w:bCs w:val="0"/>
          <w:sz w:val="22"/>
          <w:szCs w:val="22"/>
          <w:lang w:val="en-US"/>
        </w:rPr>
        <w:t>Supplementary Table1</w:t>
      </w:r>
      <w:r>
        <w:rPr>
          <w:b/>
          <w:bCs w:val="0"/>
          <w:sz w:val="22"/>
          <w:szCs w:val="22"/>
          <w:lang w:val="en-US"/>
        </w:rPr>
        <w:t xml:space="preserve">  Diagnostic accuracy of noninvasive methods for the diagnosis of advanced fibrosis and cirrhosis</w:t>
      </w:r>
    </w:p>
    <w:tbl>
      <w:tblPr>
        <w:tblStyle w:val="3"/>
        <w:tblW w:w="965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03"/>
        <w:gridCol w:w="1282"/>
        <w:gridCol w:w="952"/>
        <w:gridCol w:w="1029"/>
        <w:gridCol w:w="1429"/>
        <w:gridCol w:w="1349"/>
        <w:gridCol w:w="904"/>
      </w:tblGrid>
      <w:tr>
        <w:tblPrEx>
          <w:shd w:val="clear" w:color="auto" w:fill="auto"/>
        </w:tblPrEx>
        <w:trPr>
          <w:trHeight w:val="614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Variable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ObAUROC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(95% CI)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AdjAUROC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P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Variable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ObAUROC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(95% CI)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AdjAUROC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P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01" w:firstLineChars="100"/>
              <w:jc w:val="both"/>
              <w:rPr>
                <w:rFonts w:hint="default"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TE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vertAlign w:val="superscript"/>
                <w:lang w:val="en-US" w:eastAsia="zh-CN" w:bidi="ar"/>
              </w:rPr>
              <w:t>‡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0.884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(0.834 0.934)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00" w:firstLineChars="10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0.902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&lt;0.001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TE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vertAlign w:val="superscript"/>
                <w:lang w:val="en-US" w:eastAsia="zh-CN" w:bidi="ar"/>
              </w:rPr>
              <w:t>¶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0.898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(0.844 0.952)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00" w:firstLineChars="10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0.914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FIB-4*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0.707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(0.628 0.786)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200" w:firstLineChars="100"/>
              <w:jc w:val="both"/>
              <w:rPr>
                <w:rFonts w:hint="default" w:ascii="Calibri" w:hAnsi="Calibri" w:cs="Calibri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0.725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&lt;0.001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FIB-4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vertAlign w:val="superscript"/>
                <w:lang w:val="en-US" w:eastAsia="zh-CN" w:bidi="ar"/>
              </w:rPr>
              <w:t>§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0.818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(0.731 0.904)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20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0.821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APRI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vertAlign w:val="superscript"/>
                <w:lang w:val="en-US" w:eastAsia="zh-CN" w:bidi="ar"/>
              </w:rPr>
              <w:t>†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0.696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(0.617 0.776)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200" w:firstLineChars="100"/>
              <w:jc w:val="both"/>
              <w:rPr>
                <w:rFonts w:hint="default" w:ascii="Calibri" w:hAnsi="Calibri" w:cs="Calibri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0.714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&lt;0.001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"/>
              </w:rPr>
              <w:t>APRI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vertAlign w:val="superscript"/>
                <w:lang w:val="en-US" w:eastAsia="zh-CN" w:bidi="ar"/>
              </w:rPr>
              <w:t>||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0.820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(0.739 0.901)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20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0.830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0.056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AdjAUROC, adjusted AUROC; APRI, aspartate aminotransferase to platelet ratio index; FIB-4, fibrosis index based on the four factors; TE, transient elastography; CI, confidence interval; observed AUROC, ObAUROC; </w:t>
      </w:r>
      <w:r>
        <w:rPr>
          <w:rFonts w:hint="default" w:ascii="Times New Roman" w:hAnsi="Times New Roman" w:eastAsia="宋体" w:cs="Times New Roman"/>
          <w:b/>
          <w:kern w:val="2"/>
          <w:sz w:val="20"/>
          <w:szCs w:val="20"/>
          <w:lang w:val="en-US" w:eastAsia="zh-CN" w:bidi="ar"/>
        </w:rPr>
        <w:t>* </w:t>
      </w:r>
      <w:r>
        <w:rPr>
          <w:rFonts w:hint="default" w:ascii="Times New Roman" w:hAnsi="Times New Roman" w:eastAsia="宋体" w:cs="Times New Roman"/>
          <w:color w:val="000000"/>
          <w:kern w:val="2"/>
          <w:sz w:val="20"/>
          <w:szCs w:val="20"/>
          <w:lang w:val="en-US" w:eastAsia="zh-CN" w:bidi="ar"/>
        </w:rPr>
        <w:t xml:space="preserve">vs. TE: Z = 4.090, P &lt;0.001; </w:t>
      </w:r>
      <w:r>
        <w:rPr>
          <w:rFonts w:hint="eastAsia" w:ascii="Times New Roman" w:hAnsi="Times New Roman" w:eastAsia="宋体" w:cs="宋体"/>
          <w:color w:val="000000"/>
          <w:kern w:val="2"/>
          <w:sz w:val="20"/>
          <w:szCs w:val="20"/>
          <w:lang w:val="en-US" w:eastAsia="zh-CN" w:bidi="ar"/>
        </w:rPr>
        <w:t>†</w:t>
      </w:r>
      <w:r>
        <w:rPr>
          <w:rFonts w:hint="default" w:ascii="Times New Roman" w:hAnsi="Times New Roman" w:eastAsia="宋体" w:cs="Times New Roman"/>
          <w:color w:val="000000"/>
          <w:kern w:val="2"/>
          <w:sz w:val="20"/>
          <w:szCs w:val="20"/>
          <w:lang w:val="en-US" w:eastAsia="zh-CN" w:bidi="ar"/>
        </w:rPr>
        <w:t xml:space="preserve"> vs. FIB-4: Z = 0.392, P =0.695; </w:t>
      </w:r>
      <w:r>
        <w:rPr>
          <w:rFonts w:hint="eastAsia" w:ascii="宋体" w:hAnsi="宋体" w:eastAsia="宋体" w:cs="宋体"/>
          <w:color w:val="000000"/>
          <w:kern w:val="2"/>
          <w:sz w:val="20"/>
          <w:szCs w:val="20"/>
          <w:lang w:val="en-US" w:eastAsia="zh-CN" w:bidi="ar"/>
        </w:rPr>
        <w:t>‡</w:t>
      </w:r>
      <w:r>
        <w:rPr>
          <w:rFonts w:hint="default" w:ascii="Times New Roman" w:hAnsi="Times New Roman" w:eastAsia="宋体" w:cs="Times New Roman"/>
          <w:b/>
          <w:kern w:val="2"/>
          <w:sz w:val="20"/>
          <w:szCs w:val="20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color w:val="000000"/>
          <w:kern w:val="2"/>
          <w:sz w:val="20"/>
          <w:szCs w:val="20"/>
          <w:lang w:val="en-US" w:eastAsia="zh-CN" w:bidi="ar"/>
        </w:rPr>
        <w:t>vs. APRI: Z = 4.246, P &lt;0.001.</w:t>
      </w:r>
      <w:r>
        <w:rPr>
          <w:rFonts w:hint="eastAsia" w:ascii="宋体" w:hAnsi="宋体" w:eastAsia="宋体" w:cs="宋体"/>
          <w:color w:val="000000"/>
          <w:kern w:val="2"/>
          <w:sz w:val="20"/>
          <w:szCs w:val="20"/>
          <w:lang w:val="en-US" w:eastAsia="zh-CN" w:bidi="ar"/>
        </w:rPr>
        <w:t>§</w:t>
      </w:r>
      <w:r>
        <w:rPr>
          <w:rFonts w:hint="default" w:ascii="Times New Roman" w:hAnsi="Times New Roman" w:eastAsia="宋体" w:cs="Times New Roman"/>
          <w:color w:val="000000"/>
          <w:kern w:val="2"/>
          <w:sz w:val="20"/>
          <w:szCs w:val="20"/>
          <w:lang w:val="en-US" w:eastAsia="zh-CN" w:bidi="ar"/>
        </w:rPr>
        <w:t>vs. TE: Z = 1.604, P =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0.109</w:t>
      </w:r>
      <w:r>
        <w:rPr>
          <w:rFonts w:hint="default" w:ascii="Times New Roman" w:hAnsi="Times New Roman" w:eastAsia="宋体" w:cs="Times New Roman"/>
          <w:color w:val="000000"/>
          <w:kern w:val="2"/>
          <w:sz w:val="20"/>
          <w:szCs w:val="20"/>
          <w:lang w:val="en-US" w:eastAsia="zh-CN" w:bidi="ar"/>
        </w:rPr>
        <w:t>; || vs. FIB-4: Z = 0.067, P =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0.946</w:t>
      </w:r>
      <w:r>
        <w:rPr>
          <w:rFonts w:hint="default" w:ascii="Times New Roman" w:hAnsi="Times New Roman" w:eastAsia="宋体" w:cs="Times New Roman"/>
          <w:color w:val="000000"/>
          <w:kern w:val="2"/>
          <w:sz w:val="20"/>
          <w:szCs w:val="20"/>
          <w:lang w:val="en-US" w:eastAsia="zh-CN" w:bidi="ar"/>
        </w:rPr>
        <w:t xml:space="preserve">; </w:t>
      </w:r>
      <w:r>
        <w:rPr>
          <w:rFonts w:hint="eastAsia" w:ascii="宋体" w:hAnsi="宋体" w:eastAsia="宋体" w:cs="宋体"/>
          <w:color w:val="000000"/>
          <w:kern w:val="2"/>
          <w:sz w:val="20"/>
          <w:szCs w:val="20"/>
          <w:lang w:val="en-US" w:eastAsia="zh-CN" w:bidi="ar"/>
        </w:rPr>
        <w:t xml:space="preserve">¶ </w:t>
      </w:r>
      <w:r>
        <w:rPr>
          <w:rFonts w:hint="default" w:ascii="Times New Roman" w:hAnsi="Times New Roman" w:eastAsia="宋体" w:cs="Times New Roman"/>
          <w:color w:val="000000"/>
          <w:kern w:val="2"/>
          <w:sz w:val="20"/>
          <w:szCs w:val="20"/>
          <w:lang w:val="en-US" w:eastAsia="zh-CN" w:bidi="ar"/>
        </w:rPr>
        <w:t>vs. APRI: Z = 1.911, P = 0.056.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Supplementary Figure 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Flow chart of patients with HBV</w:t>
      </w:r>
    </w:p>
    <w:p>
      <w:pP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eastAsia="zh-CN"/>
        </w:rPr>
        <w:drawing>
          <wp:inline distT="0" distB="0" distL="114300" distR="114300">
            <wp:extent cx="5643880" cy="1593850"/>
            <wp:effectExtent l="0" t="0" r="10160" b="6350"/>
            <wp:docPr id="4" name="图片 4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zE3OWIyYzFlNDZhYzhhYTZmMWE1YmVkMDNhODYifQ=="/>
  </w:docVars>
  <w:rsids>
    <w:rsidRoot w:val="00172A27"/>
    <w:rsid w:val="0EA96D2A"/>
    <w:rsid w:val="1E97039D"/>
    <w:rsid w:val="257623CF"/>
    <w:rsid w:val="47A5268D"/>
    <w:rsid w:val="52B504B1"/>
    <w:rsid w:val="52F95A60"/>
    <w:rsid w:val="604A6A97"/>
    <w:rsid w:val="6DA02C91"/>
    <w:rsid w:val="70864E24"/>
    <w:rsid w:val="7F9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691</Characters>
  <Lines>0</Lines>
  <Paragraphs>0</Paragraphs>
  <TotalTime>0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 Er Liang, Chunxiu Zhong, Liwen Huang, Shuling Yang, Youfu Zhu, Yongpeng Chen, Jinlin Hou</dc:creator>
  <cp:keywords>10.1111/jgh.13475 and Transient elastography; Routine biomarkers; Chronic hepatitis B; Cirrhosis; Stepwise combination</cp:keywords>
  <cp:lastModifiedBy>曦曦</cp:lastModifiedBy>
  <dcterms:modified xsi:type="dcterms:W3CDTF">2023-08-18T08:23:03Z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725E53ABF1754161896FF009269F05E2_12</vt:lpwstr>
  </property>
</Properties>
</file>