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31C5" w14:textId="72F65FE9" w:rsidR="00DF76DC" w:rsidRDefault="00DF76DC" w:rsidP="00DF76DC">
      <w:pPr>
        <w:spacing w:before="0" w:after="0"/>
        <w:rPr>
          <w:rFonts w:cs="Arial"/>
          <w:b/>
          <w:bCs/>
        </w:rPr>
      </w:pPr>
      <w:bookmarkStart w:id="0" w:name="_Hlk126766769"/>
      <w:r w:rsidRPr="006C5AB3">
        <w:rPr>
          <w:rFonts w:cs="Arial"/>
          <w:b/>
          <w:bCs/>
        </w:rPr>
        <w:t>SUPPORTING INFORMATION</w:t>
      </w:r>
    </w:p>
    <w:p w14:paraId="1BE47497" w14:textId="77777777" w:rsidR="00A54773" w:rsidRDefault="00A54773" w:rsidP="00A54773">
      <w:pPr>
        <w:spacing w:before="0"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List of </w:t>
      </w:r>
      <w:r w:rsidRPr="00900609">
        <w:rPr>
          <w:rFonts w:cs="Arial"/>
          <w:b/>
          <w:bCs/>
        </w:rPr>
        <w:t>Independent Ethics Committees/Institutional Review Boards</w:t>
      </w:r>
    </w:p>
    <w:p w14:paraId="2659787C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Komisja Bioetyczna przy Okręgowej Warmińsko-Mazurskiej Izbie Lekarskiej</w:t>
      </w:r>
      <w:r>
        <w:rPr>
          <w:rFonts w:cs="Arial"/>
        </w:rPr>
        <w:t xml:space="preserve"> </w:t>
      </w:r>
      <w:r w:rsidRPr="00900609">
        <w:rPr>
          <w:rFonts w:cs="Arial"/>
        </w:rPr>
        <w:t>Ul. Żołnierska 16c, 10-561 Olsztyn, Poland</w:t>
      </w:r>
    </w:p>
    <w:p w14:paraId="516FE64B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Komisja Bioetyczna przy Świętokrzyskiej Izbie</w:t>
      </w:r>
      <w:r>
        <w:rPr>
          <w:rFonts w:cs="Arial"/>
        </w:rPr>
        <w:t xml:space="preserve"> </w:t>
      </w:r>
      <w:r w:rsidRPr="00900609">
        <w:rPr>
          <w:rFonts w:cs="Arial"/>
        </w:rPr>
        <w:t>Lekarskiej</w:t>
      </w:r>
      <w:r>
        <w:rPr>
          <w:rFonts w:cs="Arial"/>
        </w:rPr>
        <w:t xml:space="preserve"> </w:t>
      </w:r>
      <w:r w:rsidRPr="00900609">
        <w:rPr>
          <w:rFonts w:cs="Arial"/>
        </w:rPr>
        <w:t>Ul. Wojska Polskiego 52, 25-389 Kielce,</w:t>
      </w:r>
      <w:r>
        <w:rPr>
          <w:rFonts w:cs="Arial"/>
        </w:rPr>
        <w:t xml:space="preserve"> </w:t>
      </w:r>
      <w:r w:rsidRPr="00900609">
        <w:rPr>
          <w:rFonts w:cs="Arial"/>
        </w:rPr>
        <w:t>Poland</w:t>
      </w:r>
    </w:p>
    <w:p w14:paraId="4CE29C65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Komisja Bioetyczna przy Collegium Medicum</w:t>
      </w:r>
      <w:r>
        <w:rPr>
          <w:rFonts w:cs="Arial"/>
        </w:rPr>
        <w:t xml:space="preserve"> </w:t>
      </w:r>
      <w:r w:rsidRPr="00900609">
        <w:rPr>
          <w:rFonts w:cs="Arial"/>
        </w:rPr>
        <w:t>im. Ludwika Rydygiera</w:t>
      </w:r>
      <w:r>
        <w:rPr>
          <w:rFonts w:cs="Arial"/>
        </w:rPr>
        <w:t xml:space="preserve"> </w:t>
      </w:r>
      <w:r w:rsidRPr="00900609">
        <w:rPr>
          <w:rFonts w:cs="Arial"/>
        </w:rPr>
        <w:t>Ul. M. Skłodowskiej-Curie 9,</w:t>
      </w:r>
      <w:r>
        <w:rPr>
          <w:rFonts w:cs="Arial"/>
        </w:rPr>
        <w:t xml:space="preserve"> </w:t>
      </w:r>
      <w:r w:rsidRPr="00900609">
        <w:rPr>
          <w:rFonts w:cs="Arial"/>
        </w:rPr>
        <w:t>85-094 Bydgoszcz, Poland</w:t>
      </w:r>
    </w:p>
    <w:p w14:paraId="2C969DAB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Komisja Bioetyczna Uniwersytetu</w:t>
      </w:r>
      <w:r>
        <w:rPr>
          <w:rFonts w:cs="Arial"/>
        </w:rPr>
        <w:t xml:space="preserve"> </w:t>
      </w:r>
      <w:r w:rsidRPr="00900609">
        <w:rPr>
          <w:rFonts w:cs="Arial"/>
        </w:rPr>
        <w:t>Jagiellońskiego</w:t>
      </w:r>
      <w:r>
        <w:rPr>
          <w:rFonts w:cs="Arial"/>
        </w:rPr>
        <w:t xml:space="preserve"> </w:t>
      </w:r>
      <w:r w:rsidRPr="00900609">
        <w:rPr>
          <w:rFonts w:cs="Arial"/>
        </w:rPr>
        <w:t>Ul. Grzegórzecka 20, 31-531 Kraków, Poland</w:t>
      </w:r>
    </w:p>
    <w:p w14:paraId="292B6DD5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Komisja Bioetyczna przy Okręgowej Radzie</w:t>
      </w:r>
      <w:r>
        <w:rPr>
          <w:rFonts w:cs="Arial"/>
        </w:rPr>
        <w:t xml:space="preserve"> </w:t>
      </w:r>
      <w:r w:rsidRPr="00900609">
        <w:rPr>
          <w:rFonts w:cs="Arial"/>
        </w:rPr>
        <w:t>Lekarskiej Wielkopolskiej Izby Lekarskiej</w:t>
      </w:r>
      <w:r>
        <w:rPr>
          <w:rFonts w:cs="Arial"/>
        </w:rPr>
        <w:t xml:space="preserve"> </w:t>
      </w:r>
      <w:r w:rsidRPr="00900609">
        <w:rPr>
          <w:rFonts w:cs="Arial"/>
        </w:rPr>
        <w:t>Ul. Nowowiejskiego 51, 61 - 734 Poznań,</w:t>
      </w:r>
      <w:r>
        <w:rPr>
          <w:rFonts w:cs="Arial"/>
        </w:rPr>
        <w:t xml:space="preserve"> </w:t>
      </w:r>
      <w:r w:rsidRPr="00900609">
        <w:rPr>
          <w:rFonts w:cs="Arial"/>
        </w:rPr>
        <w:t>Poland</w:t>
      </w:r>
    </w:p>
    <w:p w14:paraId="02214D83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Komisja Bioetyczna przy Akademii Medycznej</w:t>
      </w:r>
      <w:r>
        <w:rPr>
          <w:rFonts w:cs="Arial"/>
        </w:rPr>
        <w:t xml:space="preserve"> </w:t>
      </w:r>
      <w:r w:rsidRPr="00900609">
        <w:rPr>
          <w:rFonts w:cs="Arial"/>
        </w:rPr>
        <w:t>Al. Racławickie 1, 20-950 Lublin, Poland</w:t>
      </w:r>
    </w:p>
    <w:p w14:paraId="52A758DB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Ethik-Kommission Universitatsklinikum Jena</w:t>
      </w:r>
      <w:r>
        <w:rPr>
          <w:rFonts w:cs="Arial"/>
        </w:rPr>
        <w:t xml:space="preserve"> </w:t>
      </w:r>
      <w:r w:rsidRPr="00900609">
        <w:rPr>
          <w:rFonts w:cs="Arial"/>
        </w:rPr>
        <w:t>Bachstrasse 18, 07743 Jena, Deutschland</w:t>
      </w:r>
    </w:p>
    <w:p w14:paraId="7908A139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St. Code Geneesmiddelenreclame</w:t>
      </w:r>
      <w:r>
        <w:rPr>
          <w:rFonts w:cs="Arial"/>
        </w:rPr>
        <w:t xml:space="preserve"> </w:t>
      </w:r>
      <w:r w:rsidRPr="00900609">
        <w:rPr>
          <w:rFonts w:cs="Arial"/>
        </w:rPr>
        <w:t>Postbus 9087</w:t>
      </w:r>
      <w:r>
        <w:rPr>
          <w:rFonts w:cs="Arial"/>
        </w:rPr>
        <w:t xml:space="preserve">, </w:t>
      </w:r>
      <w:r w:rsidRPr="00900609">
        <w:rPr>
          <w:rFonts w:cs="Arial"/>
        </w:rPr>
        <w:t>1006 AB AMSTERDAM</w:t>
      </w:r>
      <w:r>
        <w:rPr>
          <w:rFonts w:cs="Arial"/>
        </w:rPr>
        <w:t xml:space="preserve">, </w:t>
      </w:r>
      <w:r w:rsidRPr="00900609">
        <w:rPr>
          <w:rFonts w:cs="Arial"/>
        </w:rPr>
        <w:t>The Netherlands</w:t>
      </w:r>
    </w:p>
    <w:p w14:paraId="5B1E0C7B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Eticka Komise FN v Motole</w:t>
      </w:r>
      <w:r>
        <w:rPr>
          <w:rFonts w:cs="Arial"/>
        </w:rPr>
        <w:t xml:space="preserve"> </w:t>
      </w:r>
      <w:r w:rsidRPr="00900609">
        <w:rPr>
          <w:rFonts w:cs="Arial"/>
        </w:rPr>
        <w:t>V úvalu 84,</w:t>
      </w:r>
      <w:r>
        <w:rPr>
          <w:rFonts w:cs="Arial"/>
        </w:rPr>
        <w:t xml:space="preserve"> </w:t>
      </w:r>
      <w:r w:rsidRPr="00900609">
        <w:rPr>
          <w:rFonts w:cs="Arial"/>
        </w:rPr>
        <w:t>150 06 Praha 5, Motol, Czech Republic</w:t>
      </w:r>
    </w:p>
    <w:p w14:paraId="2AD19F6E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Eticka Komise</w:t>
      </w:r>
      <w:r>
        <w:rPr>
          <w:rFonts w:cs="Arial"/>
        </w:rPr>
        <w:t xml:space="preserve"> </w:t>
      </w:r>
      <w:r w:rsidRPr="00900609">
        <w:rPr>
          <w:rFonts w:cs="Arial"/>
        </w:rPr>
        <w:t>Masarykova nem. v Ústí nad Labem</w:t>
      </w:r>
      <w:r>
        <w:rPr>
          <w:rFonts w:cs="Arial"/>
        </w:rPr>
        <w:t xml:space="preserve"> </w:t>
      </w:r>
      <w:r w:rsidRPr="00900609">
        <w:rPr>
          <w:rFonts w:cs="Arial"/>
        </w:rPr>
        <w:t>Sociální péče 3316/12A</w:t>
      </w:r>
      <w:r>
        <w:rPr>
          <w:rFonts w:cs="Arial"/>
        </w:rPr>
        <w:t xml:space="preserve"> </w:t>
      </w:r>
      <w:r w:rsidRPr="00900609">
        <w:rPr>
          <w:rFonts w:cs="Arial"/>
        </w:rPr>
        <w:t>401 13 Ústí nad Labem, Serbia</w:t>
      </w:r>
    </w:p>
    <w:p w14:paraId="46DE0325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University Child Clinic</w:t>
      </w:r>
      <w:r>
        <w:rPr>
          <w:rFonts w:cs="Arial"/>
        </w:rPr>
        <w:t xml:space="preserve"> </w:t>
      </w:r>
      <w:r w:rsidRPr="00900609">
        <w:rPr>
          <w:rFonts w:cs="Arial"/>
        </w:rPr>
        <w:t>Tirsova 10, 11000 Belgrade, Serbia</w:t>
      </w:r>
    </w:p>
    <w:p w14:paraId="4E2B8785" w14:textId="77777777" w:rsidR="00A54773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t>Clinical Center of Kragujevac</w:t>
      </w:r>
      <w:r>
        <w:rPr>
          <w:rFonts w:cs="Arial"/>
        </w:rPr>
        <w:t xml:space="preserve"> </w:t>
      </w:r>
      <w:r w:rsidRPr="00900609">
        <w:rPr>
          <w:rFonts w:cs="Arial"/>
        </w:rPr>
        <w:t>Zmaj Jovina 30, 34000 Kragujevac, Serbia</w:t>
      </w:r>
    </w:p>
    <w:p w14:paraId="76FAD46D" w14:textId="77777777" w:rsidR="00A54773" w:rsidRPr="00900609" w:rsidRDefault="00A54773" w:rsidP="00A54773">
      <w:pPr>
        <w:pStyle w:val="ListParagraph"/>
        <w:numPr>
          <w:ilvl w:val="0"/>
          <w:numId w:val="1"/>
        </w:numPr>
        <w:spacing w:before="0" w:after="0"/>
        <w:rPr>
          <w:rFonts w:cs="Arial"/>
        </w:rPr>
      </w:pPr>
      <w:r w:rsidRPr="00900609">
        <w:rPr>
          <w:rFonts w:cs="Arial"/>
        </w:rPr>
        <w:lastRenderedPageBreak/>
        <w:t>The Ethics Commission of SE “Institute of</w:t>
      </w:r>
      <w:r>
        <w:rPr>
          <w:rFonts w:cs="Arial"/>
        </w:rPr>
        <w:t xml:space="preserve"> </w:t>
      </w:r>
      <w:r w:rsidRPr="00900609">
        <w:rPr>
          <w:rFonts w:cs="Arial"/>
        </w:rPr>
        <w:t>Emergency and Reactivate Surgery Named</w:t>
      </w:r>
      <w:r>
        <w:rPr>
          <w:rFonts w:cs="Arial"/>
        </w:rPr>
        <w:t xml:space="preserve"> </w:t>
      </w:r>
      <w:r w:rsidRPr="00900609">
        <w:rPr>
          <w:rFonts w:cs="Arial"/>
        </w:rPr>
        <w:t>After V.K.Gusaka of NAMS in Ukraine”,</w:t>
      </w:r>
      <w:r>
        <w:rPr>
          <w:rFonts w:cs="Arial"/>
        </w:rPr>
        <w:t xml:space="preserve"> </w:t>
      </w:r>
      <w:r w:rsidRPr="00900609">
        <w:rPr>
          <w:rFonts w:cs="Arial"/>
        </w:rPr>
        <w:t>Hematology Department</w:t>
      </w:r>
      <w:r>
        <w:rPr>
          <w:rFonts w:cs="Arial"/>
        </w:rPr>
        <w:t xml:space="preserve"> </w:t>
      </w:r>
      <w:r w:rsidRPr="00900609">
        <w:rPr>
          <w:rFonts w:cs="Arial"/>
        </w:rPr>
        <w:t>Donetsk, 47 Lenisnky prospect, 83045 Ukraine</w:t>
      </w:r>
    </w:p>
    <w:p w14:paraId="7A25491A" w14:textId="77777777" w:rsidR="00A54773" w:rsidRDefault="00A54773" w:rsidP="00DF76DC">
      <w:pPr>
        <w:spacing w:before="0" w:after="0"/>
        <w:rPr>
          <w:rFonts w:cs="Arial"/>
          <w:b/>
          <w:bCs/>
        </w:rPr>
      </w:pPr>
    </w:p>
    <w:p w14:paraId="462CEBF6" w14:textId="38FA6C9B" w:rsidR="00A54773" w:rsidRDefault="00A54773" w:rsidP="00DF76DC">
      <w:pPr>
        <w:spacing w:before="0" w:after="0"/>
        <w:rPr>
          <w:rFonts w:cs="Arial"/>
          <w:b/>
          <w:bCs/>
        </w:rPr>
        <w:sectPr w:rsidR="00A54773" w:rsidSect="00A704C2">
          <w:footerReference w:type="even" r:id="rId7"/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562B69" w14:textId="77777777" w:rsidR="00DF76DC" w:rsidRPr="00EA389D" w:rsidRDefault="00DF76DC" w:rsidP="00DF76DC">
      <w:pPr>
        <w:spacing w:before="0" w:after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Supplementary </w:t>
      </w:r>
      <w:r w:rsidRPr="008B665B">
        <w:rPr>
          <w:rFonts w:cs="Arial"/>
          <w:b/>
          <w:bCs/>
        </w:rPr>
        <w:t>Figure 1</w:t>
      </w:r>
      <w:r w:rsidRPr="008B665B">
        <w:rPr>
          <w:rFonts w:cs="Arial"/>
        </w:rPr>
        <w:t xml:space="preserve"> Study</w:t>
      </w:r>
      <w:r w:rsidRPr="00EA389D">
        <w:rPr>
          <w:rFonts w:cs="Arial"/>
        </w:rPr>
        <w:t xml:space="preserve"> </w:t>
      </w:r>
      <w:r>
        <w:rPr>
          <w:rFonts w:cs="Arial"/>
        </w:rPr>
        <w:t>D</w:t>
      </w:r>
      <w:r w:rsidRPr="00EA389D">
        <w:rPr>
          <w:rFonts w:cs="Arial"/>
        </w:rPr>
        <w:t xml:space="preserve">esign. </w:t>
      </w:r>
      <w:r w:rsidRPr="00BE6B93">
        <w:rPr>
          <w:rFonts w:cs="Arial"/>
          <w:b/>
          <w:bCs/>
        </w:rPr>
        <w:t>Abbreviations:</w:t>
      </w:r>
      <w:r>
        <w:rPr>
          <w:rFonts w:cs="Arial"/>
        </w:rPr>
        <w:t xml:space="preserve"> </w:t>
      </w:r>
      <w:r w:rsidRPr="00EA389D">
        <w:rPr>
          <w:rFonts w:cs="Arial"/>
        </w:rPr>
        <w:t>ED, exposure day; T, time in months</w:t>
      </w:r>
      <w:r>
        <w:rPr>
          <w:rFonts w:cs="Arial"/>
        </w:rPr>
        <w:t>.</w:t>
      </w:r>
    </w:p>
    <w:p w14:paraId="28CC4D30" w14:textId="69329A0E" w:rsidR="00DF76DC" w:rsidRPr="00EA389D" w:rsidRDefault="00206B17" w:rsidP="00DF76DC">
      <w:pPr>
        <w:spacing w:before="0" w:after="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54D0C56" wp14:editId="5B54BBC5">
            <wp:extent cx="5731510" cy="945152"/>
            <wp:effectExtent l="0" t="0" r="2540" b="7620"/>
            <wp:docPr id="4" name="Picture 4" descr="A picture containing text, receipt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receipt, font, screensho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EF99" w14:textId="77777777" w:rsidR="00DF76DC" w:rsidRDefault="00DF76DC" w:rsidP="00DF76DC">
      <w:pPr>
        <w:spacing w:before="0" w:after="0" w:line="360" w:lineRule="auto"/>
        <w:rPr>
          <w:rFonts w:cs="Arial"/>
        </w:rPr>
      </w:pPr>
    </w:p>
    <w:p w14:paraId="38298D29" w14:textId="77777777" w:rsidR="00DF76DC" w:rsidRDefault="00DF76DC" w:rsidP="00DF76DC">
      <w:pPr>
        <w:spacing w:before="0" w:after="0" w:line="360" w:lineRule="auto"/>
        <w:rPr>
          <w:rFonts w:cs="Arial"/>
        </w:rPr>
        <w:sectPr w:rsidR="00DF76DC" w:rsidSect="00A704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1929CC" w14:textId="77777777" w:rsidR="00DF76DC" w:rsidRPr="00770CBB" w:rsidRDefault="00DF76DC" w:rsidP="00DF76DC">
      <w:pPr>
        <w:spacing w:before="0" w:after="0"/>
        <w:rPr>
          <w:rFonts w:cs="Arial"/>
          <w:szCs w:val="24"/>
        </w:rPr>
      </w:pPr>
      <w:r>
        <w:rPr>
          <w:rFonts w:cs="Arial"/>
          <w:b/>
          <w:bCs/>
          <w:szCs w:val="24"/>
        </w:rPr>
        <w:lastRenderedPageBreak/>
        <w:t xml:space="preserve">Supplementary </w:t>
      </w:r>
      <w:r w:rsidRPr="008B665B">
        <w:rPr>
          <w:rFonts w:cs="Arial"/>
          <w:b/>
          <w:bCs/>
          <w:szCs w:val="24"/>
        </w:rPr>
        <w:t>Table 1</w:t>
      </w:r>
      <w:r w:rsidRPr="008B665B">
        <w:rPr>
          <w:rFonts w:cs="Arial"/>
          <w:szCs w:val="24"/>
        </w:rPr>
        <w:t xml:space="preserve"> Hemostatic </w:t>
      </w:r>
      <w:r>
        <w:rPr>
          <w:rFonts w:cs="Arial"/>
          <w:szCs w:val="24"/>
        </w:rPr>
        <w:t>E</w:t>
      </w:r>
      <w:r w:rsidRPr="008B665B">
        <w:rPr>
          <w:rFonts w:cs="Arial"/>
          <w:szCs w:val="24"/>
        </w:rPr>
        <w:t xml:space="preserve">fficacy </w:t>
      </w:r>
      <w:r>
        <w:rPr>
          <w:rFonts w:cs="Arial"/>
          <w:szCs w:val="24"/>
        </w:rPr>
        <w:t>R</w:t>
      </w:r>
      <w:r w:rsidRPr="008B665B">
        <w:rPr>
          <w:rFonts w:cs="Arial"/>
          <w:szCs w:val="24"/>
        </w:rPr>
        <w:t>atings</w:t>
      </w:r>
    </w:p>
    <w:tbl>
      <w:tblPr>
        <w:tblStyle w:val="GridTable1Light"/>
        <w:tblW w:w="9704" w:type="dxa"/>
        <w:tblLook w:val="04A0" w:firstRow="1" w:lastRow="0" w:firstColumn="1" w:lastColumn="0" w:noHBand="0" w:noVBand="1"/>
      </w:tblPr>
      <w:tblGrid>
        <w:gridCol w:w="1928"/>
        <w:gridCol w:w="7776"/>
      </w:tblGrid>
      <w:tr w:rsidR="00DF76DC" w:rsidRPr="00770CBB" w14:paraId="45B7EC8F" w14:textId="77777777" w:rsidTr="00BA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55106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 xml:space="preserve">Efficacy </w:t>
            </w:r>
            <w:r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R</w:t>
            </w: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ating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E22BD1" w14:textId="77777777" w:rsidR="00DF76DC" w:rsidRPr="00770CBB" w:rsidRDefault="00DF76DC" w:rsidP="00BA44D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Definition</w:t>
            </w:r>
          </w:p>
        </w:tc>
      </w:tr>
      <w:tr w:rsidR="00DF76DC" w:rsidRPr="00770CBB" w14:paraId="4C69C089" w14:textId="77777777" w:rsidTr="00BA44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3BFAF8B3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623C132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Meets or exceeds efficacy expectations based on experience with previous FIX therapy</w:t>
            </w:r>
          </w:p>
          <w:p w14:paraId="44B770A8" w14:textId="77777777" w:rsidR="00DF76DC" w:rsidRPr="00770CBB" w:rsidRDefault="00DF76DC" w:rsidP="00BA44DB">
            <w:pPr>
              <w:pStyle w:val="EndNoteBibliograp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Cs w:val="24"/>
                <w:lang w:val="en-GB" w:eastAsia="en-GB"/>
              </w:rPr>
            </w:pPr>
            <w:r w:rsidRPr="00770CBB">
              <w:rPr>
                <w:noProof w:val="0"/>
                <w:szCs w:val="24"/>
                <w:lang w:val="en-GB" w:eastAsia="en-GB"/>
              </w:rPr>
              <w:t xml:space="preserve">Bleed episodes typically respond to the same or a fewer number of infusions and the same or lower dose of FIX compared with previous on-demand therapy, and/or the rate of breakthrough bleeding while </w:t>
            </w:r>
            <w:r>
              <w:rPr>
                <w:noProof w:val="0"/>
                <w:szCs w:val="24"/>
                <w:lang w:val="en-GB" w:eastAsia="en-GB"/>
              </w:rPr>
              <w:t>receiving</w:t>
            </w:r>
            <w:r w:rsidRPr="00770CBB">
              <w:rPr>
                <w:noProof w:val="0"/>
                <w:szCs w:val="24"/>
                <w:lang w:val="en-GB" w:eastAsia="en-GB"/>
              </w:rPr>
              <w:t xml:space="preserve"> prophylaxis is the same or lower than with previous FIX therapy, if applicable</w:t>
            </w:r>
          </w:p>
        </w:tc>
      </w:tr>
      <w:tr w:rsidR="00DF76DC" w:rsidRPr="00770CBB" w14:paraId="15A2DA5C" w14:textId="77777777" w:rsidTr="00BA44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left w:val="nil"/>
              <w:right w:val="nil"/>
            </w:tcBorders>
          </w:tcPr>
          <w:p w14:paraId="100C2A01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  <w:t>Good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DB420DC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Somewhat less than expected, but adequate efficacy compared with previous FIX therapy</w:t>
            </w:r>
          </w:p>
          <w:p w14:paraId="425D701D" w14:textId="77777777" w:rsidR="00DF76DC" w:rsidRPr="00770CBB" w:rsidRDefault="00DF76DC" w:rsidP="00BA44DB">
            <w:pPr>
              <w:pStyle w:val="EndNoteBibliograp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Cs w:val="24"/>
                <w:lang w:val="en-GB" w:eastAsia="en-GB"/>
              </w:rPr>
            </w:pPr>
            <w:r w:rsidRPr="00770CBB">
              <w:rPr>
                <w:noProof w:val="0"/>
                <w:szCs w:val="24"/>
                <w:lang w:val="en-GB" w:eastAsia="en-GB"/>
              </w:rPr>
              <w:t xml:space="preserve">Most bleed episodes respond to the same number of infusions and dose, but some require more infusions or higher dose than previously expected, and/or a minor increase in the rate of breakthrough bleeding while </w:t>
            </w:r>
            <w:r>
              <w:rPr>
                <w:noProof w:val="0"/>
                <w:szCs w:val="24"/>
                <w:lang w:val="en-GB" w:eastAsia="en-GB"/>
              </w:rPr>
              <w:t>receiving</w:t>
            </w:r>
            <w:r w:rsidRPr="00770CBB">
              <w:rPr>
                <w:noProof w:val="0"/>
                <w:szCs w:val="24"/>
                <w:lang w:val="en-GB" w:eastAsia="en-GB"/>
              </w:rPr>
              <w:t xml:space="preserve"> prophylaxis, if applicable</w:t>
            </w:r>
          </w:p>
        </w:tc>
      </w:tr>
      <w:tr w:rsidR="00DF76DC" w:rsidRPr="00770CBB" w14:paraId="0A29BA98" w14:textId="77777777" w:rsidTr="00BA44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left w:val="nil"/>
              <w:bottom w:val="single" w:sz="4" w:space="0" w:color="999999" w:themeColor="text1" w:themeTint="66"/>
              <w:right w:val="nil"/>
            </w:tcBorders>
          </w:tcPr>
          <w:p w14:paraId="239FBC63" w14:textId="77777777" w:rsidR="00DF76DC" w:rsidRPr="00770CBB" w:rsidRDefault="00DF76DC" w:rsidP="00BA44DB">
            <w:pPr>
              <w:tabs>
                <w:tab w:val="left" w:pos="321"/>
              </w:tabs>
              <w:spacing w:before="0" w:after="0"/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  <w:t>Fair</w:t>
            </w:r>
          </w:p>
        </w:tc>
        <w:tc>
          <w:tcPr>
            <w:tcW w:w="0" w:type="auto"/>
            <w:tcBorders>
              <w:left w:val="nil"/>
              <w:bottom w:val="single" w:sz="4" w:space="0" w:color="999999" w:themeColor="text1" w:themeTint="66"/>
              <w:right w:val="nil"/>
            </w:tcBorders>
            <w:vAlign w:val="bottom"/>
          </w:tcPr>
          <w:p w14:paraId="420AE7F3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Significantly less than expected efficacy compared with previous FIX therapy</w:t>
            </w:r>
          </w:p>
          <w:p w14:paraId="377121C8" w14:textId="77777777" w:rsidR="00DF76DC" w:rsidRPr="00770CBB" w:rsidRDefault="00DF76DC" w:rsidP="00BA44DB">
            <w:pPr>
              <w:pStyle w:val="EndNoteBibliograp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Cs w:val="24"/>
                <w:lang w:val="en-GB" w:eastAsia="en-GB"/>
              </w:rPr>
            </w:pPr>
            <w:r w:rsidRPr="00770CBB">
              <w:rPr>
                <w:noProof w:val="0"/>
                <w:szCs w:val="24"/>
                <w:lang w:val="en-GB" w:eastAsia="en-GB"/>
              </w:rPr>
              <w:t>Bleed episodes most often require more infusions and/or higher doses than expected with previous therapy, and/or adequate breakthrough bleed prevention requires more frequent infusions and/or higher doses while receiving prophylaxis, if applicable</w:t>
            </w:r>
          </w:p>
        </w:tc>
      </w:tr>
      <w:tr w:rsidR="00DF76DC" w:rsidRPr="00770CBB" w14:paraId="149B18A9" w14:textId="77777777" w:rsidTr="00BA44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7DE810E3" w14:textId="77777777" w:rsidR="00DF76DC" w:rsidRPr="00770CBB" w:rsidRDefault="00DF76DC" w:rsidP="00BA44DB">
            <w:pPr>
              <w:tabs>
                <w:tab w:val="left" w:pos="321"/>
              </w:tabs>
              <w:spacing w:before="0" w:after="0"/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bCs w:val="0"/>
                <w:color w:val="000000" w:themeColor="text1"/>
                <w:szCs w:val="24"/>
                <w:lang w:val="en-GB" w:eastAsia="en-GB"/>
              </w:rPr>
              <w:t>Poor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DCD318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color w:val="000000" w:themeColor="text1"/>
                <w:szCs w:val="24"/>
                <w:lang w:val="en-GB" w:eastAsia="en-GB"/>
              </w:rPr>
              <w:t>Routine failure to control hemostasis, and/or requiring additional agents or different FIX therapeutics for hemostatic management</w:t>
            </w:r>
          </w:p>
        </w:tc>
      </w:tr>
    </w:tbl>
    <w:p w14:paraId="1D0DD62D" w14:textId="77777777" w:rsidR="00DF76DC" w:rsidRPr="00770CBB" w:rsidRDefault="00DF76DC" w:rsidP="00DF76DC">
      <w:pPr>
        <w:spacing w:before="0" w:after="0"/>
        <w:rPr>
          <w:rFonts w:cs="Arial"/>
          <w:szCs w:val="24"/>
        </w:rPr>
      </w:pPr>
      <w:r w:rsidRPr="00BE6B93">
        <w:rPr>
          <w:rFonts w:cs="Arial"/>
          <w:b/>
          <w:bCs/>
          <w:szCs w:val="24"/>
        </w:rPr>
        <w:t>Abbreviation:</w:t>
      </w:r>
      <w:r>
        <w:rPr>
          <w:rFonts w:cs="Arial"/>
          <w:szCs w:val="24"/>
        </w:rPr>
        <w:t xml:space="preserve"> </w:t>
      </w:r>
      <w:r w:rsidRPr="00770CBB">
        <w:rPr>
          <w:rFonts w:cs="Arial"/>
          <w:szCs w:val="24"/>
        </w:rPr>
        <w:t>FIX, factor IX.</w:t>
      </w:r>
    </w:p>
    <w:p w14:paraId="36DE3A77" w14:textId="059FC03D" w:rsidR="00DF76DC" w:rsidRPr="006C5AB3" w:rsidRDefault="00DF76DC" w:rsidP="00DF76DC">
      <w:pPr>
        <w:spacing w:before="0" w:after="0" w:line="360" w:lineRule="auto"/>
        <w:rPr>
          <w:rFonts w:cs="Arial"/>
        </w:rPr>
      </w:pPr>
      <w:r>
        <w:rPr>
          <w:rFonts w:cs="Arial"/>
          <w:b/>
          <w:bCs/>
          <w:szCs w:val="24"/>
        </w:rPr>
        <w:lastRenderedPageBreak/>
        <w:t>Supplementary</w:t>
      </w:r>
      <w:r w:rsidRPr="008B665B">
        <w:rPr>
          <w:rFonts w:cs="Arial"/>
          <w:b/>
          <w:bCs/>
        </w:rPr>
        <w:t xml:space="preserve"> Table 2</w:t>
      </w:r>
      <w:r w:rsidRPr="008B665B">
        <w:rPr>
          <w:rFonts w:cs="Arial"/>
        </w:rPr>
        <w:t xml:space="preserve"> Maximal</w:t>
      </w:r>
      <w:r w:rsidRPr="006C5AB3">
        <w:rPr>
          <w:rFonts w:cs="Arial"/>
        </w:rPr>
        <w:t xml:space="preserve"> FIX </w:t>
      </w:r>
      <w:r>
        <w:rPr>
          <w:rFonts w:cs="Arial"/>
        </w:rPr>
        <w:t>I</w:t>
      </w:r>
      <w:r w:rsidRPr="006C5AB3">
        <w:rPr>
          <w:rFonts w:cs="Arial"/>
        </w:rPr>
        <w:t>nhibitor tit</w:t>
      </w:r>
      <w:r>
        <w:rPr>
          <w:rFonts w:cs="Arial"/>
        </w:rPr>
        <w:t>e</w:t>
      </w:r>
      <w:r w:rsidRPr="006C5AB3">
        <w:rPr>
          <w:rFonts w:cs="Arial"/>
        </w:rPr>
        <w:t xml:space="preserve">r in 10 </w:t>
      </w:r>
      <w:r>
        <w:rPr>
          <w:rFonts w:cs="Arial"/>
        </w:rPr>
        <w:t>P</w:t>
      </w:r>
      <w:r w:rsidRPr="006C5AB3">
        <w:rPr>
          <w:rFonts w:cs="Arial"/>
        </w:rPr>
        <w:t>atients</w:t>
      </w:r>
      <w:r>
        <w:rPr>
          <w:rFonts w:cs="Arial"/>
          <w:vertAlign w:val="superscript"/>
        </w:rPr>
        <w:t>a</w:t>
      </w:r>
      <w:r w:rsidR="00F71C29">
        <w:rPr>
          <w:rFonts w:cs="Arial"/>
          <w:vertAlign w:val="superscript"/>
        </w:rPr>
        <w:t>,b</w:t>
      </w:r>
      <w:r w:rsidRPr="006C5AB3">
        <w:rPr>
          <w:rFonts w:cs="Arial"/>
        </w:rPr>
        <w:t xml:space="preserve"> (</w:t>
      </w:r>
      <w:r>
        <w:rPr>
          <w:rFonts w:cs="Arial"/>
        </w:rPr>
        <w:t>S</w:t>
      </w:r>
      <w:r w:rsidRPr="006C5AB3">
        <w:rPr>
          <w:rFonts w:cs="Arial"/>
        </w:rPr>
        <w:t xml:space="preserve">afety </w:t>
      </w:r>
      <w:r>
        <w:rPr>
          <w:rFonts w:cs="Arial"/>
        </w:rPr>
        <w:t>S</w:t>
      </w:r>
      <w:r w:rsidRPr="006C5AB3">
        <w:rPr>
          <w:rFonts w:cs="Arial"/>
        </w:rPr>
        <w:t>et)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701"/>
        <w:gridCol w:w="2253"/>
        <w:gridCol w:w="1984"/>
      </w:tblGrid>
      <w:tr w:rsidR="00DF76DC" w:rsidRPr="006C5AB3" w14:paraId="2A0EB582" w14:textId="77777777" w:rsidTr="00BA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left w:val="nil"/>
              <w:right w:val="nil"/>
            </w:tcBorders>
            <w:hideMark/>
          </w:tcPr>
          <w:p w14:paraId="0675B0F7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Assay</w:t>
            </w:r>
          </w:p>
        </w:tc>
        <w:tc>
          <w:tcPr>
            <w:tcW w:w="2253" w:type="dxa"/>
            <w:tcBorders>
              <w:left w:val="nil"/>
              <w:right w:val="nil"/>
            </w:tcBorders>
            <w:hideMark/>
          </w:tcPr>
          <w:p w14:paraId="6C129D03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Patients, </w:t>
            </w:r>
            <w:r w:rsidRPr="00BE6B9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(%)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14:paraId="211E7F84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95% CI</w:t>
            </w:r>
          </w:p>
        </w:tc>
      </w:tr>
      <w:tr w:rsidR="00DF76DC" w:rsidRPr="006C5AB3" w14:paraId="26450628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hideMark/>
          </w:tcPr>
          <w:p w14:paraId="11560BCE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Bethesda assay</w:t>
            </w:r>
          </w:p>
        </w:tc>
        <w:tc>
          <w:tcPr>
            <w:tcW w:w="2253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hideMark/>
          </w:tcPr>
          <w:p w14:paraId="2D0F8D91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12" w:space="0" w:color="666666" w:themeColor="text1" w:themeTint="99"/>
              <w:left w:val="nil"/>
              <w:bottom w:val="nil"/>
              <w:right w:val="nil"/>
            </w:tcBorders>
            <w:hideMark/>
          </w:tcPr>
          <w:p w14:paraId="48B6C233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</w:tc>
      </w:tr>
      <w:tr w:rsidR="00DF76DC" w:rsidRPr="006C5AB3" w14:paraId="6CEBB155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109E806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ab/>
              <w:t>Max. tit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</w:t>
            </w: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r &gt;5 BU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4171090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 (0)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E32ABE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0.00–32.44</w:t>
            </w:r>
          </w:p>
        </w:tc>
      </w:tr>
      <w:tr w:rsidR="00DF76DC" w:rsidRPr="006C5AB3" w14:paraId="60002C6F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8FF02E4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ab/>
              <w:t>1 BU &lt; max. tit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</w:t>
            </w: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r ≤5 BU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A1EA5CA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 (0)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CB22BA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0.00–32.44</w:t>
            </w:r>
          </w:p>
        </w:tc>
      </w:tr>
      <w:tr w:rsidR="00DF76DC" w:rsidRPr="006C5AB3" w14:paraId="27AC7AAB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nil"/>
              <w:left w:val="nil"/>
              <w:bottom w:val="single" w:sz="8" w:space="0" w:color="767171" w:themeColor="background2" w:themeShade="80"/>
              <w:right w:val="nil"/>
            </w:tcBorders>
          </w:tcPr>
          <w:p w14:paraId="01B589A0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ab/>
              <w:t>Max. tit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</w:t>
            </w: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r ≤1 BU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767171" w:themeColor="background2" w:themeShade="80"/>
              <w:right w:val="nil"/>
            </w:tcBorders>
          </w:tcPr>
          <w:p w14:paraId="2C6D76CC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8 (100)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767171" w:themeColor="background2" w:themeShade="80"/>
              <w:right w:val="nil"/>
            </w:tcBorders>
          </w:tcPr>
          <w:p w14:paraId="7E734860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67.56–100.00</w:t>
            </w:r>
          </w:p>
        </w:tc>
      </w:tr>
      <w:tr w:rsidR="00DF76DC" w:rsidRPr="006C5AB3" w14:paraId="110EA838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single" w:sz="8" w:space="0" w:color="767171" w:themeColor="background2" w:themeShade="80"/>
              <w:left w:val="nil"/>
              <w:bottom w:val="nil"/>
              <w:right w:val="nil"/>
            </w:tcBorders>
            <w:hideMark/>
          </w:tcPr>
          <w:p w14:paraId="1EEACC43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Nijmegen assay</w:t>
            </w:r>
          </w:p>
        </w:tc>
        <w:tc>
          <w:tcPr>
            <w:tcW w:w="2253" w:type="dxa"/>
            <w:tcBorders>
              <w:top w:val="single" w:sz="8" w:space="0" w:color="767171" w:themeColor="background2" w:themeShade="80"/>
              <w:left w:val="nil"/>
              <w:bottom w:val="nil"/>
              <w:right w:val="nil"/>
            </w:tcBorders>
            <w:hideMark/>
          </w:tcPr>
          <w:p w14:paraId="30AAED86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767171" w:themeColor="background2" w:themeShade="80"/>
              <w:left w:val="nil"/>
              <w:bottom w:val="nil"/>
              <w:right w:val="nil"/>
            </w:tcBorders>
            <w:hideMark/>
          </w:tcPr>
          <w:p w14:paraId="2866F696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</w:tc>
      </w:tr>
      <w:tr w:rsidR="00DF76DC" w:rsidRPr="006C5AB3" w14:paraId="65684604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A582A02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ab/>
              <w:t>Max. tit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</w:t>
            </w: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r &gt;5 Nij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3507B60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 (0)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99D409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0.00–48.99</w:t>
            </w:r>
          </w:p>
        </w:tc>
      </w:tr>
      <w:tr w:rsidR="00DF76DC" w:rsidRPr="006C5AB3" w14:paraId="111CFAFE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6C53051B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ab/>
              <w:t>0.6 Nij &lt; max. tit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</w:t>
            </w: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r ≤5 Nij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7F7CE1A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 (0)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AA8780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0.00–48.99</w:t>
            </w:r>
          </w:p>
        </w:tc>
      </w:tr>
      <w:tr w:rsidR="00DF76DC" w:rsidRPr="006C5AB3" w14:paraId="2007AECE" w14:textId="77777777" w:rsidTr="00BA44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tcBorders>
              <w:top w:val="nil"/>
              <w:left w:val="nil"/>
              <w:bottom w:val="single" w:sz="8" w:space="0" w:color="767171" w:themeColor="background2" w:themeShade="80"/>
              <w:right w:val="nil"/>
            </w:tcBorders>
          </w:tcPr>
          <w:p w14:paraId="1FD58C4F" w14:textId="77777777" w:rsidR="00DF76DC" w:rsidRPr="00BC7A7F" w:rsidRDefault="00DF76DC" w:rsidP="00BA44DB">
            <w:pPr>
              <w:tabs>
                <w:tab w:val="left" w:pos="321"/>
              </w:tabs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ab/>
              <w:t>Max. tit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</w:t>
            </w: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r ≤0.6 Nij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767171" w:themeColor="background2" w:themeShade="80"/>
              <w:right w:val="nil"/>
            </w:tcBorders>
          </w:tcPr>
          <w:p w14:paraId="5E7488B7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4 (100)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767171" w:themeColor="background2" w:themeShade="80"/>
              <w:right w:val="nil"/>
            </w:tcBorders>
          </w:tcPr>
          <w:p w14:paraId="37ADC267" w14:textId="77777777" w:rsidR="00DF76DC" w:rsidRPr="00BC7A7F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color w:val="000000" w:themeColor="text1"/>
                <w:lang w:val="en-GB" w:eastAsia="en-GB"/>
              </w:rPr>
              <w:t>51.01–100.00</w:t>
            </w:r>
          </w:p>
        </w:tc>
      </w:tr>
    </w:tbl>
    <w:p w14:paraId="61C9CFF4" w14:textId="05044E58" w:rsidR="00DF76DC" w:rsidRPr="00BE6B93" w:rsidRDefault="00DF76DC" w:rsidP="00DF76DC">
      <w:pPr>
        <w:spacing w:before="0" w:after="0" w:line="360" w:lineRule="auto"/>
        <w:rPr>
          <w:rFonts w:eastAsia="Times New Roman" w:cs="Arial"/>
          <w:bCs/>
          <w:color w:val="000000" w:themeColor="text1"/>
          <w:sz w:val="22"/>
          <w:lang w:eastAsia="en-GB"/>
        </w:rPr>
      </w:pPr>
      <w:r w:rsidRPr="00BE6B93">
        <w:rPr>
          <w:rFonts w:eastAsia="Times New Roman" w:cs="Arial"/>
          <w:b/>
          <w:color w:val="000000" w:themeColor="text1"/>
          <w:sz w:val="22"/>
          <w:lang w:eastAsia="en-GB"/>
        </w:rPr>
        <w:t>Abbreviations:</w:t>
      </w:r>
      <w:r>
        <w:rPr>
          <w:rFonts w:eastAsia="Times New Roman" w:cs="Arial"/>
          <w:bCs/>
          <w:color w:val="000000" w:themeColor="text1"/>
          <w:sz w:val="22"/>
          <w:lang w:eastAsia="en-GB"/>
        </w:rPr>
        <w:t xml:space="preserve"> </w:t>
      </w:r>
      <w:r w:rsidRPr="00C76DFF">
        <w:rPr>
          <w:rFonts w:eastAsia="Times New Roman" w:cs="Arial"/>
          <w:bCs/>
          <w:color w:val="000000" w:themeColor="text1"/>
          <w:sz w:val="22"/>
          <w:lang w:eastAsia="en-GB"/>
        </w:rPr>
        <w:t xml:space="preserve">BU, Bethesda units; CI, confidence interval; </w:t>
      </w:r>
      <w:r w:rsidRPr="008E27C3">
        <w:rPr>
          <w:rFonts w:eastAsia="Times New Roman" w:cs="Arial"/>
          <w:bCs/>
          <w:color w:val="000000" w:themeColor="text1"/>
          <w:sz w:val="22"/>
          <w:lang w:eastAsia="en-GB"/>
        </w:rPr>
        <w:t xml:space="preserve">FIX, factor IX; </w:t>
      </w:r>
      <w:r w:rsidRPr="00C76DFF">
        <w:rPr>
          <w:rFonts w:eastAsia="Times New Roman" w:cs="Arial"/>
          <w:bCs/>
          <w:color w:val="000000" w:themeColor="text1"/>
          <w:sz w:val="22"/>
          <w:lang w:eastAsia="en-GB"/>
        </w:rPr>
        <w:t>max</w:t>
      </w:r>
      <w:r>
        <w:rPr>
          <w:rFonts w:eastAsia="Times New Roman" w:cs="Arial"/>
          <w:bCs/>
          <w:color w:val="000000" w:themeColor="text1"/>
          <w:sz w:val="22"/>
          <w:lang w:eastAsia="en-GB"/>
        </w:rPr>
        <w:t>.</w:t>
      </w:r>
      <w:r w:rsidRPr="00C76DFF">
        <w:rPr>
          <w:rFonts w:eastAsia="Times New Roman" w:cs="Arial"/>
          <w:bCs/>
          <w:color w:val="000000" w:themeColor="text1"/>
          <w:sz w:val="22"/>
          <w:lang w:eastAsia="en-GB"/>
        </w:rPr>
        <w:t>, maximum; Nij, Nijmegen units.</w:t>
      </w:r>
      <w:r>
        <w:rPr>
          <w:rFonts w:eastAsia="Times New Roman" w:cs="Arial"/>
          <w:bCs/>
          <w:color w:val="000000" w:themeColor="text1"/>
          <w:sz w:val="22"/>
          <w:lang w:eastAsia="en-GB"/>
        </w:rPr>
        <w:t xml:space="preserve"> </w:t>
      </w:r>
      <w:r>
        <w:rPr>
          <w:rFonts w:eastAsia="Times New Roman" w:cs="Arial"/>
          <w:bCs/>
          <w:color w:val="000000" w:themeColor="text1"/>
          <w:sz w:val="22"/>
          <w:vertAlign w:val="superscript"/>
          <w:lang w:eastAsia="en-GB"/>
        </w:rPr>
        <w:t>a</w:t>
      </w:r>
      <w:r w:rsidRPr="00C76DFF">
        <w:rPr>
          <w:rFonts w:eastAsia="Times New Roman" w:cs="Arial"/>
          <w:bCs/>
          <w:color w:val="000000" w:themeColor="text1"/>
          <w:sz w:val="22"/>
          <w:lang w:eastAsia="en-GB"/>
        </w:rPr>
        <w:t xml:space="preserve">For </w:t>
      </w:r>
      <w:r>
        <w:rPr>
          <w:rFonts w:eastAsia="Times New Roman" w:cs="Arial"/>
          <w:bCs/>
          <w:color w:val="000000" w:themeColor="text1"/>
          <w:sz w:val="22"/>
          <w:lang w:eastAsia="en-GB"/>
        </w:rPr>
        <w:t>2</w:t>
      </w:r>
      <w:r w:rsidRPr="00C76DFF">
        <w:rPr>
          <w:rFonts w:eastAsia="Times New Roman" w:cs="Arial"/>
          <w:bCs/>
          <w:color w:val="000000" w:themeColor="text1"/>
          <w:sz w:val="22"/>
          <w:lang w:eastAsia="en-GB"/>
        </w:rPr>
        <w:t xml:space="preserve"> patients, FIX inhibitor testing was conducted using both the Bethesda assay and the Nijmegen assay.</w:t>
      </w:r>
      <w:r w:rsidR="00F71C29">
        <w:rPr>
          <w:rFonts w:eastAsia="Times New Roman" w:cs="Arial"/>
          <w:bCs/>
          <w:color w:val="000000" w:themeColor="text1"/>
          <w:sz w:val="22"/>
          <w:lang w:eastAsia="en-GB"/>
        </w:rPr>
        <w:t xml:space="preserve"> </w:t>
      </w:r>
      <w:r w:rsidR="00F71C29" w:rsidRPr="00F71C29">
        <w:rPr>
          <w:rFonts w:eastAsia="Times New Roman" w:cs="Arial"/>
          <w:bCs/>
          <w:color w:val="000000" w:themeColor="text1"/>
          <w:sz w:val="22"/>
          <w:vertAlign w:val="superscript"/>
          <w:lang w:eastAsia="en-GB"/>
        </w:rPr>
        <w:t>b</w:t>
      </w:r>
      <w:bookmarkStart w:id="1" w:name="_Hlk152509974"/>
      <w:r w:rsidR="00F71C29" w:rsidRPr="00F71C29">
        <w:rPr>
          <w:rFonts w:eastAsia="Times New Roman" w:cs="Arial"/>
          <w:bCs/>
          <w:color w:val="000000" w:themeColor="text1"/>
          <w:sz w:val="22"/>
          <w:lang w:eastAsia="en-GB"/>
        </w:rPr>
        <w:t>One patient underwent testing for FIX inhibitors</w:t>
      </w:r>
      <w:r w:rsidR="00E10DFA">
        <w:rPr>
          <w:rFonts w:eastAsia="Times New Roman" w:cs="Arial"/>
          <w:bCs/>
          <w:color w:val="000000" w:themeColor="text1"/>
          <w:sz w:val="22"/>
          <w:lang w:eastAsia="en-GB"/>
        </w:rPr>
        <w:t xml:space="preserve"> twice</w:t>
      </w:r>
      <w:r w:rsidR="00F71C29" w:rsidRPr="00F71C29">
        <w:rPr>
          <w:rFonts w:eastAsia="Times New Roman" w:cs="Arial"/>
          <w:bCs/>
          <w:color w:val="000000" w:themeColor="text1"/>
          <w:sz w:val="22"/>
          <w:lang w:eastAsia="en-GB"/>
        </w:rPr>
        <w:t xml:space="preserve"> and was reported as negative both times; however, the method used to test for FIX inhibitors was not reported.</w:t>
      </w:r>
      <w:r w:rsidR="00F71C29">
        <w:rPr>
          <w:rFonts w:eastAsia="Times New Roman" w:cs="Arial"/>
          <w:bCs/>
          <w:color w:val="000000" w:themeColor="text1"/>
          <w:sz w:val="22"/>
          <w:lang w:eastAsia="en-GB"/>
        </w:rPr>
        <w:t xml:space="preserve"> This patient is not included in </w:t>
      </w:r>
      <w:r w:rsidR="00F71C29" w:rsidRPr="00F71C29">
        <w:rPr>
          <w:rFonts w:eastAsia="Times New Roman" w:cs="Arial"/>
          <w:bCs/>
          <w:color w:val="000000" w:themeColor="text1"/>
          <w:sz w:val="22"/>
          <w:lang w:eastAsia="en-GB"/>
        </w:rPr>
        <w:t>Supplementary Table 2</w:t>
      </w:r>
      <w:r w:rsidR="00F71C29">
        <w:rPr>
          <w:rFonts w:eastAsia="Times New Roman" w:cs="Arial"/>
          <w:bCs/>
          <w:color w:val="000000" w:themeColor="text1"/>
          <w:sz w:val="22"/>
          <w:lang w:eastAsia="en-GB"/>
        </w:rPr>
        <w:t>. In addition, i</w:t>
      </w:r>
      <w:r w:rsidR="00F71C29" w:rsidRPr="00F71C29">
        <w:rPr>
          <w:rFonts w:eastAsia="Times New Roman" w:cs="Arial"/>
          <w:bCs/>
          <w:color w:val="000000" w:themeColor="text1"/>
          <w:sz w:val="22"/>
          <w:lang w:eastAsia="en-GB"/>
        </w:rPr>
        <w:t>nhibitor testing was not conducted in 2 patients</w:t>
      </w:r>
      <w:r w:rsidR="00F71C29">
        <w:rPr>
          <w:rFonts w:eastAsia="Times New Roman" w:cs="Arial"/>
          <w:bCs/>
          <w:color w:val="000000" w:themeColor="text1"/>
          <w:sz w:val="22"/>
          <w:lang w:eastAsia="en-GB"/>
        </w:rPr>
        <w:t>.</w:t>
      </w:r>
      <w:bookmarkEnd w:id="1"/>
    </w:p>
    <w:p w14:paraId="163BA98C" w14:textId="77777777" w:rsidR="00DF76DC" w:rsidRPr="006C5AB3" w:rsidRDefault="00DF76DC" w:rsidP="00DF76DC">
      <w:pPr>
        <w:spacing w:before="0" w:after="0" w:line="360" w:lineRule="auto"/>
        <w:rPr>
          <w:rFonts w:eastAsia="Times New Roman" w:cs="Arial"/>
          <w:bCs/>
          <w:color w:val="000000" w:themeColor="text1"/>
          <w:lang w:eastAsia="en-GB"/>
        </w:rPr>
      </w:pPr>
    </w:p>
    <w:p w14:paraId="09E4148A" w14:textId="77777777" w:rsidR="00DF76DC" w:rsidRPr="006C5AB3" w:rsidRDefault="00DF76DC" w:rsidP="00DF76DC">
      <w:pPr>
        <w:spacing w:before="0" w:after="0" w:line="360" w:lineRule="auto"/>
        <w:rPr>
          <w:rFonts w:eastAsia="Times New Roman" w:cs="Arial"/>
          <w:bCs/>
          <w:color w:val="000000" w:themeColor="text1"/>
          <w:lang w:eastAsia="en-GB"/>
        </w:rPr>
        <w:sectPr w:rsidR="00DF76DC" w:rsidRPr="006C5AB3" w:rsidSect="00A704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F499D9" w14:textId="77777777" w:rsidR="00DF76DC" w:rsidRPr="00770CBB" w:rsidRDefault="00DF76DC" w:rsidP="00DF76DC">
      <w:pPr>
        <w:spacing w:before="0" w:after="0"/>
        <w:rPr>
          <w:rFonts w:cs="Arial"/>
          <w:szCs w:val="24"/>
        </w:rPr>
      </w:pPr>
      <w:r>
        <w:rPr>
          <w:rFonts w:cs="Arial"/>
          <w:b/>
          <w:bCs/>
          <w:szCs w:val="24"/>
        </w:rPr>
        <w:lastRenderedPageBreak/>
        <w:t>Supplementary</w:t>
      </w:r>
      <w:r w:rsidRPr="008B665B">
        <w:rPr>
          <w:rFonts w:cs="Arial"/>
          <w:b/>
          <w:bCs/>
          <w:szCs w:val="24"/>
        </w:rPr>
        <w:t xml:space="preserve"> Table 3</w:t>
      </w:r>
      <w:r w:rsidRPr="008B665B">
        <w:rPr>
          <w:rFonts w:cs="Arial"/>
          <w:szCs w:val="24"/>
        </w:rPr>
        <w:t xml:space="preserve"> Annuali</w:t>
      </w:r>
      <w:r>
        <w:rPr>
          <w:rFonts w:cs="Arial"/>
          <w:szCs w:val="24"/>
        </w:rPr>
        <w:t>z</w:t>
      </w:r>
      <w:r w:rsidRPr="008B665B">
        <w:rPr>
          <w:rFonts w:cs="Arial"/>
          <w:szCs w:val="24"/>
        </w:rPr>
        <w:t>ed</w:t>
      </w:r>
      <w:r w:rsidRPr="00770CB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</w:t>
      </w:r>
      <w:r w:rsidRPr="00770CBB">
        <w:rPr>
          <w:rFonts w:cs="Arial"/>
          <w:szCs w:val="24"/>
        </w:rPr>
        <w:t xml:space="preserve">leeding </w:t>
      </w:r>
      <w:r>
        <w:rPr>
          <w:rFonts w:cs="Arial"/>
          <w:szCs w:val="24"/>
        </w:rPr>
        <w:t>R</w:t>
      </w:r>
      <w:r w:rsidRPr="00770CBB">
        <w:rPr>
          <w:rFonts w:cs="Arial"/>
          <w:szCs w:val="24"/>
        </w:rPr>
        <w:t xml:space="preserve">ate </w:t>
      </w:r>
      <w:r>
        <w:rPr>
          <w:rFonts w:cs="Arial"/>
          <w:szCs w:val="24"/>
        </w:rPr>
        <w:t>by</w:t>
      </w:r>
      <w:r w:rsidRPr="00770CB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</w:t>
      </w:r>
      <w:r w:rsidRPr="00770CBB">
        <w:rPr>
          <w:rFonts w:cs="Arial"/>
          <w:szCs w:val="24"/>
        </w:rPr>
        <w:t xml:space="preserve">reatment </w:t>
      </w:r>
      <w:r>
        <w:rPr>
          <w:rFonts w:cs="Arial"/>
          <w:szCs w:val="24"/>
        </w:rPr>
        <w:t>R</w:t>
      </w:r>
      <w:r w:rsidRPr="00770CBB">
        <w:rPr>
          <w:rFonts w:cs="Arial"/>
          <w:szCs w:val="24"/>
        </w:rPr>
        <w:t>egimen</w:t>
      </w:r>
    </w:p>
    <w:tbl>
      <w:tblPr>
        <w:tblStyle w:val="GridTable1Light"/>
        <w:tblW w:w="8926" w:type="dxa"/>
        <w:tblLook w:val="04A0" w:firstRow="1" w:lastRow="0" w:firstColumn="1" w:lastColumn="0" w:noHBand="0" w:noVBand="1"/>
      </w:tblPr>
      <w:tblGrid>
        <w:gridCol w:w="2873"/>
        <w:gridCol w:w="950"/>
        <w:gridCol w:w="2076"/>
        <w:gridCol w:w="1042"/>
        <w:gridCol w:w="1985"/>
      </w:tblGrid>
      <w:tr w:rsidR="00DF76DC" w:rsidRPr="00770CBB" w14:paraId="2D981C3B" w14:textId="77777777" w:rsidTr="00BA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BED7A5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>Regimen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3CF86" w14:textId="77777777" w:rsidR="00DF76DC" w:rsidRPr="00770CBB" w:rsidRDefault="00DF76DC" w:rsidP="00BA44D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 xml:space="preserve">ITT </w:t>
            </w:r>
            <w:r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>S</w:t>
            </w: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>et</w:t>
            </w:r>
            <w:r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 xml:space="preserve">, </w:t>
            </w:r>
          </w:p>
          <w:p w14:paraId="071D27D1" w14:textId="77777777" w:rsidR="00DF76DC" w:rsidRPr="00770CBB" w:rsidRDefault="00DF76DC" w:rsidP="00BA44D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</w:pPr>
            <w:r w:rsidRPr="00BE6B93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N</w:t>
            </w: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 xml:space="preserve"> = 13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8D3221" w14:textId="77777777" w:rsidR="00DF76DC" w:rsidRPr="00770CBB" w:rsidRDefault="00DF76DC" w:rsidP="00BA44D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 xml:space="preserve">PP </w:t>
            </w:r>
            <w:r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>S</w:t>
            </w: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>et</w:t>
            </w:r>
            <w:r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 xml:space="preserve">, </w:t>
            </w:r>
          </w:p>
          <w:p w14:paraId="37C8CE1E" w14:textId="77777777" w:rsidR="00DF76DC" w:rsidRPr="00770CBB" w:rsidRDefault="00DF76DC" w:rsidP="00BA44D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</w:pPr>
            <w:r w:rsidRPr="00BE6B93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N</w:t>
            </w:r>
            <w:r w:rsidRPr="00770CBB"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  <w:t xml:space="preserve"> = 9</w:t>
            </w:r>
          </w:p>
        </w:tc>
      </w:tr>
      <w:tr w:rsidR="00DF76DC" w:rsidRPr="00770CBB" w14:paraId="68D4C28D" w14:textId="77777777" w:rsidTr="00BA44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FDA47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Cs w:val="0"/>
                <w:color w:val="000000" w:themeColor="text1"/>
                <w:szCs w:val="24"/>
                <w:lang w:val="en-GB" w:eastAsia="en-GB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59D47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  <w:szCs w:val="24"/>
                <w:lang w:val="en-GB" w:eastAsia="en-GB"/>
              </w:rPr>
            </w:pPr>
            <w:r w:rsidRPr="00BE6B93">
              <w:rPr>
                <w:rFonts w:eastAsia="Times New Roman" w:cs="Arial"/>
                <w:b/>
                <w:color w:val="000000" w:themeColor="text1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b/>
                <w:color w:val="000000" w:themeColor="text1"/>
                <w:szCs w:val="24"/>
                <w:vertAlign w:val="superscript"/>
                <w:lang w:val="en-GB" w:eastAsia="en-GB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F6B35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/>
                <w:color w:val="000000" w:themeColor="text1"/>
                <w:szCs w:val="24"/>
                <w:lang w:val="en-GB" w:eastAsia="en-GB"/>
              </w:rPr>
              <w:t>Mean ± SD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50B5DC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  <w:szCs w:val="24"/>
                <w:lang w:val="en-GB" w:eastAsia="en-GB"/>
              </w:rPr>
            </w:pPr>
            <w:r w:rsidRPr="00BE6B93">
              <w:rPr>
                <w:rFonts w:eastAsia="Times New Roman" w:cs="Arial"/>
                <w:b/>
                <w:color w:val="000000" w:themeColor="text1"/>
                <w:szCs w:val="24"/>
                <w:lang w:eastAsia="en-GB"/>
              </w:rPr>
              <w:t>n</w:t>
            </w:r>
            <w:r>
              <w:rPr>
                <w:rFonts w:eastAsia="Times New Roman" w:cs="Arial"/>
                <w:b/>
                <w:color w:val="000000" w:themeColor="text1"/>
                <w:szCs w:val="24"/>
                <w:vertAlign w:val="superscript"/>
                <w:lang w:val="en-GB" w:eastAsia="en-GB"/>
              </w:rPr>
              <w:t>a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5D7816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/>
                <w:color w:val="000000" w:themeColor="text1"/>
                <w:szCs w:val="24"/>
                <w:lang w:val="en-GB" w:eastAsia="en-GB"/>
              </w:rPr>
              <w:t>Mean ± SD</w:t>
            </w:r>
          </w:p>
        </w:tc>
      </w:tr>
      <w:tr w:rsidR="00DF76DC" w:rsidRPr="00770CBB" w14:paraId="689AEBC6" w14:textId="77777777" w:rsidTr="00BA44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5387DE7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  <w:t>Prophylaxis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42E93A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11</w:t>
            </w:r>
            <w:r>
              <w:rPr>
                <w:rFonts w:eastAsia="Times New Roman" w:cs="Arial"/>
                <w:b/>
                <w:color w:val="000000" w:themeColor="text1"/>
                <w:szCs w:val="24"/>
                <w:vertAlign w:val="superscript"/>
                <w:lang w:val="en-GB" w:eastAsia="en-GB"/>
              </w:rPr>
              <w:t>b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FA1589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4.52 ± 7.02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D18FCD8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8</w:t>
            </w:r>
            <w:r>
              <w:rPr>
                <w:rFonts w:eastAsia="Times New Roman" w:cs="Arial"/>
                <w:b/>
                <w:color w:val="000000" w:themeColor="text1"/>
                <w:szCs w:val="24"/>
                <w:vertAlign w:val="superscript"/>
                <w:lang w:val="en-GB" w:eastAsia="en-GB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A8964E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4.22 ± 6.79</w:t>
            </w:r>
          </w:p>
        </w:tc>
      </w:tr>
      <w:tr w:rsidR="00DF76DC" w:rsidRPr="00770CBB" w14:paraId="3D43EA2D" w14:textId="77777777" w:rsidTr="00BA44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tcBorders>
              <w:left w:val="nil"/>
              <w:right w:val="nil"/>
            </w:tcBorders>
            <w:vAlign w:val="bottom"/>
          </w:tcPr>
          <w:p w14:paraId="1A540909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  <w:t>Prophylaxis for surgery</w:t>
            </w:r>
          </w:p>
        </w:tc>
        <w:tc>
          <w:tcPr>
            <w:tcW w:w="950" w:type="dxa"/>
            <w:tcBorders>
              <w:left w:val="nil"/>
              <w:right w:val="nil"/>
            </w:tcBorders>
            <w:vAlign w:val="bottom"/>
          </w:tcPr>
          <w:p w14:paraId="24EB6CA6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2</w:t>
            </w:r>
          </w:p>
        </w:tc>
        <w:tc>
          <w:tcPr>
            <w:tcW w:w="2076" w:type="dxa"/>
            <w:tcBorders>
              <w:left w:val="nil"/>
              <w:right w:val="nil"/>
            </w:tcBorders>
            <w:vAlign w:val="bottom"/>
          </w:tcPr>
          <w:p w14:paraId="76B3CFA1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0 ± 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vAlign w:val="bottom"/>
          </w:tcPr>
          <w:p w14:paraId="6B313D96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1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5B14851F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0 ± -</w:t>
            </w:r>
          </w:p>
        </w:tc>
      </w:tr>
      <w:tr w:rsidR="00DF76DC" w:rsidRPr="00770CBB" w14:paraId="698B00D0" w14:textId="77777777" w:rsidTr="00BA44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tcBorders>
              <w:left w:val="nil"/>
              <w:bottom w:val="single" w:sz="4" w:space="0" w:color="999999" w:themeColor="text1" w:themeTint="66"/>
              <w:right w:val="nil"/>
            </w:tcBorders>
            <w:vAlign w:val="bottom"/>
          </w:tcPr>
          <w:p w14:paraId="717B9A1C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  <w:t>On-demand</w:t>
            </w:r>
          </w:p>
        </w:tc>
        <w:tc>
          <w:tcPr>
            <w:tcW w:w="950" w:type="dxa"/>
            <w:tcBorders>
              <w:left w:val="nil"/>
              <w:bottom w:val="single" w:sz="4" w:space="0" w:color="999999" w:themeColor="text1" w:themeTint="66"/>
              <w:right w:val="nil"/>
            </w:tcBorders>
            <w:vAlign w:val="bottom"/>
          </w:tcPr>
          <w:p w14:paraId="2DD4153D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6</w:t>
            </w:r>
          </w:p>
        </w:tc>
        <w:tc>
          <w:tcPr>
            <w:tcW w:w="2076" w:type="dxa"/>
            <w:tcBorders>
              <w:left w:val="nil"/>
              <w:bottom w:val="single" w:sz="4" w:space="0" w:color="999999" w:themeColor="text1" w:themeTint="66"/>
              <w:right w:val="nil"/>
            </w:tcBorders>
            <w:vAlign w:val="bottom"/>
          </w:tcPr>
          <w:p w14:paraId="3C3FA2BF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118.71 ± 111.83</w:t>
            </w:r>
          </w:p>
        </w:tc>
        <w:tc>
          <w:tcPr>
            <w:tcW w:w="1042" w:type="dxa"/>
            <w:tcBorders>
              <w:left w:val="nil"/>
              <w:bottom w:val="single" w:sz="4" w:space="0" w:color="999999" w:themeColor="text1" w:themeTint="66"/>
              <w:right w:val="nil"/>
            </w:tcBorders>
            <w:vAlign w:val="bottom"/>
          </w:tcPr>
          <w:p w14:paraId="70534E34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left w:val="nil"/>
              <w:bottom w:val="single" w:sz="4" w:space="0" w:color="999999" w:themeColor="text1" w:themeTint="66"/>
              <w:right w:val="nil"/>
            </w:tcBorders>
            <w:vAlign w:val="bottom"/>
          </w:tcPr>
          <w:p w14:paraId="46EC1268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132.40 ± 120.56</w:t>
            </w:r>
          </w:p>
        </w:tc>
      </w:tr>
      <w:tr w:rsidR="00DF76DC" w:rsidRPr="00770CBB" w14:paraId="725173D0" w14:textId="77777777" w:rsidTr="00BA44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AB0E05" w14:textId="77777777" w:rsidR="00DF76DC" w:rsidRPr="00770CBB" w:rsidRDefault="00DF76DC" w:rsidP="00BA44DB">
            <w:pPr>
              <w:spacing w:before="0" w:after="0"/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 w:val="0"/>
                <w:color w:val="000000" w:themeColor="text1"/>
                <w:szCs w:val="24"/>
                <w:lang w:val="en-GB" w:eastAsia="en-GB"/>
              </w:rPr>
              <w:t>Any regimen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45A339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13</w:t>
            </w:r>
          </w:p>
        </w:tc>
        <w:tc>
          <w:tcPr>
            <w:tcW w:w="2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793672B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40.06 ± 85.96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E9D5EF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9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C0F3AF" w14:textId="77777777" w:rsidR="00DF76DC" w:rsidRPr="00770CBB" w:rsidRDefault="00DF76DC" w:rsidP="00BA44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</w:pPr>
            <w:r w:rsidRPr="00770CBB">
              <w:rPr>
                <w:rFonts w:eastAsia="Times New Roman" w:cs="Arial"/>
                <w:bCs/>
                <w:color w:val="000000" w:themeColor="text1"/>
                <w:szCs w:val="24"/>
                <w:lang w:val="en-GB" w:eastAsia="en-GB"/>
              </w:rPr>
              <w:t>35.88 ± 89.69</w:t>
            </w:r>
          </w:p>
        </w:tc>
      </w:tr>
    </w:tbl>
    <w:p w14:paraId="39D4DA57" w14:textId="77777777" w:rsidR="00DF76DC" w:rsidRDefault="00DF76DC" w:rsidP="00DF76DC">
      <w:pPr>
        <w:spacing w:before="0" w:after="0"/>
        <w:rPr>
          <w:rFonts w:eastAsia="Times New Roman" w:cs="Arial"/>
          <w:bCs/>
          <w:color w:val="000000" w:themeColor="text1"/>
          <w:szCs w:val="24"/>
          <w:lang w:eastAsia="en-GB"/>
        </w:rPr>
      </w:pPr>
      <w:r w:rsidRPr="00BE6B93">
        <w:rPr>
          <w:rFonts w:eastAsia="Times New Roman" w:cs="Arial"/>
          <w:b/>
          <w:color w:val="000000" w:themeColor="text1"/>
          <w:szCs w:val="24"/>
          <w:lang w:eastAsia="en-GB"/>
        </w:rPr>
        <w:t>Abbreviations: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>ITT, intent to treat; PP, per protocol; SD, standard deviation.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</w:t>
      </w:r>
      <w:r>
        <w:rPr>
          <w:rFonts w:eastAsia="Times New Roman" w:cs="Arial"/>
          <w:bCs/>
          <w:color w:val="000000" w:themeColor="text1"/>
          <w:szCs w:val="24"/>
          <w:vertAlign w:val="superscript"/>
          <w:lang w:eastAsia="en-GB"/>
        </w:rPr>
        <w:t>a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>Number of patients with available study days on regimen. Due to patients switching to another treatment regimen, certain study days were either included or excluded from the observation period.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</w:t>
      </w:r>
      <w:r>
        <w:rPr>
          <w:rFonts w:eastAsia="Times New Roman" w:cs="Arial"/>
          <w:bCs/>
          <w:color w:val="000000" w:themeColor="text1"/>
          <w:szCs w:val="24"/>
          <w:vertAlign w:val="superscript"/>
          <w:lang w:eastAsia="en-GB"/>
        </w:rPr>
        <w:t>b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For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1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patient</w:t>
      </w:r>
      <w:r w:rsidRPr="00770CBB">
        <w:rPr>
          <w:rFonts w:cs="Arial"/>
          <w:szCs w:val="24"/>
        </w:rPr>
        <w:t xml:space="preserve"> receiving prophylaxis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, only study days until May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12,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2010 were included in the surveillance period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because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the patient switched to another product. For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1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patient</w:t>
      </w:r>
      <w:r w:rsidRPr="00770CBB">
        <w:rPr>
          <w:rFonts w:cs="Arial"/>
          <w:szCs w:val="24"/>
        </w:rPr>
        <w:t xml:space="preserve"> receiving prophylaxis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, study days from April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12,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2010 to August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6,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2010 were excluded from the surveillance period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because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the patient received another product. For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1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patient</w:t>
      </w:r>
      <w:r w:rsidRPr="00770CBB">
        <w:rPr>
          <w:rFonts w:cs="Arial"/>
          <w:szCs w:val="24"/>
        </w:rPr>
        <w:t xml:space="preserve"> receiving prophylaxis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, only study days until June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23,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2010 were included in the surveillance period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because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the patient received another product. For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1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>patient</w:t>
      </w:r>
      <w:r w:rsidRPr="00770CBB">
        <w:rPr>
          <w:rFonts w:cs="Arial"/>
          <w:szCs w:val="24"/>
        </w:rPr>
        <w:t xml:space="preserve"> receiving prophylaxis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, only study days until November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8,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>2010 were included in the surveillance period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because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the patient received another product.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</w:t>
      </w:r>
      <w:r>
        <w:rPr>
          <w:rFonts w:eastAsia="Times New Roman" w:cs="Arial"/>
          <w:bCs/>
          <w:color w:val="000000" w:themeColor="text1"/>
          <w:szCs w:val="24"/>
          <w:vertAlign w:val="superscript"/>
          <w:lang w:eastAsia="en-GB"/>
        </w:rPr>
        <w:t>c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For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1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patient</w:t>
      </w:r>
      <w:r w:rsidRPr="00770CBB">
        <w:rPr>
          <w:rFonts w:cs="Arial"/>
          <w:szCs w:val="24"/>
        </w:rPr>
        <w:t xml:space="preserve"> receiving prophylaxis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, only study days until June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23,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2010 were included in the surveillance period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because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the patient received another product. For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1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>patient</w:t>
      </w:r>
      <w:r w:rsidRPr="00770CBB">
        <w:rPr>
          <w:rFonts w:cs="Arial"/>
          <w:szCs w:val="24"/>
        </w:rPr>
        <w:t xml:space="preserve"> receiving prophylaxis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, only study days until November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 xml:space="preserve">8, 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2010 were included in the surveillance period </w:t>
      </w:r>
      <w:r>
        <w:rPr>
          <w:rFonts w:eastAsia="Times New Roman" w:cs="Arial"/>
          <w:bCs/>
          <w:color w:val="000000" w:themeColor="text1"/>
          <w:szCs w:val="24"/>
          <w:lang w:eastAsia="en-GB"/>
        </w:rPr>
        <w:t>because</w:t>
      </w:r>
      <w:r w:rsidRPr="00770CBB">
        <w:rPr>
          <w:rFonts w:eastAsia="Times New Roman" w:cs="Arial"/>
          <w:bCs/>
          <w:color w:val="000000" w:themeColor="text1"/>
          <w:szCs w:val="24"/>
          <w:lang w:eastAsia="en-GB"/>
        </w:rPr>
        <w:t xml:space="preserve"> the patient received another product.</w:t>
      </w:r>
    </w:p>
    <w:p w14:paraId="35C9051C" w14:textId="77777777" w:rsidR="00DF76DC" w:rsidRPr="00770CBB" w:rsidRDefault="00DF76DC" w:rsidP="00DF76DC">
      <w:pPr>
        <w:spacing w:before="0" w:after="0"/>
        <w:rPr>
          <w:rFonts w:eastAsia="Times New Roman" w:cs="Arial"/>
          <w:bCs/>
          <w:color w:val="000000" w:themeColor="text1"/>
          <w:szCs w:val="24"/>
          <w:lang w:eastAsia="en-GB"/>
        </w:rPr>
      </w:pPr>
    </w:p>
    <w:p w14:paraId="7BD5E447" w14:textId="77777777" w:rsidR="00DF76DC" w:rsidRPr="006C5AB3" w:rsidRDefault="00DF76DC" w:rsidP="00DF76DC">
      <w:pPr>
        <w:spacing w:before="0" w:after="0" w:line="360" w:lineRule="auto"/>
        <w:rPr>
          <w:rFonts w:cs="Arial"/>
        </w:rPr>
      </w:pPr>
      <w:r>
        <w:rPr>
          <w:rFonts w:cs="Arial"/>
          <w:b/>
          <w:bCs/>
          <w:szCs w:val="24"/>
        </w:rPr>
        <w:lastRenderedPageBreak/>
        <w:t>Supplementary</w:t>
      </w:r>
      <w:r w:rsidRPr="008B665B">
        <w:rPr>
          <w:rFonts w:cs="Arial"/>
          <w:b/>
          <w:bCs/>
        </w:rPr>
        <w:t xml:space="preserve"> Table 4</w:t>
      </w:r>
      <w:r w:rsidRPr="006C5AB3">
        <w:rPr>
          <w:rFonts w:cs="Arial"/>
        </w:rPr>
        <w:t xml:space="preserve"> Annuali</w:t>
      </w:r>
      <w:r>
        <w:rPr>
          <w:rFonts w:cs="Arial"/>
        </w:rPr>
        <w:t>z</w:t>
      </w:r>
      <w:r w:rsidRPr="006C5AB3">
        <w:rPr>
          <w:rFonts w:cs="Arial"/>
        </w:rPr>
        <w:t xml:space="preserve">ed </w:t>
      </w:r>
      <w:r>
        <w:rPr>
          <w:rFonts w:cs="Arial"/>
        </w:rPr>
        <w:t>B</w:t>
      </w:r>
      <w:r w:rsidRPr="006C5AB3">
        <w:rPr>
          <w:rFonts w:cs="Arial"/>
        </w:rPr>
        <w:t xml:space="preserve">leeding </w:t>
      </w:r>
      <w:r>
        <w:rPr>
          <w:rFonts w:cs="Arial"/>
        </w:rPr>
        <w:t>R</w:t>
      </w:r>
      <w:r w:rsidRPr="006C5AB3">
        <w:rPr>
          <w:rFonts w:cs="Arial"/>
        </w:rPr>
        <w:t xml:space="preserve">ate by </w:t>
      </w:r>
      <w:r>
        <w:rPr>
          <w:rFonts w:cs="Arial"/>
        </w:rPr>
        <w:t>C</w:t>
      </w:r>
      <w:r w:rsidRPr="006C5AB3">
        <w:rPr>
          <w:rFonts w:cs="Arial"/>
        </w:rPr>
        <w:t xml:space="preserve">ause of </w:t>
      </w:r>
      <w:r>
        <w:rPr>
          <w:rFonts w:cs="Arial"/>
        </w:rPr>
        <w:t>B</w:t>
      </w:r>
      <w:r w:rsidRPr="006C5AB3">
        <w:rPr>
          <w:rFonts w:cs="Arial"/>
        </w:rPr>
        <w:t xml:space="preserve">leeding </w:t>
      </w:r>
      <w:r>
        <w:rPr>
          <w:rFonts w:cs="Arial"/>
        </w:rPr>
        <w:t>E</w:t>
      </w:r>
      <w:r w:rsidRPr="006C5AB3">
        <w:rPr>
          <w:rFonts w:cs="Arial"/>
        </w:rPr>
        <w:t>pisode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544"/>
        <w:gridCol w:w="2622"/>
        <w:gridCol w:w="2623"/>
      </w:tblGrid>
      <w:tr w:rsidR="00DF76DC" w:rsidRPr="006C5AB3" w14:paraId="6754B3E3" w14:textId="77777777" w:rsidTr="00BA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il"/>
              <w:right w:val="nil"/>
            </w:tcBorders>
          </w:tcPr>
          <w:p w14:paraId="57A36137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Cause of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B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leeding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E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pisode, mean ± SD</w:t>
            </w:r>
          </w:p>
        </w:tc>
        <w:tc>
          <w:tcPr>
            <w:tcW w:w="2622" w:type="dxa"/>
            <w:tcBorders>
              <w:left w:val="nil"/>
              <w:right w:val="nil"/>
            </w:tcBorders>
            <w:vAlign w:val="bottom"/>
          </w:tcPr>
          <w:p w14:paraId="31D56AB3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ITT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S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et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 xml:space="preserve">, </w:t>
            </w:r>
          </w:p>
          <w:p w14:paraId="636B2832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E6B9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= 13</w:t>
            </w:r>
            <w:r>
              <w:rPr>
                <w:rFonts w:eastAsia="Times New Roman" w:cs="Arial"/>
                <w:color w:val="000000" w:themeColor="text1"/>
                <w:vertAlign w:val="superscript"/>
                <w:lang w:val="en-GB" w:eastAsia="en-GB"/>
              </w:rPr>
              <w:t>a</w:t>
            </w:r>
          </w:p>
        </w:tc>
        <w:tc>
          <w:tcPr>
            <w:tcW w:w="2623" w:type="dxa"/>
            <w:tcBorders>
              <w:left w:val="nil"/>
              <w:right w:val="nil"/>
            </w:tcBorders>
            <w:vAlign w:val="bottom"/>
          </w:tcPr>
          <w:p w14:paraId="20F1F7D5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PP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S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et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 xml:space="preserve">, </w:t>
            </w:r>
          </w:p>
          <w:p w14:paraId="7DBD6EE8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BE6B9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= 9</w:t>
            </w:r>
            <w:r>
              <w:rPr>
                <w:rFonts w:eastAsia="Times New Roman" w:cs="Arial"/>
                <w:color w:val="000000" w:themeColor="text1"/>
                <w:vertAlign w:val="superscript"/>
                <w:lang w:val="en-GB" w:eastAsia="en-GB"/>
              </w:rPr>
              <w:t>b</w:t>
            </w:r>
          </w:p>
        </w:tc>
      </w:tr>
      <w:tr w:rsidR="00DF76DC" w:rsidRPr="006C5AB3" w14:paraId="7D0AB9A9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12" w:space="0" w:color="666666" w:themeColor="text1" w:themeTint="99"/>
              <w:left w:val="nil"/>
              <w:bottom w:val="single" w:sz="8" w:space="0" w:color="767171" w:themeColor="background2" w:themeShade="80"/>
              <w:right w:val="nil"/>
            </w:tcBorders>
          </w:tcPr>
          <w:p w14:paraId="3786042D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Spontaneous</w:t>
            </w:r>
          </w:p>
        </w:tc>
        <w:tc>
          <w:tcPr>
            <w:tcW w:w="2622" w:type="dxa"/>
            <w:tcBorders>
              <w:top w:val="single" w:sz="12" w:space="0" w:color="666666" w:themeColor="text1" w:themeTint="99"/>
              <w:left w:val="nil"/>
              <w:bottom w:val="single" w:sz="8" w:space="0" w:color="767171" w:themeColor="background2" w:themeShade="80"/>
              <w:right w:val="nil"/>
            </w:tcBorders>
          </w:tcPr>
          <w:p w14:paraId="2B5AFDBA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0.85 ± 1.84</w:t>
            </w:r>
          </w:p>
        </w:tc>
        <w:tc>
          <w:tcPr>
            <w:tcW w:w="2623" w:type="dxa"/>
            <w:tcBorders>
              <w:top w:val="single" w:sz="12" w:space="0" w:color="666666" w:themeColor="text1" w:themeTint="99"/>
              <w:left w:val="nil"/>
              <w:bottom w:val="single" w:sz="8" w:space="0" w:color="767171" w:themeColor="background2" w:themeShade="80"/>
              <w:right w:val="nil"/>
            </w:tcBorders>
          </w:tcPr>
          <w:p w14:paraId="5CC49811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1.23 ± 2.13</w:t>
            </w:r>
          </w:p>
        </w:tc>
      </w:tr>
      <w:tr w:rsidR="00DF76DC" w:rsidRPr="006C5AB3" w14:paraId="1A2FC504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1F818168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Traumatic</w:t>
            </w:r>
          </w:p>
        </w:tc>
        <w:tc>
          <w:tcPr>
            <w:tcW w:w="2622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464E33BE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1.54 ± 2.92</w:t>
            </w:r>
          </w:p>
        </w:tc>
        <w:tc>
          <w:tcPr>
            <w:tcW w:w="2623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4123EC5F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1.70 ± 3.38</w:t>
            </w:r>
          </w:p>
        </w:tc>
      </w:tr>
      <w:tr w:rsidR="00DF76DC" w:rsidRPr="006C5AB3" w14:paraId="0B6B807F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35A5EF63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Undetermined</w:t>
            </w:r>
          </w:p>
        </w:tc>
        <w:tc>
          <w:tcPr>
            <w:tcW w:w="2622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39DD8700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0.16 ± 0.38</w:t>
            </w:r>
          </w:p>
        </w:tc>
        <w:tc>
          <w:tcPr>
            <w:tcW w:w="2623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0290E345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0.22 ± 0.44 </w:t>
            </w:r>
          </w:p>
        </w:tc>
      </w:tr>
      <w:tr w:rsidR="00DF76DC" w:rsidRPr="006C5AB3" w14:paraId="06F35244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362D44FB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Total</w:t>
            </w:r>
          </w:p>
        </w:tc>
        <w:tc>
          <w:tcPr>
            <w:tcW w:w="2622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01BC2E8A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2.55 ± 4.79</w:t>
            </w:r>
          </w:p>
        </w:tc>
        <w:tc>
          <w:tcPr>
            <w:tcW w:w="2623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2B5214C3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3.15 ± 5.64</w:t>
            </w:r>
          </w:p>
        </w:tc>
      </w:tr>
    </w:tbl>
    <w:p w14:paraId="3FA7A184" w14:textId="77777777" w:rsidR="00DF76DC" w:rsidRPr="00C76DFF" w:rsidRDefault="00DF76DC" w:rsidP="00DF76DC">
      <w:pPr>
        <w:spacing w:before="0" w:after="0" w:line="360" w:lineRule="auto"/>
        <w:rPr>
          <w:rFonts w:cs="Arial"/>
          <w:sz w:val="22"/>
        </w:rPr>
      </w:pPr>
      <w:r w:rsidRPr="00BE6B93">
        <w:rPr>
          <w:rFonts w:cs="Arial"/>
          <w:b/>
          <w:bCs/>
          <w:sz w:val="22"/>
        </w:rPr>
        <w:t>Note:</w:t>
      </w:r>
      <w:r>
        <w:rPr>
          <w:rFonts w:cs="Arial"/>
          <w:sz w:val="22"/>
        </w:rPr>
        <w:t xml:space="preserve"> </w:t>
      </w:r>
      <w:r w:rsidRPr="00C76DFF">
        <w:rPr>
          <w:rFonts w:cs="Arial"/>
          <w:sz w:val="22"/>
        </w:rPr>
        <w:t>Annuali</w:t>
      </w:r>
      <w:r>
        <w:rPr>
          <w:rFonts w:cs="Arial"/>
          <w:sz w:val="22"/>
        </w:rPr>
        <w:t>z</w:t>
      </w:r>
      <w:r w:rsidRPr="00C76DFF">
        <w:rPr>
          <w:rFonts w:cs="Arial"/>
          <w:sz w:val="22"/>
        </w:rPr>
        <w:t xml:space="preserve">ed bleeding rate: </w:t>
      </w:r>
      <w:r>
        <w:rPr>
          <w:rFonts w:cs="Arial"/>
          <w:sz w:val="22"/>
        </w:rPr>
        <w:t>n</w:t>
      </w:r>
      <w:r w:rsidRPr="00C76DFF">
        <w:rPr>
          <w:rFonts w:cs="Arial"/>
          <w:sz w:val="22"/>
        </w:rPr>
        <w:t>umber of bleedings / [(</w:t>
      </w:r>
      <w:r>
        <w:rPr>
          <w:rFonts w:cs="Arial"/>
          <w:sz w:val="22"/>
        </w:rPr>
        <w:t>l</w:t>
      </w:r>
      <w:r w:rsidRPr="00C76DFF">
        <w:rPr>
          <w:rFonts w:cs="Arial"/>
          <w:sz w:val="22"/>
        </w:rPr>
        <w:t>ast study date – date of enrol</w:t>
      </w:r>
      <w:r>
        <w:rPr>
          <w:rFonts w:cs="Arial"/>
          <w:sz w:val="22"/>
        </w:rPr>
        <w:t>l</w:t>
      </w:r>
      <w:r w:rsidRPr="00C76DFF">
        <w:rPr>
          <w:rFonts w:cs="Arial"/>
          <w:sz w:val="22"/>
        </w:rPr>
        <w:t xml:space="preserve">ment +1) / 365.25]. </w:t>
      </w:r>
      <w:r w:rsidRPr="00BE6B93">
        <w:rPr>
          <w:rFonts w:cs="Arial"/>
          <w:b/>
          <w:bCs/>
          <w:sz w:val="22"/>
        </w:rPr>
        <w:t>Abbreviations:</w:t>
      </w:r>
      <w:r>
        <w:rPr>
          <w:rFonts w:cs="Arial"/>
          <w:sz w:val="22"/>
        </w:rPr>
        <w:t xml:space="preserve"> </w:t>
      </w:r>
      <w:r w:rsidRPr="00C76DFF">
        <w:rPr>
          <w:rFonts w:cs="Arial"/>
          <w:sz w:val="22"/>
        </w:rPr>
        <w:t>ITT, intent to treat; PP, per protocol; SD, standard deviation.</w:t>
      </w:r>
    </w:p>
    <w:p w14:paraId="1CEC223E" w14:textId="77777777" w:rsidR="00DF76DC" w:rsidRPr="00C76DFF" w:rsidRDefault="00DF76DC" w:rsidP="00DF76DC">
      <w:pPr>
        <w:spacing w:before="0" w:after="0" w:line="360" w:lineRule="auto"/>
        <w:rPr>
          <w:rFonts w:cs="Arial"/>
          <w:sz w:val="22"/>
        </w:rPr>
      </w:pPr>
      <w:r>
        <w:rPr>
          <w:rFonts w:cs="Arial"/>
          <w:sz w:val="22"/>
          <w:vertAlign w:val="superscript"/>
        </w:rPr>
        <w:t>a</w:t>
      </w:r>
      <w:r w:rsidRPr="00C76DFF">
        <w:rPr>
          <w:rFonts w:cs="Arial"/>
          <w:sz w:val="22"/>
        </w:rPr>
        <w:t xml:space="preserve">Due to patients switching to another product, certain study days were either included or excluded from the surveillance period. For </w:t>
      </w:r>
      <w:r>
        <w:rPr>
          <w:rFonts w:cs="Arial"/>
          <w:sz w:val="22"/>
        </w:rPr>
        <w:t>1</w:t>
      </w:r>
      <w:r w:rsidRPr="00C76DFF">
        <w:rPr>
          <w:rFonts w:cs="Arial"/>
          <w:sz w:val="22"/>
        </w:rPr>
        <w:t xml:space="preserve"> patient receiving prophylaxis, only study days until May </w:t>
      </w:r>
      <w:r>
        <w:rPr>
          <w:rFonts w:cs="Arial"/>
          <w:sz w:val="22"/>
        </w:rPr>
        <w:t xml:space="preserve">12, </w:t>
      </w:r>
      <w:r w:rsidRPr="00C76DFF">
        <w:rPr>
          <w:rFonts w:cs="Arial"/>
          <w:sz w:val="22"/>
        </w:rPr>
        <w:t xml:space="preserve">2010 were included. For </w:t>
      </w:r>
      <w:r>
        <w:rPr>
          <w:rFonts w:cs="Arial"/>
          <w:sz w:val="22"/>
        </w:rPr>
        <w:t xml:space="preserve">1 </w:t>
      </w:r>
      <w:r w:rsidRPr="00C76DFF">
        <w:rPr>
          <w:rFonts w:cs="Arial"/>
          <w:sz w:val="22"/>
        </w:rPr>
        <w:t xml:space="preserve">patient receiving prophylaxis, study days from April </w:t>
      </w:r>
      <w:r>
        <w:rPr>
          <w:rFonts w:cs="Arial"/>
          <w:sz w:val="22"/>
        </w:rPr>
        <w:t xml:space="preserve">12, </w:t>
      </w:r>
      <w:r w:rsidRPr="00C76DFF">
        <w:rPr>
          <w:rFonts w:cs="Arial"/>
          <w:sz w:val="22"/>
        </w:rPr>
        <w:t xml:space="preserve">2010 to August </w:t>
      </w:r>
      <w:r>
        <w:rPr>
          <w:rFonts w:cs="Arial"/>
          <w:sz w:val="22"/>
        </w:rPr>
        <w:t xml:space="preserve">6, </w:t>
      </w:r>
      <w:r w:rsidRPr="00C76DFF">
        <w:rPr>
          <w:rFonts w:cs="Arial"/>
          <w:sz w:val="22"/>
        </w:rPr>
        <w:t xml:space="preserve">2010 were excluded. For </w:t>
      </w:r>
      <w:r>
        <w:rPr>
          <w:rFonts w:cs="Arial"/>
          <w:sz w:val="22"/>
        </w:rPr>
        <w:t xml:space="preserve">1 </w:t>
      </w:r>
      <w:r w:rsidRPr="00C76DFF">
        <w:rPr>
          <w:rFonts w:cs="Arial"/>
          <w:sz w:val="22"/>
        </w:rPr>
        <w:t xml:space="preserve">patient receiving prophylaxis, only study days until June </w:t>
      </w:r>
      <w:r>
        <w:rPr>
          <w:rFonts w:cs="Arial"/>
          <w:sz w:val="22"/>
        </w:rPr>
        <w:t xml:space="preserve">23, </w:t>
      </w:r>
      <w:r w:rsidRPr="00C76DFF">
        <w:rPr>
          <w:rFonts w:cs="Arial"/>
          <w:sz w:val="22"/>
        </w:rPr>
        <w:t xml:space="preserve">2010 were included. For </w:t>
      </w:r>
      <w:r>
        <w:rPr>
          <w:rFonts w:cs="Arial"/>
          <w:sz w:val="22"/>
        </w:rPr>
        <w:t xml:space="preserve">1 </w:t>
      </w:r>
      <w:r w:rsidRPr="00C76DFF">
        <w:rPr>
          <w:rFonts w:cs="Arial"/>
          <w:sz w:val="22"/>
        </w:rPr>
        <w:t xml:space="preserve">patient receiving prophylaxis, only study days until November </w:t>
      </w:r>
      <w:r>
        <w:rPr>
          <w:rFonts w:cs="Arial"/>
          <w:sz w:val="22"/>
        </w:rPr>
        <w:t xml:space="preserve">8, </w:t>
      </w:r>
      <w:r w:rsidRPr="00C76DFF">
        <w:rPr>
          <w:rFonts w:cs="Arial"/>
          <w:sz w:val="22"/>
        </w:rPr>
        <w:t>2010 were included.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vertAlign w:val="superscript"/>
        </w:rPr>
        <w:t>b</w:t>
      </w:r>
      <w:r w:rsidRPr="00C76DFF">
        <w:rPr>
          <w:rFonts w:cs="Arial"/>
          <w:sz w:val="22"/>
        </w:rPr>
        <w:t xml:space="preserve">For </w:t>
      </w:r>
      <w:r>
        <w:rPr>
          <w:rFonts w:cs="Arial"/>
          <w:sz w:val="22"/>
        </w:rPr>
        <w:t xml:space="preserve">1 </w:t>
      </w:r>
      <w:r w:rsidRPr="00C76DFF">
        <w:rPr>
          <w:rFonts w:cs="Arial"/>
          <w:sz w:val="22"/>
        </w:rPr>
        <w:t xml:space="preserve">patient, only study days until June </w:t>
      </w:r>
      <w:r>
        <w:rPr>
          <w:rFonts w:cs="Arial"/>
          <w:sz w:val="22"/>
        </w:rPr>
        <w:t xml:space="preserve">23, </w:t>
      </w:r>
      <w:r w:rsidRPr="00C76DFF">
        <w:rPr>
          <w:rFonts w:cs="Arial"/>
          <w:sz w:val="22"/>
        </w:rPr>
        <w:t xml:space="preserve">2010 were included. For </w:t>
      </w:r>
      <w:r>
        <w:rPr>
          <w:rFonts w:cs="Arial"/>
          <w:sz w:val="22"/>
        </w:rPr>
        <w:t xml:space="preserve">1 </w:t>
      </w:r>
      <w:r w:rsidRPr="00C76DFF">
        <w:rPr>
          <w:rFonts w:cs="Arial"/>
          <w:sz w:val="22"/>
        </w:rPr>
        <w:t xml:space="preserve">patient, only study days until November </w:t>
      </w:r>
      <w:r>
        <w:rPr>
          <w:rFonts w:cs="Arial"/>
          <w:sz w:val="22"/>
        </w:rPr>
        <w:t xml:space="preserve">8, </w:t>
      </w:r>
      <w:r w:rsidRPr="00C76DFF">
        <w:rPr>
          <w:rFonts w:cs="Arial"/>
          <w:sz w:val="22"/>
        </w:rPr>
        <w:t>2010 were included.</w:t>
      </w:r>
    </w:p>
    <w:p w14:paraId="29EA5D78" w14:textId="77777777" w:rsidR="00DF76DC" w:rsidRPr="006C5AB3" w:rsidRDefault="00DF76DC" w:rsidP="00DF76DC">
      <w:pPr>
        <w:spacing w:before="0" w:after="0" w:line="360" w:lineRule="auto"/>
        <w:rPr>
          <w:rFonts w:eastAsia="Times New Roman" w:cs="Arial"/>
          <w:b/>
          <w:color w:val="000000" w:themeColor="text1"/>
          <w:lang w:eastAsia="en-GB"/>
        </w:rPr>
      </w:pPr>
    </w:p>
    <w:p w14:paraId="1F10A03C" w14:textId="77777777" w:rsidR="00DF76DC" w:rsidRPr="006C5AB3" w:rsidRDefault="00DF76DC" w:rsidP="00DF76DC">
      <w:pPr>
        <w:spacing w:before="0" w:after="0" w:line="360" w:lineRule="auto"/>
        <w:rPr>
          <w:rFonts w:eastAsia="Times New Roman" w:cs="Arial"/>
          <w:b/>
          <w:color w:val="000000" w:themeColor="text1"/>
          <w:lang w:eastAsia="en-GB"/>
        </w:rPr>
        <w:sectPr w:rsidR="00DF76DC" w:rsidRPr="006C5AB3" w:rsidSect="00A704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DFD6E4" w14:textId="77777777" w:rsidR="00DF76DC" w:rsidRPr="006C5AB3" w:rsidRDefault="00DF76DC" w:rsidP="00DF76DC">
      <w:pPr>
        <w:spacing w:before="0" w:after="0" w:line="360" w:lineRule="auto"/>
        <w:rPr>
          <w:rFonts w:eastAsia="Times New Roman" w:cs="Arial"/>
          <w:bCs/>
          <w:color w:val="000000" w:themeColor="text1"/>
          <w:lang w:eastAsia="en-GB"/>
        </w:rPr>
      </w:pPr>
      <w:r>
        <w:rPr>
          <w:rFonts w:cs="Arial"/>
          <w:b/>
          <w:bCs/>
          <w:szCs w:val="24"/>
        </w:rPr>
        <w:lastRenderedPageBreak/>
        <w:t>Supplementary</w:t>
      </w:r>
      <w:r w:rsidRPr="008B665B">
        <w:rPr>
          <w:rFonts w:eastAsia="Times New Roman" w:cs="Arial"/>
          <w:b/>
          <w:color w:val="000000" w:themeColor="text1"/>
          <w:lang w:eastAsia="en-GB"/>
        </w:rPr>
        <w:t xml:space="preserve"> Table 5</w:t>
      </w:r>
      <w:r w:rsidRPr="008B665B">
        <w:rPr>
          <w:rFonts w:eastAsia="Times New Roman" w:cs="Arial"/>
          <w:bCs/>
          <w:color w:val="000000" w:themeColor="text1"/>
          <w:lang w:eastAsia="en-GB"/>
        </w:rPr>
        <w:t xml:space="preserve"> Overall</w:t>
      </w:r>
      <w:r w:rsidRPr="006C5AB3">
        <w:rPr>
          <w:rFonts w:eastAsia="Times New Roman" w:cs="Arial"/>
          <w:bCs/>
          <w:color w:val="000000" w:themeColor="text1"/>
          <w:lang w:eastAsia="en-GB"/>
        </w:rPr>
        <w:t xml:space="preserve"> </w:t>
      </w:r>
      <w:r>
        <w:rPr>
          <w:rFonts w:eastAsia="Times New Roman" w:cs="Arial"/>
          <w:bCs/>
          <w:color w:val="000000" w:themeColor="text1"/>
          <w:lang w:eastAsia="en-GB"/>
        </w:rPr>
        <w:t>H</w:t>
      </w:r>
      <w:r w:rsidRPr="006C5AB3">
        <w:rPr>
          <w:rFonts w:eastAsia="Times New Roman" w:cs="Arial"/>
          <w:bCs/>
          <w:color w:val="000000" w:themeColor="text1"/>
          <w:lang w:eastAsia="en-GB"/>
        </w:rPr>
        <w:t xml:space="preserve">emostatic </w:t>
      </w:r>
      <w:r>
        <w:rPr>
          <w:rFonts w:eastAsia="Times New Roman" w:cs="Arial"/>
          <w:bCs/>
          <w:color w:val="000000" w:themeColor="text1"/>
          <w:lang w:eastAsia="en-GB"/>
        </w:rPr>
        <w:t>E</w:t>
      </w:r>
      <w:r w:rsidRPr="006C5AB3">
        <w:rPr>
          <w:rFonts w:eastAsia="Times New Roman" w:cs="Arial"/>
          <w:bCs/>
          <w:color w:val="000000" w:themeColor="text1"/>
          <w:lang w:eastAsia="en-GB"/>
        </w:rPr>
        <w:t xml:space="preserve">fficacy </w:t>
      </w:r>
      <w:r>
        <w:rPr>
          <w:rFonts w:eastAsia="Times New Roman" w:cs="Arial"/>
          <w:bCs/>
          <w:color w:val="000000" w:themeColor="text1"/>
          <w:lang w:eastAsia="en-GB"/>
        </w:rPr>
        <w:t>R</w:t>
      </w:r>
      <w:r w:rsidRPr="006C5AB3">
        <w:rPr>
          <w:rFonts w:eastAsia="Times New Roman" w:cs="Arial"/>
          <w:bCs/>
          <w:color w:val="000000" w:themeColor="text1"/>
          <w:lang w:eastAsia="en-GB"/>
        </w:rPr>
        <w:t xml:space="preserve">ating by </w:t>
      </w:r>
      <w:r>
        <w:rPr>
          <w:rFonts w:eastAsia="Times New Roman" w:cs="Arial"/>
          <w:bCs/>
          <w:color w:val="000000" w:themeColor="text1"/>
          <w:lang w:eastAsia="en-GB"/>
        </w:rPr>
        <w:t>P</w:t>
      </w:r>
      <w:r w:rsidRPr="006C5AB3">
        <w:rPr>
          <w:rFonts w:eastAsia="Times New Roman" w:cs="Arial"/>
          <w:bCs/>
          <w:color w:val="000000" w:themeColor="text1"/>
          <w:lang w:eastAsia="en-GB"/>
        </w:rPr>
        <w:t xml:space="preserve">hysician at the </w:t>
      </w:r>
      <w:r>
        <w:rPr>
          <w:rFonts w:eastAsia="Times New Roman" w:cs="Arial"/>
          <w:bCs/>
          <w:color w:val="000000" w:themeColor="text1"/>
          <w:lang w:eastAsia="en-GB"/>
        </w:rPr>
        <w:t>T</w:t>
      </w:r>
      <w:r w:rsidRPr="006C5AB3">
        <w:rPr>
          <w:rFonts w:eastAsia="Times New Roman" w:cs="Arial"/>
          <w:bCs/>
          <w:color w:val="000000" w:themeColor="text1"/>
          <w:lang w:eastAsia="en-GB"/>
        </w:rPr>
        <w:t xml:space="preserve">ermination </w:t>
      </w:r>
      <w:r>
        <w:rPr>
          <w:rFonts w:eastAsia="Times New Roman" w:cs="Arial"/>
          <w:bCs/>
          <w:color w:val="000000" w:themeColor="text1"/>
          <w:lang w:eastAsia="en-GB"/>
        </w:rPr>
        <w:t>V</w:t>
      </w:r>
      <w:r w:rsidRPr="006C5AB3">
        <w:rPr>
          <w:rFonts w:eastAsia="Times New Roman" w:cs="Arial"/>
          <w:bCs/>
          <w:color w:val="000000" w:themeColor="text1"/>
          <w:lang w:eastAsia="en-GB"/>
        </w:rPr>
        <w:t>isit</w:t>
      </w:r>
      <w:r>
        <w:rPr>
          <w:rFonts w:eastAsia="Times New Roman" w:cs="Arial"/>
          <w:bCs/>
          <w:color w:val="000000" w:themeColor="text1"/>
          <w:vertAlign w:val="superscript"/>
          <w:lang w:eastAsia="en-GB"/>
        </w:rPr>
        <w:t>a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906"/>
        <w:gridCol w:w="1977"/>
        <w:gridCol w:w="1941"/>
      </w:tblGrid>
      <w:tr w:rsidR="00DF76DC" w:rsidRPr="006C5AB3" w14:paraId="0F29A3BE" w14:textId="77777777" w:rsidTr="00BA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tcBorders>
              <w:left w:val="nil"/>
              <w:right w:val="nil"/>
            </w:tcBorders>
            <w:hideMark/>
          </w:tcPr>
          <w:p w14:paraId="3543D267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Hemostatic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E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fficacy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A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ssessment, </w:t>
            </w:r>
            <w:r w:rsidRPr="00D1360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(%)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bottom"/>
            <w:hideMark/>
          </w:tcPr>
          <w:p w14:paraId="05EB90A3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ITT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S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et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 xml:space="preserve">, </w:t>
            </w:r>
          </w:p>
          <w:p w14:paraId="3918812D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D1360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C94ACC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= 13</w:t>
            </w:r>
          </w:p>
        </w:tc>
        <w:tc>
          <w:tcPr>
            <w:tcW w:w="1941" w:type="dxa"/>
            <w:tcBorders>
              <w:left w:val="nil"/>
              <w:right w:val="nil"/>
            </w:tcBorders>
            <w:vAlign w:val="bottom"/>
            <w:hideMark/>
          </w:tcPr>
          <w:p w14:paraId="7C206B85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PP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S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et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 xml:space="preserve">, </w:t>
            </w:r>
          </w:p>
          <w:p w14:paraId="02C9B4CC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D1360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C94ACC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= 9</w:t>
            </w:r>
          </w:p>
        </w:tc>
      </w:tr>
      <w:tr w:rsidR="00DF76DC" w:rsidRPr="006C5AB3" w14:paraId="0BC279D0" w14:textId="77777777" w:rsidTr="00BA44D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tcBorders>
              <w:top w:val="single" w:sz="12" w:space="0" w:color="666666" w:themeColor="text1" w:themeTint="99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4B7B7B41" w14:textId="77777777" w:rsidR="00DF76DC" w:rsidRPr="00BC7A7F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Excellent</w:t>
            </w:r>
          </w:p>
        </w:tc>
        <w:tc>
          <w:tcPr>
            <w:tcW w:w="1977" w:type="dxa"/>
            <w:tcBorders>
              <w:top w:val="single" w:sz="12" w:space="0" w:color="666666" w:themeColor="text1" w:themeTint="99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5B34452D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2 (15.38)</w:t>
            </w:r>
          </w:p>
        </w:tc>
        <w:tc>
          <w:tcPr>
            <w:tcW w:w="1941" w:type="dxa"/>
            <w:tcBorders>
              <w:top w:val="single" w:sz="12" w:space="0" w:color="666666" w:themeColor="text1" w:themeTint="99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7F4EC402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2 (22.22)</w:t>
            </w:r>
          </w:p>
        </w:tc>
      </w:tr>
      <w:tr w:rsidR="00DF76DC" w:rsidRPr="006C5AB3" w14:paraId="6B0F66F2" w14:textId="77777777" w:rsidTr="00BA44D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3EC7E86B" w14:textId="77777777" w:rsidR="00DF76DC" w:rsidRPr="00BC7A7F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Good</w:t>
            </w:r>
          </w:p>
        </w:tc>
        <w:tc>
          <w:tcPr>
            <w:tcW w:w="197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162C3222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2 (15.38)</w:t>
            </w:r>
          </w:p>
        </w:tc>
        <w:tc>
          <w:tcPr>
            <w:tcW w:w="1941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388BECFD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0 (0)</w:t>
            </w:r>
          </w:p>
        </w:tc>
      </w:tr>
      <w:tr w:rsidR="00DF76DC" w:rsidRPr="006C5AB3" w14:paraId="78B1CD33" w14:textId="77777777" w:rsidTr="00BA44D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48ED453A" w14:textId="77777777" w:rsidR="00DF76DC" w:rsidRPr="00BC7A7F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Fair</w:t>
            </w:r>
          </w:p>
        </w:tc>
        <w:tc>
          <w:tcPr>
            <w:tcW w:w="197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5185B0E3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0 (0)</w:t>
            </w:r>
          </w:p>
        </w:tc>
        <w:tc>
          <w:tcPr>
            <w:tcW w:w="1941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10DFE71C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0 (0)</w:t>
            </w:r>
          </w:p>
        </w:tc>
      </w:tr>
      <w:tr w:rsidR="00DF76DC" w:rsidRPr="006C5AB3" w14:paraId="7B4BBD65" w14:textId="77777777" w:rsidTr="00BA44D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581A07ED" w14:textId="77777777" w:rsidR="00DF76DC" w:rsidRPr="00BC7A7F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Poor</w:t>
            </w:r>
          </w:p>
        </w:tc>
        <w:tc>
          <w:tcPr>
            <w:tcW w:w="197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79AEE63C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0 (0)</w:t>
            </w:r>
          </w:p>
        </w:tc>
        <w:tc>
          <w:tcPr>
            <w:tcW w:w="1941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45C39584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0 (0)</w:t>
            </w:r>
          </w:p>
        </w:tc>
      </w:tr>
      <w:tr w:rsidR="00DF76DC" w:rsidRPr="006C5AB3" w14:paraId="0ABE44A5" w14:textId="77777777" w:rsidTr="00BA44DB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6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23ADC0BB" w14:textId="77777777" w:rsidR="00DF76DC" w:rsidRPr="00BC7A7F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BC7A7F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N/A</w:t>
            </w:r>
            <w:r>
              <w:rPr>
                <w:rFonts w:eastAsia="Times New Roman" w:cs="Arial"/>
                <w:b w:val="0"/>
                <w:bCs w:val="0"/>
                <w:color w:val="000000" w:themeColor="text1"/>
                <w:vertAlign w:val="superscript"/>
                <w:lang w:val="en-GB" w:eastAsia="en-GB"/>
              </w:rPr>
              <w:t>b</w:t>
            </w:r>
          </w:p>
        </w:tc>
        <w:tc>
          <w:tcPr>
            <w:tcW w:w="197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5BC79548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9 (69.23)</w:t>
            </w:r>
          </w:p>
        </w:tc>
        <w:tc>
          <w:tcPr>
            <w:tcW w:w="1941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hideMark/>
          </w:tcPr>
          <w:p w14:paraId="12B6D2B6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Cs/>
                <w:color w:val="000000" w:themeColor="text1"/>
                <w:lang w:val="en-GB" w:eastAsia="en-GB"/>
              </w:rPr>
              <w:t>7 (77.78)</w:t>
            </w:r>
          </w:p>
        </w:tc>
      </w:tr>
    </w:tbl>
    <w:p w14:paraId="405C2E15" w14:textId="77777777" w:rsidR="00DF76DC" w:rsidRPr="00D13603" w:rsidRDefault="00DF76DC" w:rsidP="00DF76DC">
      <w:pPr>
        <w:spacing w:before="0" w:after="0" w:line="360" w:lineRule="auto"/>
        <w:rPr>
          <w:rFonts w:cs="Arial"/>
          <w:sz w:val="22"/>
        </w:rPr>
      </w:pPr>
      <w:r w:rsidRPr="00D13603">
        <w:rPr>
          <w:rFonts w:cs="Arial"/>
          <w:b/>
          <w:bCs/>
          <w:sz w:val="22"/>
        </w:rPr>
        <w:t>Abbreviations:</w:t>
      </w:r>
      <w:r>
        <w:rPr>
          <w:rFonts w:cs="Arial"/>
          <w:sz w:val="22"/>
        </w:rPr>
        <w:t xml:space="preserve"> </w:t>
      </w:r>
      <w:r w:rsidRPr="00C76DFF">
        <w:rPr>
          <w:rFonts w:cs="Arial"/>
          <w:sz w:val="22"/>
        </w:rPr>
        <w:t>ITT, intent to treat; N/A, not available; PP, per protocol.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vertAlign w:val="superscript"/>
        </w:rPr>
        <w:t>a</w:t>
      </w:r>
      <w:r w:rsidRPr="00C76DFF">
        <w:rPr>
          <w:rFonts w:cs="Arial"/>
          <w:sz w:val="22"/>
        </w:rPr>
        <w:t xml:space="preserve">For </w:t>
      </w:r>
      <w:r>
        <w:rPr>
          <w:rFonts w:cs="Arial"/>
          <w:sz w:val="22"/>
        </w:rPr>
        <w:t>1</w:t>
      </w:r>
      <w:r w:rsidRPr="00C76DFF">
        <w:rPr>
          <w:rFonts w:cs="Arial"/>
          <w:sz w:val="22"/>
        </w:rPr>
        <w:t xml:space="preserve"> patient, a rating of “good” was reported, but no bleeding episodes were documented. This patient was not included in this table. </w:t>
      </w:r>
      <w:r>
        <w:rPr>
          <w:rFonts w:cs="Arial"/>
          <w:sz w:val="22"/>
          <w:vertAlign w:val="superscript"/>
        </w:rPr>
        <w:t>b</w:t>
      </w:r>
      <w:r w:rsidRPr="00C76DFF">
        <w:rPr>
          <w:rFonts w:cs="Arial"/>
          <w:sz w:val="22"/>
        </w:rPr>
        <w:t xml:space="preserve">Patients did not receive purified </w:t>
      </w:r>
      <w:r>
        <w:rPr>
          <w:rFonts w:cs="Arial"/>
          <w:sz w:val="22"/>
        </w:rPr>
        <w:t xml:space="preserve">factor </w:t>
      </w:r>
      <w:r w:rsidRPr="00C76DFF">
        <w:rPr>
          <w:rFonts w:cs="Arial"/>
          <w:sz w:val="22"/>
        </w:rPr>
        <w:t xml:space="preserve">IX concentrate between the last study visit and termination. </w:t>
      </w:r>
      <w:r w:rsidRPr="006C5AB3">
        <w:rPr>
          <w:rFonts w:cs="Arial"/>
        </w:rPr>
        <w:br w:type="page"/>
      </w:r>
    </w:p>
    <w:p w14:paraId="2B60A1B0" w14:textId="77777777" w:rsidR="00DF76DC" w:rsidRPr="006C5AB3" w:rsidRDefault="00DF76DC" w:rsidP="00DF76DC">
      <w:pPr>
        <w:spacing w:before="0" w:after="0" w:line="360" w:lineRule="auto"/>
        <w:rPr>
          <w:rFonts w:cs="Arial"/>
        </w:rPr>
      </w:pPr>
      <w:r>
        <w:rPr>
          <w:rFonts w:cs="Arial"/>
          <w:b/>
          <w:bCs/>
          <w:szCs w:val="24"/>
        </w:rPr>
        <w:lastRenderedPageBreak/>
        <w:t>Supplementary</w:t>
      </w:r>
      <w:r w:rsidRPr="006C5AB3">
        <w:rPr>
          <w:rFonts w:cs="Arial"/>
          <w:b/>
          <w:bCs/>
        </w:rPr>
        <w:t xml:space="preserve"> T</w:t>
      </w:r>
      <w:r>
        <w:rPr>
          <w:rFonts w:cs="Arial"/>
          <w:b/>
          <w:bCs/>
        </w:rPr>
        <w:t>able</w:t>
      </w:r>
      <w:r w:rsidRPr="006C5AB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6</w:t>
      </w:r>
      <w:r w:rsidRPr="006C5AB3">
        <w:rPr>
          <w:rFonts w:cs="Arial"/>
        </w:rPr>
        <w:t xml:space="preserve"> Average </w:t>
      </w:r>
      <w:r>
        <w:rPr>
          <w:rFonts w:cs="Arial"/>
        </w:rPr>
        <w:t>T</w:t>
      </w:r>
      <w:r w:rsidRPr="006C5AB3">
        <w:rPr>
          <w:rFonts w:cs="Arial"/>
        </w:rPr>
        <w:t xml:space="preserve">otal </w:t>
      </w:r>
      <w:r>
        <w:rPr>
          <w:rFonts w:cs="Arial"/>
        </w:rPr>
        <w:t>D</w:t>
      </w:r>
      <w:r w:rsidRPr="006C5AB3">
        <w:rPr>
          <w:rFonts w:cs="Arial"/>
        </w:rPr>
        <w:t xml:space="preserve">ose of </w:t>
      </w:r>
      <w:r>
        <w:rPr>
          <w:rFonts w:cs="Arial"/>
        </w:rPr>
        <w:t>S</w:t>
      </w:r>
      <w:r w:rsidRPr="006C5AB3">
        <w:rPr>
          <w:rFonts w:cs="Arial"/>
        </w:rPr>
        <w:t xml:space="preserve">tudy </w:t>
      </w:r>
      <w:r>
        <w:rPr>
          <w:rFonts w:cs="Arial"/>
        </w:rPr>
        <w:t>D</w:t>
      </w:r>
      <w:r w:rsidRPr="006C5AB3">
        <w:rPr>
          <w:rFonts w:cs="Arial"/>
        </w:rPr>
        <w:t xml:space="preserve">rug per </w:t>
      </w:r>
      <w:r>
        <w:rPr>
          <w:rFonts w:cs="Arial"/>
        </w:rPr>
        <w:t>Kilogram of</w:t>
      </w:r>
      <w:r w:rsidRPr="006C5AB3">
        <w:rPr>
          <w:rFonts w:cs="Arial"/>
        </w:rPr>
        <w:t xml:space="preserve"> </w:t>
      </w:r>
      <w:r>
        <w:rPr>
          <w:rFonts w:cs="Arial"/>
        </w:rPr>
        <w:t>B</w:t>
      </w:r>
      <w:r w:rsidRPr="006C5AB3">
        <w:rPr>
          <w:rFonts w:cs="Arial"/>
        </w:rPr>
        <w:t xml:space="preserve">ody </w:t>
      </w:r>
      <w:r>
        <w:rPr>
          <w:rFonts w:cs="Arial"/>
        </w:rPr>
        <w:t>W</w:t>
      </w:r>
      <w:r w:rsidRPr="006C5AB3">
        <w:rPr>
          <w:rFonts w:cs="Arial"/>
        </w:rPr>
        <w:t xml:space="preserve">eight per </w:t>
      </w:r>
      <w:r>
        <w:rPr>
          <w:rFonts w:cs="Arial"/>
        </w:rPr>
        <w:t>B</w:t>
      </w:r>
      <w:r w:rsidRPr="006C5AB3">
        <w:rPr>
          <w:rFonts w:cs="Arial"/>
        </w:rPr>
        <w:t xml:space="preserve">leeding </w:t>
      </w:r>
      <w:r>
        <w:rPr>
          <w:rFonts w:cs="Arial"/>
        </w:rPr>
        <w:t>E</w:t>
      </w:r>
      <w:r w:rsidRPr="006C5AB3">
        <w:rPr>
          <w:rFonts w:cs="Arial"/>
        </w:rPr>
        <w:t>pisode (IU/kg)</w:t>
      </w:r>
    </w:p>
    <w:tbl>
      <w:tblPr>
        <w:tblStyle w:val="GridTable1Light"/>
        <w:tblW w:w="8874" w:type="dxa"/>
        <w:tblLook w:val="04A0" w:firstRow="1" w:lastRow="0" w:firstColumn="1" w:lastColumn="0" w:noHBand="0" w:noVBand="1"/>
      </w:tblPr>
      <w:tblGrid>
        <w:gridCol w:w="2369"/>
        <w:gridCol w:w="1459"/>
        <w:gridCol w:w="1842"/>
        <w:gridCol w:w="1457"/>
        <w:gridCol w:w="1747"/>
      </w:tblGrid>
      <w:tr w:rsidR="00DF76DC" w:rsidRPr="006C5AB3" w14:paraId="75A8182F" w14:textId="77777777" w:rsidTr="00BA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  <w:bottom w:val="nil"/>
              <w:right w:val="nil"/>
            </w:tcBorders>
          </w:tcPr>
          <w:p w14:paraId="3527B069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4EA76CF5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ITT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S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et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 xml:space="preserve">, </w:t>
            </w:r>
          </w:p>
          <w:p w14:paraId="080BD16B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D1360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= 13</w:t>
            </w:r>
          </w:p>
        </w:tc>
        <w:tc>
          <w:tcPr>
            <w:tcW w:w="3204" w:type="dxa"/>
            <w:gridSpan w:val="2"/>
            <w:tcBorders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486DA440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PP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S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et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 xml:space="preserve">, </w:t>
            </w:r>
          </w:p>
          <w:p w14:paraId="314315CD" w14:textId="77777777" w:rsidR="00DF76DC" w:rsidRPr="006C5AB3" w:rsidRDefault="00DF76DC" w:rsidP="00BA44DB">
            <w:pPr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D13603">
              <w:rPr>
                <w:rFonts w:eastAsia="Times New Roman" w:cs="Arial"/>
                <w:color w:val="000000" w:themeColor="text1"/>
                <w:lang w:eastAsia="en-GB"/>
              </w:rPr>
              <w:t>N</w:t>
            </w:r>
            <w:r w:rsidRPr="00527C27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 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= 9</w:t>
            </w:r>
          </w:p>
        </w:tc>
      </w:tr>
      <w:tr w:rsidR="00DF76DC" w:rsidRPr="006C5AB3" w14:paraId="302C3304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</w:tcPr>
          <w:p w14:paraId="4CB4C48D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Cause of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B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 xml:space="preserve">leeding </w:t>
            </w:r>
            <w:r>
              <w:rPr>
                <w:rFonts w:eastAsia="Times New Roman" w:cs="Arial"/>
                <w:color w:val="000000" w:themeColor="text1"/>
                <w:lang w:val="en-GB" w:eastAsia="en-GB"/>
              </w:rPr>
              <w:t>E</w:t>
            </w: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pisode</w:t>
            </w:r>
          </w:p>
        </w:tc>
        <w:tc>
          <w:tcPr>
            <w:tcW w:w="1459" w:type="dxa"/>
            <w:tcBorders>
              <w:top w:val="single" w:sz="8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DE52A44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Patients, </w:t>
            </w:r>
            <w:r w:rsidRPr="00D13603">
              <w:rPr>
                <w:rFonts w:eastAsia="Times New Roman" w:cs="Arial"/>
                <w:b/>
                <w:bCs/>
                <w:color w:val="000000" w:themeColor="text1"/>
                <w:lang w:eastAsia="en-GB"/>
              </w:rPr>
              <w:t>n</w:t>
            </w:r>
          </w:p>
        </w:tc>
        <w:tc>
          <w:tcPr>
            <w:tcW w:w="1842" w:type="dxa"/>
            <w:tcBorders>
              <w:top w:val="single" w:sz="8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6B9352C2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Mean ± SD</w:t>
            </w:r>
          </w:p>
        </w:tc>
        <w:tc>
          <w:tcPr>
            <w:tcW w:w="1457" w:type="dxa"/>
            <w:tcBorders>
              <w:top w:val="single" w:sz="8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0DDAD770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Patients, </w:t>
            </w:r>
            <w:r w:rsidRPr="00D13603">
              <w:rPr>
                <w:rFonts w:eastAsia="Times New Roman" w:cs="Arial"/>
                <w:b/>
                <w:bCs/>
                <w:color w:val="000000" w:themeColor="text1"/>
                <w:lang w:eastAsia="en-GB"/>
              </w:rPr>
              <w:t>n</w:t>
            </w:r>
          </w:p>
        </w:tc>
        <w:tc>
          <w:tcPr>
            <w:tcW w:w="1747" w:type="dxa"/>
            <w:tcBorders>
              <w:top w:val="single" w:sz="8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1F879A03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Mean ± SD</w:t>
            </w:r>
          </w:p>
        </w:tc>
      </w:tr>
      <w:tr w:rsidR="00DF76DC" w:rsidRPr="006C5AB3" w14:paraId="294F9ED2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12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2AADF6B2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Spontaneous</w:t>
            </w:r>
          </w:p>
        </w:tc>
        <w:tc>
          <w:tcPr>
            <w:tcW w:w="1459" w:type="dxa"/>
            <w:tcBorders>
              <w:top w:val="single" w:sz="12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6EDDE71F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1842" w:type="dxa"/>
            <w:tcBorders>
              <w:top w:val="single" w:sz="12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51F89602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43.64 ± 29.41</w:t>
            </w:r>
          </w:p>
        </w:tc>
        <w:tc>
          <w:tcPr>
            <w:tcW w:w="1457" w:type="dxa"/>
            <w:tcBorders>
              <w:top w:val="single" w:sz="12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489FAD68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1747" w:type="dxa"/>
            <w:tcBorders>
              <w:top w:val="single" w:sz="12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30CC5117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43.64 ± 29.41</w:t>
            </w:r>
          </w:p>
        </w:tc>
      </w:tr>
      <w:tr w:rsidR="00DF76DC" w:rsidRPr="006C5AB3" w14:paraId="50D2D7F6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6E8CB25B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Traumatic</w:t>
            </w:r>
          </w:p>
        </w:tc>
        <w:tc>
          <w:tcPr>
            <w:tcW w:w="1459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26A3459F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5</w:t>
            </w:r>
          </w:p>
        </w:tc>
        <w:tc>
          <w:tcPr>
            <w:tcW w:w="1842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60B2A247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46.78 ± 37.23</w:t>
            </w:r>
          </w:p>
        </w:tc>
        <w:tc>
          <w:tcPr>
            <w:tcW w:w="145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40085C81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174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1BD18B1F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31.72 ± 26.00</w:t>
            </w:r>
          </w:p>
        </w:tc>
      </w:tr>
      <w:tr w:rsidR="00DF76DC" w:rsidRPr="006C5AB3" w14:paraId="0222EA2C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43B3DEF2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Undetermined</w:t>
            </w:r>
          </w:p>
        </w:tc>
        <w:tc>
          <w:tcPr>
            <w:tcW w:w="1459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667CB6F0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842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59830AE6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28.30 ± -</w:t>
            </w:r>
          </w:p>
        </w:tc>
        <w:tc>
          <w:tcPr>
            <w:tcW w:w="145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1346011C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74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7FA543B1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28.30 ± -</w:t>
            </w:r>
          </w:p>
        </w:tc>
      </w:tr>
      <w:tr w:rsidR="00DF76DC" w:rsidRPr="006C5AB3" w14:paraId="4A6F8232" w14:textId="77777777" w:rsidTr="00BA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</w:tcPr>
          <w:p w14:paraId="107E39AF" w14:textId="77777777" w:rsidR="00DF76DC" w:rsidRPr="006C5AB3" w:rsidRDefault="00DF76DC" w:rsidP="00BA44DB">
            <w:pPr>
              <w:spacing w:before="0" w:after="0" w:line="360" w:lineRule="auto"/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b w:val="0"/>
                <w:bCs w:val="0"/>
                <w:color w:val="000000" w:themeColor="text1"/>
                <w:lang w:val="en-GB" w:eastAsia="en-GB"/>
              </w:rPr>
              <w:t>Total</w:t>
            </w:r>
          </w:p>
        </w:tc>
        <w:tc>
          <w:tcPr>
            <w:tcW w:w="1459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55779BAF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6</w:t>
            </w:r>
          </w:p>
        </w:tc>
        <w:tc>
          <w:tcPr>
            <w:tcW w:w="1842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689C6063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49.96 ± 33.75</w:t>
            </w:r>
          </w:p>
        </w:tc>
        <w:tc>
          <w:tcPr>
            <w:tcW w:w="145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522AB1AC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747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nil"/>
            </w:tcBorders>
            <w:vAlign w:val="bottom"/>
          </w:tcPr>
          <w:p w14:paraId="4AEEE90D" w14:textId="77777777" w:rsidR="00DF76DC" w:rsidRPr="006C5AB3" w:rsidRDefault="00DF76DC" w:rsidP="00BA44DB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GB" w:eastAsia="en-GB"/>
              </w:rPr>
            </w:pPr>
            <w:r w:rsidRPr="006C5AB3">
              <w:rPr>
                <w:rFonts w:eastAsia="Times New Roman" w:cs="Arial"/>
                <w:color w:val="000000" w:themeColor="text1"/>
                <w:lang w:val="en-GB" w:eastAsia="en-GB"/>
              </w:rPr>
              <w:t>40.25 ± 26.30</w:t>
            </w:r>
          </w:p>
        </w:tc>
      </w:tr>
    </w:tbl>
    <w:p w14:paraId="32E29646" w14:textId="77777777" w:rsidR="00DF76DC" w:rsidRPr="00D13603" w:rsidRDefault="00DF76DC" w:rsidP="00DF76DC">
      <w:pPr>
        <w:spacing w:before="0" w:after="0" w:line="360" w:lineRule="auto"/>
        <w:rPr>
          <w:rFonts w:eastAsia="Times New Roman" w:cs="Arial"/>
          <w:color w:val="000000" w:themeColor="text1"/>
          <w:sz w:val="22"/>
          <w:lang w:eastAsia="en-GB"/>
        </w:rPr>
      </w:pPr>
      <w:r w:rsidRPr="00D13603">
        <w:rPr>
          <w:rFonts w:eastAsia="Times New Roman" w:cs="Arial"/>
          <w:b/>
          <w:bCs/>
          <w:color w:val="000000" w:themeColor="text1"/>
          <w:sz w:val="22"/>
          <w:lang w:eastAsia="en-GB"/>
        </w:rPr>
        <w:t>Note:</w:t>
      </w:r>
      <w:r>
        <w:rPr>
          <w:rFonts w:eastAsia="Times New Roman" w:cs="Arial"/>
          <w:color w:val="000000" w:themeColor="text1"/>
          <w:sz w:val="22"/>
          <w:lang w:eastAsia="en-GB"/>
        </w:rPr>
        <w:t xml:space="preserve"> </w:t>
      </w:r>
      <w:r w:rsidRPr="00C76DFF">
        <w:rPr>
          <w:rFonts w:eastAsia="Times New Roman" w:cs="Arial"/>
          <w:color w:val="000000" w:themeColor="text1"/>
          <w:sz w:val="22"/>
          <w:lang w:eastAsia="en-GB"/>
        </w:rPr>
        <w:t xml:space="preserve">For each patient and cause of bleeding episode, the average total dose was determined as: </w:t>
      </w:r>
      <w:r>
        <w:rPr>
          <w:rFonts w:eastAsia="Times New Roman" w:cs="Arial"/>
          <w:color w:val="000000" w:themeColor="text1"/>
          <w:sz w:val="22"/>
          <w:lang w:eastAsia="en-GB"/>
        </w:rPr>
        <w:t>s</w:t>
      </w:r>
      <w:r w:rsidRPr="00C76DFF">
        <w:rPr>
          <w:rFonts w:eastAsia="Times New Roman" w:cs="Arial"/>
          <w:color w:val="000000" w:themeColor="text1"/>
          <w:sz w:val="22"/>
          <w:lang w:eastAsia="en-GB"/>
        </w:rPr>
        <w:t>um of all bleeding related doses (IU/kg) / number of bleeding episodes.</w:t>
      </w:r>
      <w:r>
        <w:rPr>
          <w:rFonts w:eastAsia="Times New Roman" w:cs="Arial"/>
          <w:color w:val="000000" w:themeColor="text1"/>
          <w:sz w:val="22"/>
          <w:lang w:eastAsia="en-GB"/>
        </w:rPr>
        <w:t xml:space="preserve"> </w:t>
      </w:r>
      <w:r w:rsidRPr="00D13603">
        <w:rPr>
          <w:rFonts w:eastAsia="Times New Roman" w:cs="Arial"/>
          <w:b/>
          <w:color w:val="000000" w:themeColor="text1"/>
          <w:sz w:val="22"/>
          <w:lang w:eastAsia="en-GB"/>
        </w:rPr>
        <w:t>Abbreviations:</w:t>
      </w:r>
      <w:r>
        <w:rPr>
          <w:rFonts w:eastAsia="Times New Roman" w:cs="Arial"/>
          <w:bCs/>
          <w:color w:val="000000" w:themeColor="text1"/>
          <w:sz w:val="22"/>
          <w:lang w:eastAsia="en-GB"/>
        </w:rPr>
        <w:t xml:space="preserve"> </w:t>
      </w:r>
      <w:r w:rsidRPr="00C76DFF">
        <w:rPr>
          <w:rFonts w:eastAsia="Times New Roman" w:cs="Arial"/>
          <w:bCs/>
          <w:color w:val="000000" w:themeColor="text1"/>
          <w:sz w:val="22"/>
          <w:lang w:eastAsia="en-GB"/>
        </w:rPr>
        <w:t>ITT, intent to treat; PP, per protocol; SD, standard deviation.</w:t>
      </w:r>
    </w:p>
    <w:bookmarkEnd w:id="0"/>
    <w:p w14:paraId="5C559DC7" w14:textId="77777777" w:rsidR="001C1B6B" w:rsidRDefault="001C1B6B"/>
    <w:sectPr w:rsidR="001C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C40D" w14:textId="77777777" w:rsidR="00A704C2" w:rsidRDefault="00A704C2" w:rsidP="00A54773">
      <w:pPr>
        <w:spacing w:before="0" w:after="0" w:line="240" w:lineRule="auto"/>
      </w:pPr>
      <w:r>
        <w:separator/>
      </w:r>
    </w:p>
  </w:endnote>
  <w:endnote w:type="continuationSeparator" w:id="0">
    <w:p w14:paraId="10AB48D9" w14:textId="77777777" w:rsidR="00A704C2" w:rsidRDefault="00A704C2" w:rsidP="00A547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D84F" w14:textId="727E68CB" w:rsidR="000D23EC" w:rsidRDefault="000D23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872AE1" wp14:editId="36818F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65188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DE277" w14:textId="5D55BBBB" w:rsidR="000D23EC" w:rsidRPr="000D23EC" w:rsidRDefault="000D23EC" w:rsidP="000D23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23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2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A2DE277" w14:textId="5D55BBBB" w:rsidR="000D23EC" w:rsidRPr="000D23EC" w:rsidRDefault="000D23EC" w:rsidP="000D23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23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1B5C" w14:textId="2A9BF0EF" w:rsidR="00A54773" w:rsidRDefault="000D23E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76DD36" wp14:editId="70BB450B">
              <wp:simplePos x="914400" y="98946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951411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4F7D0" w14:textId="79F3D408" w:rsidR="000D23EC" w:rsidRPr="000D23EC" w:rsidRDefault="000D23EC" w:rsidP="000D23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23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DD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C94F7D0" w14:textId="79F3D408" w:rsidR="000D23EC" w:rsidRPr="000D23EC" w:rsidRDefault="000D23EC" w:rsidP="000D23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23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282805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4773">
          <w:fldChar w:fldCharType="begin"/>
        </w:r>
        <w:r w:rsidR="00A54773">
          <w:instrText xml:space="preserve"> PAGE   \* MERGEFORMAT </w:instrText>
        </w:r>
        <w:r w:rsidR="00A54773">
          <w:fldChar w:fldCharType="separate"/>
        </w:r>
        <w:r w:rsidR="00A54773">
          <w:rPr>
            <w:noProof/>
          </w:rPr>
          <w:t>2</w:t>
        </w:r>
        <w:r w:rsidR="00A54773">
          <w:rPr>
            <w:noProof/>
          </w:rPr>
          <w:fldChar w:fldCharType="end"/>
        </w:r>
      </w:sdtContent>
    </w:sdt>
  </w:p>
  <w:p w14:paraId="636F102A" w14:textId="77777777" w:rsidR="00A54773" w:rsidRDefault="00A54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6D8E" w14:textId="503E7420" w:rsidR="000D23EC" w:rsidRDefault="000D23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F9DE5F" wp14:editId="2A374C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621275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38B7F" w14:textId="1DFB61CD" w:rsidR="000D23EC" w:rsidRPr="000D23EC" w:rsidRDefault="000D23EC" w:rsidP="000D23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23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9DE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7B38B7F" w14:textId="1DFB61CD" w:rsidR="000D23EC" w:rsidRPr="000D23EC" w:rsidRDefault="000D23EC" w:rsidP="000D23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23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C994" w14:textId="77777777" w:rsidR="00A704C2" w:rsidRDefault="00A704C2" w:rsidP="00A54773">
      <w:pPr>
        <w:spacing w:before="0" w:after="0" w:line="240" w:lineRule="auto"/>
      </w:pPr>
      <w:r>
        <w:separator/>
      </w:r>
    </w:p>
  </w:footnote>
  <w:footnote w:type="continuationSeparator" w:id="0">
    <w:p w14:paraId="05208714" w14:textId="77777777" w:rsidR="00A704C2" w:rsidRDefault="00A704C2" w:rsidP="00A547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461"/>
    <w:multiLevelType w:val="hybridMultilevel"/>
    <w:tmpl w:val="A3DC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DC"/>
    <w:rsid w:val="000D23EC"/>
    <w:rsid w:val="001C1B6B"/>
    <w:rsid w:val="00206B17"/>
    <w:rsid w:val="0028042B"/>
    <w:rsid w:val="002D5634"/>
    <w:rsid w:val="00325F99"/>
    <w:rsid w:val="009C5213"/>
    <w:rsid w:val="00A007CD"/>
    <w:rsid w:val="00A54773"/>
    <w:rsid w:val="00A704C2"/>
    <w:rsid w:val="00DF76DC"/>
    <w:rsid w:val="00E10DFA"/>
    <w:rsid w:val="00E25812"/>
    <w:rsid w:val="00F63DF3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0746"/>
  <w15:chartTrackingRefBased/>
  <w15:docId w15:val="{EEF353CB-2410-49BD-A6B6-988FC115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DC"/>
    <w:pPr>
      <w:spacing w:before="120" w:after="120" w:line="48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DF76DC"/>
    <w:pPr>
      <w:spacing w:before="0" w:after="0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F76DC"/>
    <w:rPr>
      <w:rFonts w:ascii="Arial" w:hAnsi="Arial" w:cs="Arial"/>
      <w:noProof/>
      <w:sz w:val="24"/>
    </w:rPr>
  </w:style>
  <w:style w:type="table" w:styleId="GridTable1Light">
    <w:name w:val="Grid Table 1 Light"/>
    <w:basedOn w:val="TableNormal"/>
    <w:uiPriority w:val="46"/>
    <w:rsid w:val="00DF76D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3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DF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DF3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63DF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63DF3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5477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77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5477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773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F71C2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Sarah</dc:creator>
  <cp:keywords/>
  <dc:description/>
  <cp:lastModifiedBy>Bartle, Claudia</cp:lastModifiedBy>
  <cp:revision>4</cp:revision>
  <dcterms:created xsi:type="dcterms:W3CDTF">2023-12-21T15:05:00Z</dcterms:created>
  <dcterms:modified xsi:type="dcterms:W3CDTF">2024-01-03T21:12:00Z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1b8b81b6,4d474eac,5f13ec24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2024-01-03T21:12:36Z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68843c5f-8a66-4004-902b-c16454ea52c7</vt:lpwstr>
  </property>
  <property fmtid="{D5CDD505-2E9C-101B-9397-08002B2CF9AE}" pid="11" name="MSIP_Label_2bbab825-a111-45e4-86a1-18cee0005896_ContentBits">
    <vt:lpwstr>2</vt:lpwstr>
  </property>
</Properties>
</file>