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E43B6" w14:textId="30474E73" w:rsidR="00DC52EC" w:rsidRPr="00324608" w:rsidRDefault="00324608">
      <w:pPr>
        <w:spacing w:line="480" w:lineRule="auto"/>
        <w:rPr>
          <w:rFonts w:ascii="Times New Roman" w:hAnsi="Times New Roman" w:cs="Times New Roman"/>
          <w:b/>
          <w:bCs/>
          <w:color w:val="000000"/>
          <w:sz w:val="20"/>
          <w:szCs w:val="20"/>
        </w:rPr>
      </w:pPr>
      <w:r w:rsidRPr="00324608">
        <w:rPr>
          <w:rFonts w:ascii="Times New Roman" w:hAnsi="Times New Roman" w:cs="Times New Roman"/>
          <w:b/>
          <w:bCs/>
          <w:color w:val="000000"/>
          <w:sz w:val="20"/>
          <w:szCs w:val="20"/>
        </w:rPr>
        <w:t>Supplementary Figure Captions</w:t>
      </w:r>
      <w:r w:rsidR="003F17A6" w:rsidRPr="00324608">
        <w:rPr>
          <w:rFonts w:ascii="Times New Roman" w:hAnsi="Times New Roman" w:cs="Times New Roman"/>
          <w:b/>
          <w:bCs/>
          <w:color w:val="000000"/>
          <w:sz w:val="20"/>
          <w:szCs w:val="20"/>
        </w:rPr>
        <w:br/>
      </w:r>
      <w:r w:rsidR="003F17A6" w:rsidRPr="00324608">
        <w:rPr>
          <w:rFonts w:ascii="Times New Roman" w:hAnsi="Times New Roman" w:cs="Times New Roman"/>
          <w:b/>
          <w:bCs/>
          <w:color w:val="000000"/>
          <w:sz w:val="20"/>
          <w:szCs w:val="20"/>
        </w:rPr>
        <w:drawing>
          <wp:inline distT="0" distB="0" distL="0" distR="0" wp14:anchorId="3A9967A5" wp14:editId="65552622">
            <wp:extent cx="5274310" cy="4926330"/>
            <wp:effectExtent l="0" t="0" r="2540" b="7620"/>
            <wp:docPr id="70172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20265" name="Picture 70172026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4926330"/>
                    </a:xfrm>
                    <a:prstGeom prst="rect">
                      <a:avLst/>
                    </a:prstGeom>
                  </pic:spPr>
                </pic:pic>
              </a:graphicData>
            </a:graphic>
          </wp:inline>
        </w:drawing>
      </w:r>
    </w:p>
    <w:p w14:paraId="262873A9" w14:textId="3002937F" w:rsidR="00DC52EC" w:rsidRPr="00324608" w:rsidRDefault="00324608">
      <w:pPr>
        <w:spacing w:line="480" w:lineRule="auto"/>
        <w:rPr>
          <w:rFonts w:ascii="Times New Roman" w:hAnsi="Times New Roman" w:cs="Times New Roman"/>
          <w:color w:val="000000"/>
          <w:kern w:val="0"/>
          <w:sz w:val="20"/>
          <w:szCs w:val="20"/>
        </w:rPr>
      </w:pPr>
      <w:r w:rsidRPr="00324608">
        <w:rPr>
          <w:rFonts w:ascii="Times New Roman" w:hAnsi="Times New Roman" w:cs="Times New Roman"/>
          <w:b/>
          <w:bCs/>
          <w:color w:val="000000"/>
          <w:kern w:val="0"/>
          <w:sz w:val="20"/>
          <w:szCs w:val="20"/>
        </w:rPr>
        <w:t>Figure S1</w:t>
      </w:r>
      <w:r w:rsidRPr="00324608">
        <w:rPr>
          <w:rFonts w:ascii="Times New Roman" w:hAnsi="Times New Roman" w:cs="Times New Roman"/>
          <w:color w:val="000000"/>
          <w:kern w:val="0"/>
          <w:sz w:val="20"/>
          <w:szCs w:val="20"/>
        </w:rPr>
        <w:t xml:space="preserve"> </w:t>
      </w:r>
      <w:r w:rsidR="00020CCD" w:rsidRPr="00324608">
        <w:rPr>
          <w:rFonts w:ascii="Times New Roman" w:hAnsi="Times New Roman" w:cs="Times New Roman"/>
          <w:color w:val="000000"/>
          <w:kern w:val="0"/>
          <w:sz w:val="20"/>
          <w:szCs w:val="20"/>
        </w:rPr>
        <w:t>The flowchart of case screening.</w:t>
      </w:r>
    </w:p>
    <w:p w14:paraId="137CF672" w14:textId="77777777" w:rsidR="003F17A6" w:rsidRPr="00324608" w:rsidRDefault="003F17A6">
      <w:pPr>
        <w:spacing w:line="480" w:lineRule="auto"/>
        <w:rPr>
          <w:rFonts w:ascii="Times New Roman" w:hAnsi="Times New Roman" w:cs="Times New Roman"/>
          <w:color w:val="000000"/>
          <w:kern w:val="0"/>
          <w:sz w:val="20"/>
          <w:szCs w:val="20"/>
        </w:rPr>
      </w:pPr>
    </w:p>
    <w:p w14:paraId="7AB65BA0" w14:textId="77777777" w:rsidR="003F17A6" w:rsidRPr="00324608" w:rsidRDefault="003F17A6">
      <w:pPr>
        <w:spacing w:line="480" w:lineRule="auto"/>
        <w:rPr>
          <w:rFonts w:ascii="Times New Roman" w:hAnsi="Times New Roman" w:cs="Times New Roman"/>
          <w:color w:val="000000"/>
          <w:kern w:val="0"/>
          <w:sz w:val="20"/>
          <w:szCs w:val="20"/>
        </w:rPr>
      </w:pPr>
    </w:p>
    <w:p w14:paraId="51E7255F" w14:textId="77777777" w:rsidR="003F17A6" w:rsidRPr="00324608" w:rsidRDefault="003F17A6">
      <w:pPr>
        <w:spacing w:line="480" w:lineRule="auto"/>
        <w:rPr>
          <w:rFonts w:ascii="Times New Roman" w:hAnsi="Times New Roman" w:cs="Times New Roman"/>
          <w:color w:val="000000"/>
          <w:kern w:val="0"/>
          <w:sz w:val="20"/>
          <w:szCs w:val="20"/>
        </w:rPr>
      </w:pPr>
    </w:p>
    <w:p w14:paraId="09727454" w14:textId="77777777" w:rsidR="003F17A6" w:rsidRPr="00324608" w:rsidRDefault="003F17A6">
      <w:pPr>
        <w:spacing w:line="480" w:lineRule="auto"/>
        <w:rPr>
          <w:rFonts w:ascii="Times New Roman" w:hAnsi="Times New Roman" w:cs="Times New Roman"/>
          <w:color w:val="000000"/>
          <w:kern w:val="0"/>
          <w:sz w:val="20"/>
          <w:szCs w:val="20"/>
        </w:rPr>
      </w:pPr>
    </w:p>
    <w:p w14:paraId="29916844" w14:textId="77777777" w:rsidR="003F17A6" w:rsidRPr="00324608" w:rsidRDefault="003F17A6">
      <w:pPr>
        <w:spacing w:line="480" w:lineRule="auto"/>
        <w:rPr>
          <w:rFonts w:ascii="Times New Roman" w:hAnsi="Times New Roman" w:cs="Times New Roman"/>
          <w:color w:val="000000"/>
          <w:kern w:val="0"/>
          <w:sz w:val="20"/>
          <w:szCs w:val="20"/>
        </w:rPr>
      </w:pPr>
    </w:p>
    <w:p w14:paraId="733C8CAC" w14:textId="77777777" w:rsidR="003F17A6" w:rsidRPr="00324608" w:rsidRDefault="003F17A6">
      <w:pPr>
        <w:spacing w:line="480" w:lineRule="auto"/>
        <w:rPr>
          <w:rFonts w:ascii="Times New Roman" w:hAnsi="Times New Roman" w:cs="Times New Roman"/>
          <w:color w:val="000000"/>
          <w:kern w:val="0"/>
          <w:sz w:val="20"/>
          <w:szCs w:val="20"/>
        </w:rPr>
      </w:pPr>
    </w:p>
    <w:p w14:paraId="5C0865CA" w14:textId="77777777" w:rsidR="003F17A6" w:rsidRPr="00324608" w:rsidRDefault="003F17A6">
      <w:pPr>
        <w:spacing w:line="480" w:lineRule="auto"/>
        <w:rPr>
          <w:rFonts w:ascii="Times New Roman" w:hAnsi="Times New Roman" w:cs="Times New Roman"/>
          <w:color w:val="000000"/>
          <w:kern w:val="0"/>
          <w:sz w:val="20"/>
          <w:szCs w:val="20"/>
        </w:rPr>
      </w:pPr>
    </w:p>
    <w:p w14:paraId="3167E209" w14:textId="77777777" w:rsidR="003F17A6" w:rsidRPr="00324608" w:rsidRDefault="003F17A6">
      <w:pPr>
        <w:spacing w:line="480" w:lineRule="auto"/>
        <w:rPr>
          <w:rFonts w:ascii="Times New Roman" w:hAnsi="Times New Roman" w:cs="Times New Roman"/>
          <w:color w:val="000000"/>
          <w:kern w:val="0"/>
          <w:sz w:val="20"/>
          <w:szCs w:val="20"/>
        </w:rPr>
      </w:pPr>
    </w:p>
    <w:p w14:paraId="21BAE4F0" w14:textId="0CD6860D" w:rsidR="003F17A6" w:rsidRPr="00324608" w:rsidRDefault="00FD7418">
      <w:pPr>
        <w:spacing w:line="480" w:lineRule="auto"/>
        <w:rPr>
          <w:rFonts w:ascii="Times New Roman" w:hAnsi="Times New Roman" w:cs="Times New Roman"/>
          <w:color w:val="000000"/>
          <w:kern w:val="0"/>
          <w:sz w:val="20"/>
          <w:szCs w:val="20"/>
        </w:rPr>
      </w:pPr>
      <w:r w:rsidRPr="00324608">
        <w:rPr>
          <w:rFonts w:ascii="Times New Roman" w:hAnsi="Times New Roman" w:cs="Times New Roman"/>
          <w:color w:val="000000"/>
          <w:kern w:val="0"/>
          <w:sz w:val="20"/>
          <w:szCs w:val="20"/>
        </w:rPr>
        <w:lastRenderedPageBreak/>
        <w:drawing>
          <wp:inline distT="0" distB="0" distL="0" distR="0" wp14:anchorId="1CE15028" wp14:editId="5F1D238F">
            <wp:extent cx="5274310" cy="3234055"/>
            <wp:effectExtent l="0" t="0" r="2540" b="4445"/>
            <wp:docPr id="1948045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45627" name="Picture 19480456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234055"/>
                    </a:xfrm>
                    <a:prstGeom prst="rect">
                      <a:avLst/>
                    </a:prstGeom>
                  </pic:spPr>
                </pic:pic>
              </a:graphicData>
            </a:graphic>
          </wp:inline>
        </w:drawing>
      </w:r>
    </w:p>
    <w:p w14:paraId="78E9EC5D" w14:textId="6E4E69D7" w:rsidR="00DC52EC" w:rsidRPr="00324608" w:rsidRDefault="00324608">
      <w:pPr>
        <w:spacing w:line="480" w:lineRule="auto"/>
        <w:rPr>
          <w:rFonts w:ascii="Times New Roman" w:hAnsi="Times New Roman" w:cs="Times New Roman"/>
          <w:color w:val="000000"/>
          <w:sz w:val="20"/>
          <w:szCs w:val="20"/>
        </w:rPr>
      </w:pPr>
      <w:r w:rsidRPr="00324608">
        <w:rPr>
          <w:rFonts w:ascii="Times New Roman" w:hAnsi="Times New Roman" w:cs="Times New Roman"/>
          <w:b/>
          <w:bCs/>
          <w:color w:val="000000"/>
          <w:kern w:val="0"/>
          <w:sz w:val="20"/>
          <w:szCs w:val="20"/>
        </w:rPr>
        <w:t>Figure S</w:t>
      </w:r>
      <w:r w:rsidRPr="00324608">
        <w:rPr>
          <w:rFonts w:ascii="Times New Roman" w:hAnsi="Times New Roman" w:cs="Times New Roman" w:hint="eastAsia"/>
          <w:b/>
          <w:bCs/>
          <w:color w:val="000000"/>
          <w:kern w:val="0"/>
          <w:sz w:val="20"/>
          <w:szCs w:val="20"/>
        </w:rPr>
        <w:t xml:space="preserve">2 </w:t>
      </w:r>
      <w:r w:rsidRPr="00324608">
        <w:rPr>
          <w:rFonts w:ascii="Times New Roman" w:hAnsi="Times New Roman" w:cs="Times New Roman"/>
          <w:color w:val="000000"/>
          <w:kern w:val="0"/>
          <w:sz w:val="20"/>
          <w:szCs w:val="20"/>
        </w:rPr>
        <w:t xml:space="preserve">Enrichment analysis of DEGs. (a-b) The gene ontology (GO) and Kyoto Encyclopedia of Genes and Genomes (KEGG) annotation results of the </w:t>
      </w:r>
      <w:r w:rsidRPr="00324608">
        <w:rPr>
          <w:rFonts w:ascii="Times New Roman" w:hAnsi="Times New Roman" w:cs="Times New Roman"/>
          <w:color w:val="000000"/>
          <w:kern w:val="0"/>
          <w:sz w:val="20"/>
          <w:szCs w:val="20"/>
        </w:rPr>
        <w:t>differentially expressed genes between NCHCC tumor tissue and adjacent tissue.</w:t>
      </w:r>
      <w:r w:rsidR="00EF5D01" w:rsidRPr="00324608">
        <w:rPr>
          <w:rFonts w:ascii="Times New Roman" w:hAnsi="Times New Roman" w:cs="Times New Roman"/>
          <w:color w:val="000000"/>
          <w:kern w:val="0"/>
          <w:sz w:val="20"/>
          <w:szCs w:val="20"/>
        </w:rPr>
        <w:t xml:space="preserve"> </w:t>
      </w:r>
      <w:r w:rsidR="00EF5D01" w:rsidRPr="00324608">
        <w:rPr>
          <w:rFonts w:ascii="Times New Roman" w:hAnsi="Times New Roman" w:cs="Times New Roman"/>
          <w:color w:val="000000"/>
          <w:sz w:val="20"/>
          <w:szCs w:val="20"/>
        </w:rPr>
        <w:t xml:space="preserve">NCHCC, non-cirrhotic hepatocellular carcinoma; </w:t>
      </w:r>
      <w:r w:rsidR="00EF5D01" w:rsidRPr="00324608">
        <w:rPr>
          <w:rFonts w:ascii="Times New Roman" w:hAnsi="Times New Roman" w:cs="Times New Roman"/>
          <w:color w:val="000000"/>
          <w:kern w:val="0"/>
          <w:sz w:val="20"/>
          <w:szCs w:val="20"/>
        </w:rPr>
        <w:t>DEGs, differently expression genes</w:t>
      </w:r>
      <w:r w:rsidR="00EF5D01" w:rsidRPr="00324608">
        <w:rPr>
          <w:rFonts w:ascii="Times New Roman" w:hAnsi="Times New Roman" w:cs="Times New Roman"/>
          <w:color w:val="000000"/>
          <w:sz w:val="20"/>
          <w:szCs w:val="20"/>
        </w:rPr>
        <w:t>.</w:t>
      </w:r>
    </w:p>
    <w:p w14:paraId="5AE8FCAA" w14:textId="77777777" w:rsidR="00FD7418" w:rsidRPr="00324608" w:rsidRDefault="00FD7418">
      <w:pPr>
        <w:spacing w:line="480" w:lineRule="auto"/>
        <w:rPr>
          <w:rFonts w:ascii="Times New Roman" w:hAnsi="Times New Roman" w:cs="Times New Roman"/>
          <w:color w:val="000000"/>
          <w:sz w:val="20"/>
          <w:szCs w:val="20"/>
        </w:rPr>
      </w:pPr>
    </w:p>
    <w:p w14:paraId="1332D607" w14:textId="77777777" w:rsidR="00FD7418" w:rsidRPr="00324608" w:rsidRDefault="00FD7418">
      <w:pPr>
        <w:spacing w:line="480" w:lineRule="auto"/>
        <w:rPr>
          <w:rFonts w:ascii="Times New Roman" w:hAnsi="Times New Roman" w:cs="Times New Roman"/>
          <w:color w:val="000000"/>
          <w:sz w:val="20"/>
          <w:szCs w:val="20"/>
        </w:rPr>
      </w:pPr>
    </w:p>
    <w:p w14:paraId="3FE446EF" w14:textId="77777777" w:rsidR="00FD7418" w:rsidRPr="00324608" w:rsidRDefault="00FD7418">
      <w:pPr>
        <w:spacing w:line="480" w:lineRule="auto"/>
        <w:rPr>
          <w:rFonts w:ascii="Times New Roman" w:hAnsi="Times New Roman" w:cs="Times New Roman"/>
          <w:color w:val="000000"/>
          <w:sz w:val="20"/>
          <w:szCs w:val="20"/>
        </w:rPr>
      </w:pPr>
    </w:p>
    <w:p w14:paraId="2257B3A7" w14:textId="77777777" w:rsidR="00FD7418" w:rsidRPr="00324608" w:rsidRDefault="00FD7418">
      <w:pPr>
        <w:spacing w:line="480" w:lineRule="auto"/>
        <w:rPr>
          <w:rFonts w:ascii="Times New Roman" w:hAnsi="Times New Roman" w:cs="Times New Roman"/>
          <w:color w:val="000000"/>
          <w:sz w:val="20"/>
          <w:szCs w:val="20"/>
        </w:rPr>
      </w:pPr>
    </w:p>
    <w:p w14:paraId="5978BFA8" w14:textId="77777777" w:rsidR="00FD7418" w:rsidRPr="00324608" w:rsidRDefault="00FD7418">
      <w:pPr>
        <w:spacing w:line="480" w:lineRule="auto"/>
        <w:rPr>
          <w:rFonts w:ascii="Times New Roman" w:hAnsi="Times New Roman" w:cs="Times New Roman"/>
          <w:color w:val="000000"/>
          <w:sz w:val="20"/>
          <w:szCs w:val="20"/>
        </w:rPr>
      </w:pPr>
    </w:p>
    <w:p w14:paraId="3AA117DE" w14:textId="77777777" w:rsidR="00D61A8D" w:rsidRPr="00324608" w:rsidRDefault="00D61A8D">
      <w:pPr>
        <w:spacing w:line="480" w:lineRule="auto"/>
        <w:rPr>
          <w:rFonts w:ascii="Times New Roman" w:hAnsi="Times New Roman" w:cs="Times New Roman"/>
          <w:color w:val="000000"/>
          <w:sz w:val="20"/>
          <w:szCs w:val="20"/>
        </w:rPr>
      </w:pPr>
    </w:p>
    <w:p w14:paraId="71EA4C2B" w14:textId="77777777" w:rsidR="00D61A8D" w:rsidRPr="00324608" w:rsidRDefault="00D61A8D">
      <w:pPr>
        <w:spacing w:line="480" w:lineRule="auto"/>
        <w:rPr>
          <w:rFonts w:ascii="Times New Roman" w:hAnsi="Times New Roman" w:cs="Times New Roman"/>
          <w:color w:val="000000"/>
          <w:sz w:val="20"/>
          <w:szCs w:val="20"/>
        </w:rPr>
      </w:pPr>
    </w:p>
    <w:p w14:paraId="6F70D34C" w14:textId="77777777" w:rsidR="00D61A8D" w:rsidRPr="00324608" w:rsidRDefault="00D61A8D">
      <w:pPr>
        <w:spacing w:line="480" w:lineRule="auto"/>
        <w:rPr>
          <w:rFonts w:ascii="Times New Roman" w:hAnsi="Times New Roman" w:cs="Times New Roman"/>
          <w:color w:val="000000"/>
          <w:sz w:val="20"/>
          <w:szCs w:val="20"/>
        </w:rPr>
      </w:pPr>
    </w:p>
    <w:p w14:paraId="49F14111" w14:textId="77777777" w:rsidR="00D61A8D" w:rsidRPr="00324608" w:rsidRDefault="00D61A8D">
      <w:pPr>
        <w:spacing w:line="480" w:lineRule="auto"/>
        <w:rPr>
          <w:rFonts w:ascii="Times New Roman" w:hAnsi="Times New Roman" w:cs="Times New Roman"/>
          <w:color w:val="000000"/>
          <w:sz w:val="20"/>
          <w:szCs w:val="20"/>
        </w:rPr>
      </w:pPr>
    </w:p>
    <w:p w14:paraId="053184FA" w14:textId="77777777" w:rsidR="00FD7418" w:rsidRPr="00324608" w:rsidRDefault="00FD7418">
      <w:pPr>
        <w:spacing w:line="480" w:lineRule="auto"/>
        <w:rPr>
          <w:rFonts w:ascii="Times New Roman" w:hAnsi="Times New Roman" w:cs="Times New Roman"/>
          <w:color w:val="000000"/>
          <w:sz w:val="20"/>
          <w:szCs w:val="20"/>
        </w:rPr>
      </w:pPr>
    </w:p>
    <w:p w14:paraId="0DB111F9" w14:textId="61BFB2CE" w:rsidR="00FD7418" w:rsidRPr="00324608" w:rsidRDefault="00D61A8D">
      <w:pPr>
        <w:spacing w:line="480" w:lineRule="auto"/>
        <w:rPr>
          <w:rFonts w:ascii="Times New Roman" w:hAnsi="Times New Roman" w:cs="Times New Roman"/>
          <w:color w:val="000000"/>
          <w:kern w:val="0"/>
          <w:sz w:val="20"/>
          <w:szCs w:val="20"/>
        </w:rPr>
      </w:pPr>
      <w:r w:rsidRPr="00324608">
        <w:rPr>
          <w:rFonts w:ascii="Times New Roman" w:hAnsi="Times New Roman" w:cs="Times New Roman"/>
          <w:color w:val="000000"/>
          <w:kern w:val="0"/>
          <w:sz w:val="20"/>
          <w:szCs w:val="20"/>
        </w:rPr>
        <w:lastRenderedPageBreak/>
        <w:drawing>
          <wp:inline distT="0" distB="0" distL="0" distR="0" wp14:anchorId="123B831F" wp14:editId="01AFBFB7">
            <wp:extent cx="5274310" cy="4128135"/>
            <wp:effectExtent l="0" t="0" r="2540" b="5715"/>
            <wp:docPr id="670947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47494" name="Picture 6709474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128135"/>
                    </a:xfrm>
                    <a:prstGeom prst="rect">
                      <a:avLst/>
                    </a:prstGeom>
                  </pic:spPr>
                </pic:pic>
              </a:graphicData>
            </a:graphic>
          </wp:inline>
        </w:drawing>
      </w:r>
    </w:p>
    <w:p w14:paraId="411DA10C" w14:textId="6C6F9873" w:rsidR="00DC52EC" w:rsidRPr="00324608" w:rsidRDefault="00324608">
      <w:pPr>
        <w:spacing w:line="480" w:lineRule="auto"/>
        <w:rPr>
          <w:rFonts w:ascii="Times New Roman" w:hAnsi="Times New Roman" w:cs="Times New Roman"/>
          <w:color w:val="000000"/>
          <w:sz w:val="20"/>
          <w:szCs w:val="20"/>
        </w:rPr>
      </w:pPr>
      <w:r w:rsidRPr="00324608">
        <w:rPr>
          <w:rFonts w:ascii="Times New Roman" w:hAnsi="Times New Roman" w:cs="Times New Roman"/>
          <w:b/>
          <w:bCs/>
          <w:color w:val="000000"/>
          <w:kern w:val="0"/>
          <w:sz w:val="20"/>
          <w:szCs w:val="20"/>
        </w:rPr>
        <w:t>Figure S</w:t>
      </w:r>
      <w:r w:rsidRPr="00324608">
        <w:rPr>
          <w:rFonts w:ascii="Times New Roman" w:hAnsi="Times New Roman" w:cs="Times New Roman" w:hint="eastAsia"/>
          <w:b/>
          <w:bCs/>
          <w:color w:val="000000"/>
          <w:kern w:val="0"/>
          <w:sz w:val="20"/>
          <w:szCs w:val="20"/>
        </w:rPr>
        <w:t>3</w:t>
      </w:r>
      <w:r w:rsidRPr="00324608">
        <w:rPr>
          <w:rFonts w:ascii="Times New Roman" w:hAnsi="Times New Roman" w:cs="Times New Roman"/>
          <w:color w:val="000000"/>
          <w:kern w:val="0"/>
          <w:sz w:val="20"/>
          <w:szCs w:val="20"/>
        </w:rPr>
        <w:t xml:space="preserve"> Analyses of immune and </w:t>
      </w:r>
      <w:r w:rsidRPr="00324608">
        <w:rPr>
          <w:rFonts w:ascii="Times New Roman" w:hAnsi="Times New Roman" w:cs="Times New Roman"/>
          <w:color w:val="000000"/>
          <w:sz w:val="20"/>
          <w:szCs w:val="20"/>
        </w:rPr>
        <w:t>clinical features</w:t>
      </w:r>
      <w:r w:rsidRPr="00324608">
        <w:rPr>
          <w:rFonts w:ascii="Times New Roman" w:hAnsi="Times New Roman" w:cs="Times New Roman"/>
          <w:color w:val="000000"/>
          <w:kern w:val="0"/>
          <w:sz w:val="20"/>
          <w:szCs w:val="20"/>
        </w:rPr>
        <w:t xml:space="preserve"> in different risk groups. (a) The relationship between 14 immune signaling pathways. (b) The correlation between fraction of Mast cells resting and risk score. (c) The relationship of immune checkpoints in high- and low-risk groups. (d) The relationship of HLA-related genes. (e</w:t>
      </w:r>
      <w:r w:rsidR="00244C7C" w:rsidRPr="00324608">
        <w:rPr>
          <w:rFonts w:ascii="Times New Roman" w:hAnsi="Times New Roman" w:cs="Times New Roman"/>
          <w:color w:val="000000"/>
          <w:kern w:val="0"/>
          <w:sz w:val="20"/>
          <w:szCs w:val="20"/>
        </w:rPr>
        <w:t>-f</w:t>
      </w:r>
      <w:r w:rsidRPr="00324608">
        <w:rPr>
          <w:rFonts w:ascii="Times New Roman" w:hAnsi="Times New Roman" w:cs="Times New Roman"/>
          <w:color w:val="000000"/>
          <w:kern w:val="0"/>
          <w:sz w:val="20"/>
          <w:szCs w:val="20"/>
        </w:rPr>
        <w:t>) Risk score distribution at different grade stages</w:t>
      </w:r>
      <w:r w:rsidR="00244C7C" w:rsidRPr="00324608">
        <w:rPr>
          <w:rFonts w:ascii="Times New Roman" w:hAnsi="Times New Roman" w:cs="Times New Roman"/>
          <w:color w:val="000000"/>
          <w:kern w:val="0"/>
          <w:sz w:val="20"/>
          <w:szCs w:val="20"/>
        </w:rPr>
        <w:t>(e)</w:t>
      </w:r>
      <w:r w:rsidRPr="00324608">
        <w:rPr>
          <w:rFonts w:ascii="Times New Roman" w:hAnsi="Times New Roman" w:cs="Times New Roman"/>
          <w:color w:val="000000"/>
          <w:kern w:val="0"/>
          <w:sz w:val="20"/>
          <w:szCs w:val="20"/>
        </w:rPr>
        <w:t xml:space="preserve"> and the heatmap of 7 </w:t>
      </w:r>
      <w:r w:rsidRPr="00324608">
        <w:rPr>
          <w:rFonts w:ascii="Times New Roman" w:hAnsi="Times New Roman" w:cs="Times New Roman"/>
          <w:color w:val="000000"/>
          <w:sz w:val="20"/>
          <w:szCs w:val="20"/>
        </w:rPr>
        <w:t>clinical features</w:t>
      </w:r>
      <w:r w:rsidRPr="00324608">
        <w:rPr>
          <w:rFonts w:ascii="Times New Roman" w:hAnsi="Times New Roman" w:cs="Times New Roman"/>
          <w:color w:val="000000"/>
          <w:kern w:val="0"/>
          <w:sz w:val="20"/>
          <w:szCs w:val="20"/>
        </w:rPr>
        <w:t xml:space="preserve"> between </w:t>
      </w:r>
      <w:bookmarkStart w:id="0" w:name="_Hlk126770119"/>
      <w:r w:rsidRPr="00324608">
        <w:rPr>
          <w:rFonts w:ascii="Times New Roman" w:hAnsi="Times New Roman" w:cs="Times New Roman"/>
          <w:color w:val="000000"/>
          <w:kern w:val="0"/>
          <w:sz w:val="20"/>
          <w:szCs w:val="20"/>
        </w:rPr>
        <w:t>different risk groups</w:t>
      </w:r>
      <w:bookmarkEnd w:id="0"/>
      <w:r w:rsidR="00244C7C" w:rsidRPr="00324608">
        <w:rPr>
          <w:rFonts w:ascii="Times New Roman" w:hAnsi="Times New Roman" w:cs="Times New Roman"/>
          <w:color w:val="000000"/>
          <w:kern w:val="0"/>
          <w:sz w:val="20"/>
          <w:szCs w:val="20"/>
        </w:rPr>
        <w:t>(f)</w:t>
      </w:r>
      <w:r w:rsidRPr="00324608">
        <w:rPr>
          <w:rFonts w:ascii="Times New Roman" w:hAnsi="Times New Roman" w:cs="Times New Roman"/>
          <w:color w:val="000000"/>
          <w:kern w:val="0"/>
          <w:sz w:val="20"/>
          <w:szCs w:val="20"/>
        </w:rPr>
        <w:t>. * P &lt; 0.05.</w:t>
      </w:r>
    </w:p>
    <w:sectPr w:rsidR="00DC52EC" w:rsidRPr="00324608">
      <w:footerReference w:type="even" r:id="rId9"/>
      <w:footerReference w:type="default" r:id="rId10"/>
      <w:foot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76761" w14:textId="77777777" w:rsidR="00F23376" w:rsidRDefault="00F23376" w:rsidP="00020CCD">
      <w:r>
        <w:separator/>
      </w:r>
    </w:p>
  </w:endnote>
  <w:endnote w:type="continuationSeparator" w:id="0">
    <w:p w14:paraId="6FCFD09F" w14:textId="77777777" w:rsidR="00F23376" w:rsidRDefault="00F23376" w:rsidP="00020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79813" w14:textId="6E217A17" w:rsidR="00A20ACD" w:rsidRDefault="00A20ACD">
    <w:pPr>
      <w:pStyle w:val="Footer"/>
    </w:pPr>
    <w:r>
      <w:rPr>
        <w:noProof/>
      </w:rPr>
      <mc:AlternateContent>
        <mc:Choice Requires="wps">
          <w:drawing>
            <wp:anchor distT="0" distB="0" distL="0" distR="0" simplePos="0" relativeHeight="251659264" behindDoc="0" locked="0" layoutInCell="1" allowOverlap="1" wp14:anchorId="1555AC82" wp14:editId="14A1A479">
              <wp:simplePos x="635" y="635"/>
              <wp:positionH relativeFrom="page">
                <wp:align>left</wp:align>
              </wp:positionH>
              <wp:positionV relativeFrom="page">
                <wp:align>bottom</wp:align>
              </wp:positionV>
              <wp:extent cx="443865" cy="443865"/>
              <wp:effectExtent l="0" t="0" r="18415" b="0"/>
              <wp:wrapNone/>
              <wp:docPr id="925781929"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230D16" w14:textId="05B9E368" w:rsidR="00A20ACD" w:rsidRPr="00A20ACD" w:rsidRDefault="00A20ACD" w:rsidP="00A20ACD">
                          <w:pPr>
                            <w:rPr>
                              <w:rFonts w:ascii="Rockwell" w:eastAsia="Rockwell" w:hAnsi="Rockwell" w:cs="Rockwell"/>
                              <w:noProof/>
                              <w:color w:val="0078D7"/>
                              <w:sz w:val="18"/>
                              <w:szCs w:val="18"/>
                            </w:rPr>
                          </w:pPr>
                          <w:r w:rsidRPr="00A20AC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55AC82"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32230D16" w14:textId="05B9E368" w:rsidR="00A20ACD" w:rsidRPr="00A20ACD" w:rsidRDefault="00A20ACD" w:rsidP="00A20ACD">
                    <w:pPr>
                      <w:rPr>
                        <w:rFonts w:ascii="Rockwell" w:eastAsia="Rockwell" w:hAnsi="Rockwell" w:cs="Rockwell"/>
                        <w:noProof/>
                        <w:color w:val="0078D7"/>
                        <w:sz w:val="18"/>
                        <w:szCs w:val="18"/>
                      </w:rPr>
                    </w:pPr>
                    <w:r w:rsidRPr="00A20AC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BDB1" w14:textId="6D2921CA" w:rsidR="00A20ACD" w:rsidRDefault="00A20ACD">
    <w:pPr>
      <w:pStyle w:val="Footer"/>
    </w:pPr>
    <w:r>
      <w:rPr>
        <w:noProof/>
      </w:rPr>
      <mc:AlternateContent>
        <mc:Choice Requires="wps">
          <w:drawing>
            <wp:anchor distT="0" distB="0" distL="0" distR="0" simplePos="0" relativeHeight="251660288" behindDoc="0" locked="0" layoutInCell="1" allowOverlap="1" wp14:anchorId="5E022776" wp14:editId="042C8CA4">
              <wp:simplePos x="1146313" y="9906000"/>
              <wp:positionH relativeFrom="page">
                <wp:align>left</wp:align>
              </wp:positionH>
              <wp:positionV relativeFrom="page">
                <wp:align>bottom</wp:align>
              </wp:positionV>
              <wp:extent cx="443865" cy="443865"/>
              <wp:effectExtent l="0" t="0" r="18415" b="0"/>
              <wp:wrapNone/>
              <wp:docPr id="214165644"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3CB905" w14:textId="1A92C9DD" w:rsidR="00A20ACD" w:rsidRPr="00A20ACD" w:rsidRDefault="00A20ACD" w:rsidP="00A20ACD">
                          <w:pPr>
                            <w:rPr>
                              <w:rFonts w:ascii="Rockwell" w:eastAsia="Rockwell" w:hAnsi="Rockwell" w:cs="Rockwell"/>
                              <w:noProof/>
                              <w:color w:val="0078D7"/>
                              <w:sz w:val="18"/>
                              <w:szCs w:val="18"/>
                            </w:rPr>
                          </w:pPr>
                          <w:r w:rsidRPr="00A20AC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E022776"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1E3CB905" w14:textId="1A92C9DD" w:rsidR="00A20ACD" w:rsidRPr="00A20ACD" w:rsidRDefault="00A20ACD" w:rsidP="00A20ACD">
                    <w:pPr>
                      <w:rPr>
                        <w:rFonts w:ascii="Rockwell" w:eastAsia="Rockwell" w:hAnsi="Rockwell" w:cs="Rockwell"/>
                        <w:noProof/>
                        <w:color w:val="0078D7"/>
                        <w:sz w:val="18"/>
                        <w:szCs w:val="18"/>
                      </w:rPr>
                    </w:pPr>
                    <w:r w:rsidRPr="00A20AC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0F45" w14:textId="6AE8FC9E" w:rsidR="00A20ACD" w:rsidRDefault="00A20ACD">
    <w:pPr>
      <w:pStyle w:val="Footer"/>
    </w:pPr>
    <w:r>
      <w:rPr>
        <w:noProof/>
      </w:rPr>
      <mc:AlternateContent>
        <mc:Choice Requires="wps">
          <w:drawing>
            <wp:anchor distT="0" distB="0" distL="0" distR="0" simplePos="0" relativeHeight="251658240" behindDoc="0" locked="0" layoutInCell="1" allowOverlap="1" wp14:anchorId="0730200E" wp14:editId="6FDA22EE">
              <wp:simplePos x="635" y="635"/>
              <wp:positionH relativeFrom="page">
                <wp:align>left</wp:align>
              </wp:positionH>
              <wp:positionV relativeFrom="page">
                <wp:align>bottom</wp:align>
              </wp:positionV>
              <wp:extent cx="443865" cy="443865"/>
              <wp:effectExtent l="0" t="0" r="18415" b="0"/>
              <wp:wrapNone/>
              <wp:docPr id="620019921"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F2AA3F" w14:textId="087A0B02" w:rsidR="00A20ACD" w:rsidRPr="00A20ACD" w:rsidRDefault="00A20ACD" w:rsidP="00A20ACD">
                          <w:pPr>
                            <w:rPr>
                              <w:rFonts w:ascii="Rockwell" w:eastAsia="Rockwell" w:hAnsi="Rockwell" w:cs="Rockwell"/>
                              <w:noProof/>
                              <w:color w:val="0078D7"/>
                              <w:sz w:val="18"/>
                              <w:szCs w:val="18"/>
                            </w:rPr>
                          </w:pPr>
                          <w:r w:rsidRPr="00A20AC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730200E"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50F2AA3F" w14:textId="087A0B02" w:rsidR="00A20ACD" w:rsidRPr="00A20ACD" w:rsidRDefault="00A20ACD" w:rsidP="00A20ACD">
                    <w:pPr>
                      <w:rPr>
                        <w:rFonts w:ascii="Rockwell" w:eastAsia="Rockwell" w:hAnsi="Rockwell" w:cs="Rockwell"/>
                        <w:noProof/>
                        <w:color w:val="0078D7"/>
                        <w:sz w:val="18"/>
                        <w:szCs w:val="18"/>
                      </w:rPr>
                    </w:pPr>
                    <w:r w:rsidRPr="00A20AC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34FAC" w14:textId="77777777" w:rsidR="00F23376" w:rsidRDefault="00F23376" w:rsidP="00020CCD">
      <w:r>
        <w:separator/>
      </w:r>
    </w:p>
  </w:footnote>
  <w:footnote w:type="continuationSeparator" w:id="0">
    <w:p w14:paraId="155DFA16" w14:textId="77777777" w:rsidR="00F23376" w:rsidRDefault="00F23376" w:rsidP="00020C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bordersDoNotSurroundHeader/>
  <w:bordersDoNotSurroundFooter/>
  <w:doNotTrackFormatting/>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E1ZDg0YTdhZDYxZTJmNTBlNTA3ZGEwYTY4ZDZiYWQifQ=="/>
  </w:docVars>
  <w:rsids>
    <w:rsidRoot w:val="00302550"/>
    <w:rsid w:val="00020CCD"/>
    <w:rsid w:val="00051377"/>
    <w:rsid w:val="00145E44"/>
    <w:rsid w:val="00235FD1"/>
    <w:rsid w:val="00244C7C"/>
    <w:rsid w:val="00302550"/>
    <w:rsid w:val="00304221"/>
    <w:rsid w:val="00324608"/>
    <w:rsid w:val="003F17A6"/>
    <w:rsid w:val="006003DD"/>
    <w:rsid w:val="00680033"/>
    <w:rsid w:val="00813224"/>
    <w:rsid w:val="008215F5"/>
    <w:rsid w:val="00824EFE"/>
    <w:rsid w:val="008D5A15"/>
    <w:rsid w:val="00A20ACD"/>
    <w:rsid w:val="00A543AC"/>
    <w:rsid w:val="00AA0ABD"/>
    <w:rsid w:val="00B67D01"/>
    <w:rsid w:val="00CB639F"/>
    <w:rsid w:val="00D22986"/>
    <w:rsid w:val="00D61A8D"/>
    <w:rsid w:val="00D63CED"/>
    <w:rsid w:val="00DC52EC"/>
    <w:rsid w:val="00E4048B"/>
    <w:rsid w:val="00EF5D01"/>
    <w:rsid w:val="00F23376"/>
    <w:rsid w:val="00F71F6A"/>
    <w:rsid w:val="00FD7418"/>
    <w:rsid w:val="4D175D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29EE9"/>
  <w15:docId w15:val="{06DC8377-7AF8-4269-AF97-95D56CB12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rPr>
      <w:sz w:val="18"/>
      <w:szCs w:val="18"/>
    </w:rPr>
  </w:style>
  <w:style w:type="character" w:styleId="CommentReference">
    <w:name w:val="annotation reference"/>
    <w:basedOn w:val="DefaultParagraphFont"/>
    <w:uiPriority w:val="99"/>
    <w:semiHidden/>
    <w:unhideWhenUsed/>
    <w:rsid w:val="00235FD1"/>
    <w:rPr>
      <w:sz w:val="16"/>
      <w:szCs w:val="16"/>
    </w:rPr>
  </w:style>
  <w:style w:type="paragraph" w:styleId="CommentText">
    <w:name w:val="annotation text"/>
    <w:basedOn w:val="Normal"/>
    <w:link w:val="CommentTextChar"/>
    <w:uiPriority w:val="99"/>
    <w:unhideWhenUsed/>
    <w:rsid w:val="00235FD1"/>
    <w:rPr>
      <w:sz w:val="20"/>
      <w:szCs w:val="20"/>
    </w:rPr>
  </w:style>
  <w:style w:type="character" w:customStyle="1" w:styleId="CommentTextChar">
    <w:name w:val="Comment Text Char"/>
    <w:basedOn w:val="DefaultParagraphFont"/>
    <w:link w:val="CommentText"/>
    <w:uiPriority w:val="99"/>
    <w:rsid w:val="00235FD1"/>
    <w:rPr>
      <w:kern w:val="2"/>
    </w:rPr>
  </w:style>
  <w:style w:type="paragraph" w:styleId="CommentSubject">
    <w:name w:val="annotation subject"/>
    <w:basedOn w:val="CommentText"/>
    <w:next w:val="CommentText"/>
    <w:link w:val="CommentSubjectChar"/>
    <w:uiPriority w:val="99"/>
    <w:semiHidden/>
    <w:unhideWhenUsed/>
    <w:rsid w:val="00235FD1"/>
    <w:rPr>
      <w:b/>
      <w:bCs/>
    </w:rPr>
  </w:style>
  <w:style w:type="character" w:customStyle="1" w:styleId="CommentSubjectChar">
    <w:name w:val="Comment Subject Char"/>
    <w:basedOn w:val="CommentTextChar"/>
    <w:link w:val="CommentSubject"/>
    <w:uiPriority w:val="99"/>
    <w:semiHidden/>
    <w:rsid w:val="00235FD1"/>
    <w:rPr>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130</Words>
  <Characters>745</Characters>
  <Application>Microsoft Office Word</Application>
  <DocSecurity>0</DocSecurity>
  <Lines>6</Lines>
  <Paragraphs>1</Paragraphs>
  <ScaleCrop>false</ScaleCrop>
  <Company/>
  <LinksUpToDate>false</LinksUpToDate>
  <CharactersWithSpaces>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龚 娇娇</dc:creator>
  <cp:lastModifiedBy>Shaw, Grace</cp:lastModifiedBy>
  <cp:revision>2</cp:revision>
  <dcterms:created xsi:type="dcterms:W3CDTF">2023-09-10T20:51:00Z</dcterms:created>
  <dcterms:modified xsi:type="dcterms:W3CDTF">2023-09-10T20:51:00Z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2A96D18B8C2A4A19A3ED1EBE4A88971D_12</vt:lpwstr>
  </property>
  <property fmtid="{D5CDD505-2E9C-101B-9397-08002B2CF9AE}" pid="4" name="ClassificationContentMarkingFooterShapeIds">
    <vt:lpwstr>24f4c0d1,372e4fa9,cc3e88c</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2023-08-23T04:51:12Z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7abb5b2a-04f2-4de8-84ce-9f846f953817</vt:lpwstr>
  </property>
  <property fmtid="{D5CDD505-2E9C-101B-9397-08002B2CF9AE}" pid="13" name="MSIP_Label_2bbab825-a111-45e4-86a1-18cee0005896_ContentBits">
    <vt:lpwstr>2</vt:lpwstr>
  </property>
</Properties>
</file>