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3CE11" w14:textId="57C1A8E4" w:rsidR="00103B3B" w:rsidRDefault="00431E79" w:rsidP="00431E79">
      <w:pPr>
        <w:spacing w:after="0" w:line="360" w:lineRule="auto"/>
        <w:jc w:val="both"/>
        <w:rPr>
          <w:rFonts w:cstheme="minorHAnsi"/>
          <w:b/>
          <w:lang w:val="en-GB"/>
        </w:rPr>
      </w:pPr>
      <w:r w:rsidRPr="00431E79">
        <w:rPr>
          <w:rFonts w:cstheme="minorHAnsi"/>
          <w:b/>
          <w:lang w:val="en-GB"/>
        </w:rPr>
        <w:t>Supplementary methods</w:t>
      </w:r>
    </w:p>
    <w:p w14:paraId="3EFEBD4F" w14:textId="77777777" w:rsidR="00431E79" w:rsidRPr="00116EF5" w:rsidRDefault="00431E79" w:rsidP="00431E79">
      <w:pPr>
        <w:pStyle w:val="Heading3"/>
        <w:spacing w:before="0" w:line="360" w:lineRule="auto"/>
        <w:jc w:val="both"/>
        <w:rPr>
          <w:rFonts w:cstheme="minorHAnsi"/>
          <w:szCs w:val="22"/>
          <w:lang w:val="en-GB"/>
        </w:rPr>
      </w:pPr>
      <w:r w:rsidRPr="00116EF5">
        <w:rPr>
          <w:rFonts w:cstheme="minorHAnsi"/>
          <w:szCs w:val="22"/>
          <w:lang w:val="en-GB"/>
        </w:rPr>
        <w:t xml:space="preserve">Reagents for </w:t>
      </w:r>
      <w:r w:rsidRPr="00116EF5">
        <w:rPr>
          <w:rFonts w:cstheme="minorHAnsi"/>
          <w:i/>
          <w:szCs w:val="22"/>
          <w:lang w:val="en-GB"/>
        </w:rPr>
        <w:t>in vivo</w:t>
      </w:r>
      <w:r w:rsidRPr="00116EF5">
        <w:rPr>
          <w:rFonts w:cstheme="minorHAnsi"/>
          <w:szCs w:val="22"/>
          <w:lang w:val="en-GB"/>
        </w:rPr>
        <w:t xml:space="preserve"> experiments</w:t>
      </w:r>
    </w:p>
    <w:p w14:paraId="4DB14947" w14:textId="61B3B357" w:rsidR="00431E79" w:rsidRDefault="00431E79" w:rsidP="00431E79">
      <w:pPr>
        <w:spacing w:line="360" w:lineRule="auto"/>
        <w:jc w:val="both"/>
        <w:rPr>
          <w:rFonts w:cstheme="minorHAnsi"/>
          <w:noProof/>
          <w:lang w:val="en-GB" w:eastAsia="sv-SE"/>
        </w:rPr>
      </w:pPr>
      <w:r w:rsidRPr="00116EF5">
        <w:rPr>
          <w:rFonts w:cstheme="minorHAnsi"/>
          <w:noProof/>
          <w:lang w:val="en-GB" w:eastAsia="sv-SE"/>
        </w:rPr>
        <w:t>Genexol®-PM (monomethoxy poly(ethylene glycol)-block-poly (D,L-lactide) – PTX ; mPEG-PDLLA-PTX; mic-PTX) was purchased from Samyang Biopharmaceuticals Corporatio</w:t>
      </w:r>
      <w:r>
        <w:rPr>
          <w:rFonts w:cstheme="minorHAnsi"/>
          <w:noProof/>
          <w:lang w:val="en-GB" w:eastAsia="sv-SE"/>
        </w:rPr>
        <w:t>n</w:t>
      </w:r>
      <w:r w:rsidRPr="00116EF5">
        <w:rPr>
          <w:rFonts w:cstheme="minorHAnsi"/>
          <w:noProof/>
          <w:lang w:val="en-GB" w:eastAsia="sv-SE"/>
        </w:rPr>
        <w:t xml:space="preserve"> (Seoul, Korea) and Abraxane® (albumin-boun</w:t>
      </w:r>
      <w:r>
        <w:rPr>
          <w:rFonts w:cstheme="minorHAnsi"/>
          <w:noProof/>
          <w:lang w:val="en-GB" w:eastAsia="sv-SE"/>
        </w:rPr>
        <w:t>d</w:t>
      </w:r>
      <w:r w:rsidRPr="00116EF5">
        <w:rPr>
          <w:rFonts w:cstheme="minorHAnsi"/>
          <w:noProof/>
          <w:lang w:val="en-GB" w:eastAsia="sv-SE"/>
        </w:rPr>
        <w:t xml:space="preserve"> PTX; nab-PTX) from Celgene (New Jersey, USA). For the </w:t>
      </w:r>
      <w:r w:rsidRPr="00116EF5">
        <w:rPr>
          <w:rFonts w:cstheme="minorHAnsi"/>
          <w:i/>
          <w:noProof/>
          <w:lang w:val="en-GB" w:eastAsia="sv-SE"/>
        </w:rPr>
        <w:t>in vivo</w:t>
      </w:r>
      <w:r w:rsidRPr="00116EF5">
        <w:rPr>
          <w:rFonts w:cstheme="minorHAnsi"/>
          <w:noProof/>
          <w:lang w:val="en-GB" w:eastAsia="sv-SE"/>
        </w:rPr>
        <w:t xml:space="preserve"> experiments</w:t>
      </w:r>
      <w:r>
        <w:rPr>
          <w:rFonts w:cstheme="minorHAnsi"/>
          <w:noProof/>
          <w:lang w:val="en-GB" w:eastAsia="sv-SE"/>
        </w:rPr>
        <w:t>,</w:t>
      </w:r>
      <w:r w:rsidRPr="00116EF5">
        <w:rPr>
          <w:rFonts w:cstheme="minorHAnsi"/>
          <w:noProof/>
          <w:lang w:val="en-GB" w:eastAsia="sv-SE"/>
        </w:rPr>
        <w:t xml:space="preserve"> both were diluted in saline less than 15 minutes prior </w:t>
      </w:r>
      <w:r>
        <w:rPr>
          <w:rFonts w:cstheme="minorHAnsi"/>
          <w:noProof/>
          <w:lang w:val="en-GB" w:eastAsia="sv-SE"/>
        </w:rPr>
        <w:t xml:space="preserve">to </w:t>
      </w:r>
      <w:r w:rsidRPr="00116EF5">
        <w:rPr>
          <w:rFonts w:cstheme="minorHAnsi"/>
          <w:noProof/>
          <w:lang w:val="en-GB" w:eastAsia="sv-SE"/>
        </w:rPr>
        <w:t xml:space="preserve">injection. Isofluran (Forene®, AbbVie, Waver, Belgium), sevofluran (Sevorane®, AbbVie) and 1 mg/ml ketoprofen (Rofenid®, Sanofi Aventis, Diegem, Belgium) were used for anesthesia and analgesia of the animals, respectively. </w:t>
      </w:r>
    </w:p>
    <w:p w14:paraId="3BC8EE51" w14:textId="3A9A7D09" w:rsidR="006B194C" w:rsidRPr="00EC783D" w:rsidRDefault="006B194C" w:rsidP="006B194C">
      <w:pPr>
        <w:spacing w:after="0" w:line="360" w:lineRule="auto"/>
        <w:jc w:val="both"/>
        <w:rPr>
          <w:rFonts w:cstheme="minorHAnsi"/>
          <w:u w:val="single"/>
          <w:lang w:val="en-GB" w:eastAsia="sv-SE"/>
        </w:rPr>
      </w:pPr>
      <w:r w:rsidRPr="00EC783D">
        <w:rPr>
          <w:rFonts w:cstheme="minorHAnsi"/>
          <w:u w:val="single"/>
          <w:lang w:val="en-GB" w:eastAsia="sv-SE"/>
        </w:rPr>
        <w:t>Reagents and chemicals</w:t>
      </w:r>
      <w:r>
        <w:rPr>
          <w:rFonts w:cstheme="minorHAnsi"/>
          <w:u w:val="single"/>
          <w:lang w:val="en-GB" w:eastAsia="sv-SE"/>
        </w:rPr>
        <w:t xml:space="preserve"> for pharmacokinetic analysis</w:t>
      </w:r>
    </w:p>
    <w:p w14:paraId="266B69C0" w14:textId="77777777" w:rsidR="006B194C" w:rsidRPr="00EC783D" w:rsidRDefault="006B194C" w:rsidP="006B194C">
      <w:pPr>
        <w:spacing w:after="0" w:line="360" w:lineRule="auto"/>
        <w:jc w:val="both"/>
        <w:rPr>
          <w:rFonts w:cstheme="minorHAnsi"/>
          <w:lang w:val="en-GB" w:eastAsia="sv-SE"/>
        </w:rPr>
      </w:pPr>
      <w:r w:rsidRPr="00EC783D">
        <w:rPr>
          <w:rFonts w:cstheme="minorHAnsi"/>
          <w:lang w:val="en-GB" w:eastAsia="sv-SE"/>
        </w:rPr>
        <w:t xml:space="preserve">Paclitaxel, 13C6-Paclitaxel (internal standard (IS)), 3'-p-hydroxy-paclitaxel, 6α-hydroxy-paclitaxel, 6α-hydroxy-paclitaxel-d5 (IS), 6α,3'-p-dihydroxy-paclitaxel, and 7-epi-paclitaxel were all purchased from Toronto Research Chemicals (Toronto, Canada). ULC-MS grade water and methanol were obtained from </w:t>
      </w:r>
      <w:proofErr w:type="spellStart"/>
      <w:r w:rsidRPr="00EC783D">
        <w:rPr>
          <w:rFonts w:cstheme="minorHAnsi"/>
          <w:lang w:val="en-GB" w:eastAsia="sv-SE"/>
        </w:rPr>
        <w:t>Biosolve</w:t>
      </w:r>
      <w:proofErr w:type="spellEnd"/>
      <w:r w:rsidRPr="00EC783D">
        <w:rPr>
          <w:rFonts w:cstheme="minorHAnsi"/>
          <w:lang w:val="en-GB" w:eastAsia="sv-SE"/>
        </w:rPr>
        <w:t xml:space="preserve"> (</w:t>
      </w:r>
      <w:proofErr w:type="spellStart"/>
      <w:r w:rsidRPr="00EC783D">
        <w:rPr>
          <w:rFonts w:cstheme="minorHAnsi"/>
          <w:lang w:val="en-GB" w:eastAsia="sv-SE"/>
        </w:rPr>
        <w:t>Valkenswaard</w:t>
      </w:r>
      <w:proofErr w:type="spellEnd"/>
      <w:r w:rsidRPr="00EC783D">
        <w:rPr>
          <w:rFonts w:cstheme="minorHAnsi"/>
          <w:lang w:val="en-GB" w:eastAsia="sv-SE"/>
        </w:rPr>
        <w:t xml:space="preserve">, The Netherlands). The PKI Bioanalysis Card (GR2261004) was supplied </w:t>
      </w:r>
      <w:r>
        <w:rPr>
          <w:rFonts w:cstheme="minorHAnsi"/>
          <w:lang w:val="en-GB" w:eastAsia="sv-SE"/>
        </w:rPr>
        <w:t>by</w:t>
      </w:r>
      <w:r w:rsidRPr="00EC783D">
        <w:rPr>
          <w:rFonts w:cstheme="minorHAnsi"/>
          <w:lang w:val="en-GB" w:eastAsia="sv-SE"/>
        </w:rPr>
        <w:t xml:space="preserve"> PerkinElmer Health Sciences (Greenville, South Carolina, USA). All other solvents or chemicals were</w:t>
      </w:r>
      <w:r>
        <w:rPr>
          <w:rFonts w:cstheme="minorHAnsi"/>
          <w:lang w:val="en-GB" w:eastAsia="sv-SE"/>
        </w:rPr>
        <w:t xml:space="preserve"> at minimum</w:t>
      </w:r>
      <w:r w:rsidRPr="00EC783D">
        <w:rPr>
          <w:rFonts w:cstheme="minorHAnsi"/>
          <w:lang w:val="en-GB" w:eastAsia="sv-SE"/>
        </w:rPr>
        <w:t xml:space="preserve"> analytical grade.</w:t>
      </w:r>
    </w:p>
    <w:p w14:paraId="7549271C" w14:textId="77777777" w:rsidR="006B194C" w:rsidRPr="00EC783D" w:rsidRDefault="006B194C" w:rsidP="006B194C">
      <w:pPr>
        <w:spacing w:after="0" w:line="360" w:lineRule="auto"/>
        <w:jc w:val="both"/>
        <w:rPr>
          <w:rFonts w:cstheme="minorHAnsi"/>
          <w:u w:val="single"/>
          <w:lang w:val="en-GB" w:eastAsia="sv-SE"/>
        </w:rPr>
      </w:pPr>
      <w:r w:rsidRPr="00EC783D">
        <w:rPr>
          <w:rFonts w:cstheme="minorHAnsi"/>
          <w:u w:val="single"/>
          <w:lang w:val="en-GB" w:eastAsia="sv-SE"/>
        </w:rPr>
        <w:t xml:space="preserve">Pharmacokinetic analysis </w:t>
      </w:r>
      <w:r>
        <w:rPr>
          <w:rFonts w:cstheme="minorHAnsi"/>
          <w:u w:val="single"/>
          <w:lang w:val="en-GB" w:eastAsia="sv-SE"/>
        </w:rPr>
        <w:t xml:space="preserve">of </w:t>
      </w:r>
      <w:r w:rsidRPr="00EC783D">
        <w:rPr>
          <w:rFonts w:cstheme="minorHAnsi"/>
          <w:u w:val="single"/>
          <w:lang w:val="en-GB" w:eastAsia="sv-SE"/>
        </w:rPr>
        <w:t xml:space="preserve">nab-PTX  and mic-PTX in plasma and tissue </w:t>
      </w:r>
    </w:p>
    <w:p w14:paraId="126E5C54" w14:textId="77777777" w:rsidR="006B194C" w:rsidRPr="00EC783D" w:rsidRDefault="006B194C" w:rsidP="006B194C">
      <w:pPr>
        <w:spacing w:after="0" w:line="360" w:lineRule="auto"/>
        <w:jc w:val="both"/>
        <w:rPr>
          <w:rFonts w:cstheme="minorHAnsi"/>
          <w:lang w:val="en-GB" w:eastAsia="sv-SE"/>
        </w:rPr>
      </w:pPr>
    </w:p>
    <w:p w14:paraId="2ED8BF6F" w14:textId="77777777" w:rsidR="006B194C" w:rsidRPr="00EC783D" w:rsidRDefault="006B194C" w:rsidP="006B194C">
      <w:pPr>
        <w:spacing w:after="0" w:line="360" w:lineRule="auto"/>
        <w:jc w:val="both"/>
        <w:rPr>
          <w:rFonts w:cstheme="minorHAnsi"/>
          <w:u w:val="single"/>
          <w:lang w:val="en-GB" w:eastAsia="sv-SE"/>
        </w:rPr>
      </w:pPr>
      <w:r w:rsidRPr="00EC783D">
        <w:rPr>
          <w:rFonts w:cstheme="minorHAnsi"/>
          <w:u w:val="single"/>
          <w:lang w:val="en-GB" w:eastAsia="sv-SE"/>
        </w:rPr>
        <w:t>Instrumentation and set-up</w:t>
      </w:r>
    </w:p>
    <w:p w14:paraId="4C34D2A6" w14:textId="77777777" w:rsidR="006B194C" w:rsidRPr="00746C17" w:rsidRDefault="006B194C" w:rsidP="006B194C">
      <w:pPr>
        <w:spacing w:after="0" w:line="360" w:lineRule="auto"/>
        <w:jc w:val="both"/>
        <w:rPr>
          <w:rFonts w:cstheme="minorHAnsi"/>
          <w:i/>
          <w:lang w:val="en-GB" w:eastAsia="sv-SE"/>
        </w:rPr>
      </w:pPr>
      <w:r w:rsidRPr="00746C17">
        <w:rPr>
          <w:rFonts w:cstheme="minorHAnsi"/>
          <w:i/>
          <w:lang w:val="en-GB" w:eastAsia="sv-SE"/>
        </w:rPr>
        <w:t>UHPLC-MS/MS</w:t>
      </w:r>
    </w:p>
    <w:p w14:paraId="21821587" w14:textId="77777777" w:rsidR="006B194C" w:rsidRPr="00EC783D" w:rsidRDefault="006B194C" w:rsidP="006B194C">
      <w:pPr>
        <w:spacing w:after="0" w:line="360" w:lineRule="auto"/>
        <w:jc w:val="both"/>
        <w:rPr>
          <w:rFonts w:cstheme="minorHAnsi"/>
          <w:lang w:val="en-GB" w:eastAsia="sv-SE"/>
        </w:rPr>
      </w:pPr>
      <w:r w:rsidRPr="00EC783D">
        <w:rPr>
          <w:rFonts w:cstheme="minorHAnsi"/>
          <w:lang w:val="en-GB" w:eastAsia="sv-SE"/>
        </w:rPr>
        <w:t xml:space="preserve">An </w:t>
      </w:r>
      <w:proofErr w:type="spellStart"/>
      <w:r w:rsidRPr="00EC783D">
        <w:rPr>
          <w:rFonts w:cstheme="minorHAnsi"/>
          <w:lang w:val="en-GB" w:eastAsia="sv-SE"/>
        </w:rPr>
        <w:t>Acquity</w:t>
      </w:r>
      <w:proofErr w:type="spellEnd"/>
      <w:r w:rsidRPr="00EC783D">
        <w:rPr>
          <w:rFonts w:cstheme="minorHAnsi"/>
          <w:lang w:val="en-GB" w:eastAsia="sv-SE"/>
        </w:rPr>
        <w:t xml:space="preserve"> BEH C18 column (50 × 2.1 mm, 1.7 </w:t>
      </w:r>
      <w:proofErr w:type="spellStart"/>
      <w:r w:rsidRPr="00EC783D">
        <w:rPr>
          <w:rFonts w:cstheme="minorHAnsi"/>
          <w:lang w:val="en-GB" w:eastAsia="sv-SE"/>
        </w:rPr>
        <w:t>μm</w:t>
      </w:r>
      <w:proofErr w:type="spellEnd"/>
      <w:r w:rsidRPr="00EC783D">
        <w:rPr>
          <w:rFonts w:cstheme="minorHAnsi"/>
          <w:lang w:val="en-GB" w:eastAsia="sv-SE"/>
        </w:rPr>
        <w:t xml:space="preserve">) with an </w:t>
      </w:r>
      <w:proofErr w:type="spellStart"/>
      <w:r w:rsidRPr="00EC783D">
        <w:rPr>
          <w:rFonts w:cstheme="minorHAnsi"/>
          <w:lang w:val="en-GB" w:eastAsia="sv-SE"/>
        </w:rPr>
        <w:t>Acquity</w:t>
      </w:r>
      <w:proofErr w:type="spellEnd"/>
      <w:r w:rsidRPr="00EC783D">
        <w:rPr>
          <w:rFonts w:cstheme="minorHAnsi"/>
          <w:lang w:val="en-GB" w:eastAsia="sv-SE"/>
        </w:rPr>
        <w:t xml:space="preserve"> BEH C18 </w:t>
      </w:r>
      <w:proofErr w:type="spellStart"/>
      <w:r w:rsidRPr="00EC783D">
        <w:rPr>
          <w:rFonts w:cstheme="minorHAnsi"/>
          <w:lang w:val="en-GB" w:eastAsia="sv-SE"/>
        </w:rPr>
        <w:t>VanGuard</w:t>
      </w:r>
      <w:proofErr w:type="spellEnd"/>
      <w:r w:rsidRPr="00EC783D">
        <w:rPr>
          <w:rFonts w:cstheme="minorHAnsi"/>
          <w:lang w:val="en-GB" w:eastAsia="sv-SE"/>
        </w:rPr>
        <w:t xml:space="preserve"> pre-column (5 × 2.1 mm, 1.7 </w:t>
      </w:r>
      <w:proofErr w:type="spellStart"/>
      <w:r w:rsidRPr="00EC783D">
        <w:rPr>
          <w:rFonts w:cstheme="minorHAnsi"/>
          <w:lang w:val="en-GB" w:eastAsia="sv-SE"/>
        </w:rPr>
        <w:t>μm</w:t>
      </w:r>
      <w:proofErr w:type="spellEnd"/>
      <w:r w:rsidRPr="00EC783D">
        <w:rPr>
          <w:rFonts w:cstheme="minorHAnsi"/>
          <w:lang w:val="en-GB" w:eastAsia="sv-SE"/>
        </w:rPr>
        <w:t xml:space="preserve">) installed in an </w:t>
      </w:r>
      <w:proofErr w:type="spellStart"/>
      <w:r w:rsidRPr="00EC783D">
        <w:rPr>
          <w:rFonts w:cstheme="minorHAnsi"/>
          <w:lang w:val="en-GB" w:eastAsia="sv-SE"/>
        </w:rPr>
        <w:t>Acquity</w:t>
      </w:r>
      <w:proofErr w:type="spellEnd"/>
      <w:r w:rsidRPr="00EC783D">
        <w:rPr>
          <w:rFonts w:cstheme="minorHAnsi"/>
          <w:lang w:val="en-GB" w:eastAsia="sv-SE"/>
        </w:rPr>
        <w:t xml:space="preserve"> UPLC H-class system (Waters, Milford, MA, USA) was used for chromatographic separation. Mobile phases, delivered at 0.45 ml/min, consisted of 0.2% formic acid either in 90/10 (v/v) water/methanol (eluent A) or in methanol (eluent B).  The total run time for each separation was 2.5 min, and the linear gradient elution program was as follows: 0-1.25 min, 50% B to 80% B; 1.25-1.5 min, 80% B to 100% B; 1.5-2.0 min, 100% B to 50% B; 2.0-2.5 min, 50% B. A divert valve program switching alternatively between detector and waste was incorporated as follows: 0-0.75 min: to waste; 0.75-2.0 min: to detector; 2.0-2.5 min: to waste. The column temperature was kept at 50 °C, and the injection volume was 10 </w:t>
      </w:r>
      <w:proofErr w:type="spellStart"/>
      <w:r w:rsidRPr="00EC783D">
        <w:rPr>
          <w:rFonts w:cstheme="minorHAnsi"/>
          <w:lang w:val="en-GB" w:eastAsia="sv-SE"/>
        </w:rPr>
        <w:t>μL</w:t>
      </w:r>
      <w:proofErr w:type="spellEnd"/>
      <w:r w:rsidRPr="00EC783D">
        <w:rPr>
          <w:rFonts w:cstheme="minorHAnsi"/>
          <w:lang w:val="en-GB" w:eastAsia="sv-SE"/>
        </w:rPr>
        <w:t>.</w:t>
      </w:r>
    </w:p>
    <w:p w14:paraId="1680B31D" w14:textId="77777777" w:rsidR="006B194C" w:rsidRPr="00EC783D" w:rsidRDefault="006B194C" w:rsidP="006B194C">
      <w:pPr>
        <w:spacing w:after="0" w:line="360" w:lineRule="auto"/>
        <w:jc w:val="both"/>
        <w:rPr>
          <w:rFonts w:cstheme="minorHAnsi"/>
          <w:lang w:val="en-GB" w:eastAsia="sv-SE"/>
        </w:rPr>
      </w:pPr>
      <w:r w:rsidRPr="00EC783D">
        <w:rPr>
          <w:rFonts w:cstheme="minorHAnsi"/>
          <w:lang w:val="en-GB" w:eastAsia="sv-SE"/>
        </w:rPr>
        <w:t xml:space="preserve"> </w:t>
      </w:r>
    </w:p>
    <w:p w14:paraId="6264158F" w14:textId="77777777" w:rsidR="006B194C" w:rsidRPr="00EC783D" w:rsidRDefault="006B194C" w:rsidP="006B194C">
      <w:pPr>
        <w:spacing w:after="0" w:line="360" w:lineRule="auto"/>
        <w:jc w:val="both"/>
        <w:rPr>
          <w:rFonts w:cstheme="minorHAnsi"/>
          <w:lang w:val="en-GB" w:eastAsia="sv-SE"/>
        </w:rPr>
      </w:pPr>
      <w:r w:rsidRPr="00EC783D">
        <w:rPr>
          <w:rFonts w:cstheme="minorHAnsi"/>
          <w:lang w:val="en-GB" w:eastAsia="sv-SE"/>
        </w:rPr>
        <w:t xml:space="preserve">The LC eluate was led directly into a Waters </w:t>
      </w:r>
      <w:proofErr w:type="spellStart"/>
      <w:r w:rsidRPr="00EC783D">
        <w:rPr>
          <w:rFonts w:cstheme="minorHAnsi"/>
          <w:lang w:val="en-GB" w:eastAsia="sv-SE"/>
        </w:rPr>
        <w:t>Xevo</w:t>
      </w:r>
      <w:proofErr w:type="spellEnd"/>
      <w:r w:rsidRPr="00EC783D">
        <w:rPr>
          <w:rFonts w:cstheme="minorHAnsi"/>
          <w:lang w:val="en-GB" w:eastAsia="sv-SE"/>
        </w:rPr>
        <w:t xml:space="preserve"> TQS tandem mass spectrometer (Waters, Milford, MA, USA) with electrospray ionization (ESI) in the positive-ion, multiple reaction monitoring (MRM) mode. The MS/MS instrument was operated with a capillary voltage of 3.0 kV and source temperature of 150 °C. The </w:t>
      </w:r>
      <w:proofErr w:type="spellStart"/>
      <w:r w:rsidRPr="00EC783D">
        <w:rPr>
          <w:rFonts w:cstheme="minorHAnsi"/>
          <w:lang w:val="en-GB" w:eastAsia="sv-SE"/>
        </w:rPr>
        <w:t>desolvation</w:t>
      </w:r>
      <w:proofErr w:type="spellEnd"/>
      <w:r w:rsidRPr="00EC783D">
        <w:rPr>
          <w:rFonts w:cstheme="minorHAnsi"/>
          <w:lang w:val="en-GB" w:eastAsia="sv-SE"/>
        </w:rPr>
        <w:t xml:space="preserve"> gas (nitrogen) flow rate was set to 1000 L/h at a temperature of 600 °C, and collision gas (argon) flow was maintained at 0.15 ml/min.</w:t>
      </w:r>
    </w:p>
    <w:p w14:paraId="349BE75E" w14:textId="77777777" w:rsidR="006B194C" w:rsidRPr="00EC783D" w:rsidRDefault="006B194C" w:rsidP="006B194C">
      <w:pPr>
        <w:spacing w:after="0" w:line="360" w:lineRule="auto"/>
        <w:jc w:val="both"/>
        <w:rPr>
          <w:rFonts w:cstheme="minorHAnsi"/>
          <w:lang w:val="en-GB" w:eastAsia="sv-SE"/>
        </w:rPr>
      </w:pPr>
      <w:r w:rsidRPr="00EC783D">
        <w:rPr>
          <w:rFonts w:cstheme="minorHAnsi"/>
          <w:lang w:val="en-GB" w:eastAsia="sv-SE"/>
        </w:rPr>
        <w:lastRenderedPageBreak/>
        <w:t xml:space="preserve"> </w:t>
      </w:r>
    </w:p>
    <w:p w14:paraId="5C07C183" w14:textId="77777777" w:rsidR="006B194C" w:rsidRPr="00167A98" w:rsidRDefault="006B194C" w:rsidP="006B194C">
      <w:pPr>
        <w:spacing w:after="0" w:line="360" w:lineRule="auto"/>
        <w:jc w:val="both"/>
        <w:rPr>
          <w:rFonts w:cstheme="minorHAnsi"/>
          <w:u w:val="single"/>
          <w:lang w:val="en-GB" w:eastAsia="sv-SE"/>
        </w:rPr>
      </w:pPr>
      <w:r w:rsidRPr="00167A98">
        <w:rPr>
          <w:rFonts w:cstheme="minorHAnsi"/>
          <w:u w:val="single"/>
          <w:lang w:val="en-GB" w:eastAsia="sv-SE"/>
        </w:rPr>
        <w:t>DBS sample preparation and extraction</w:t>
      </w:r>
    </w:p>
    <w:p w14:paraId="3097998E" w14:textId="77777777" w:rsidR="006B194C" w:rsidRDefault="006B194C" w:rsidP="006B194C">
      <w:pPr>
        <w:spacing w:after="0" w:line="360" w:lineRule="auto"/>
        <w:jc w:val="both"/>
        <w:rPr>
          <w:rFonts w:cstheme="minorHAnsi"/>
          <w:lang w:val="en-GB" w:eastAsia="sv-SE"/>
        </w:rPr>
      </w:pPr>
      <w:r w:rsidRPr="00EC783D">
        <w:rPr>
          <w:rFonts w:cstheme="minorHAnsi"/>
          <w:lang w:val="en-GB" w:eastAsia="sv-SE"/>
        </w:rPr>
        <w:t xml:space="preserve">Aliquots (10 </w:t>
      </w:r>
      <w:proofErr w:type="spellStart"/>
      <w:r w:rsidRPr="00EC783D">
        <w:rPr>
          <w:rFonts w:cstheme="minorHAnsi"/>
          <w:lang w:val="en-GB" w:eastAsia="sv-SE"/>
        </w:rPr>
        <w:t>μL</w:t>
      </w:r>
      <w:proofErr w:type="spellEnd"/>
      <w:r w:rsidRPr="00EC783D">
        <w:rPr>
          <w:rFonts w:cstheme="minorHAnsi"/>
          <w:lang w:val="en-GB" w:eastAsia="sv-SE"/>
        </w:rPr>
        <w:t xml:space="preserve"> each) of whole blood samples were spotted onto PKI Bioanalysis Cards (PerkinElmer Health Sciences, USA) with a calibrated pipette and left to dry for at least 3 h at room temperature prior to analysis. The entire dry blood spot (DBS) was punched out and collected into a 1.5-ml Eppendorf tube. Extraction was performed by adding 200 </w:t>
      </w:r>
      <w:proofErr w:type="spellStart"/>
      <w:r w:rsidRPr="00EC783D">
        <w:rPr>
          <w:rFonts w:cstheme="minorHAnsi"/>
          <w:lang w:val="en-GB" w:eastAsia="sv-SE"/>
        </w:rPr>
        <w:t>μL</w:t>
      </w:r>
      <w:proofErr w:type="spellEnd"/>
      <w:r w:rsidRPr="00EC783D">
        <w:rPr>
          <w:rFonts w:cstheme="minorHAnsi"/>
          <w:lang w:val="en-GB" w:eastAsia="sv-SE"/>
        </w:rPr>
        <w:t xml:space="preserve"> of IS working solution. The sample tubes were closed and </w:t>
      </w:r>
      <w:proofErr w:type="spellStart"/>
      <w:r w:rsidRPr="00EC783D">
        <w:rPr>
          <w:rFonts w:cstheme="minorHAnsi"/>
          <w:lang w:val="en-GB" w:eastAsia="sv-SE"/>
        </w:rPr>
        <w:t>thermostatted</w:t>
      </w:r>
      <w:proofErr w:type="spellEnd"/>
      <w:r w:rsidRPr="00EC783D">
        <w:rPr>
          <w:rFonts w:cstheme="minorHAnsi"/>
          <w:lang w:val="en-GB" w:eastAsia="sv-SE"/>
        </w:rPr>
        <w:t xml:space="preserve"> at 37 °C for 20 min whilst continuously being shaken by a </w:t>
      </w:r>
      <w:proofErr w:type="spellStart"/>
      <w:r w:rsidRPr="00EC783D">
        <w:rPr>
          <w:rFonts w:cstheme="minorHAnsi"/>
          <w:lang w:val="en-GB" w:eastAsia="sv-SE"/>
        </w:rPr>
        <w:t>Biosan</w:t>
      </w:r>
      <w:proofErr w:type="spellEnd"/>
      <w:r w:rsidRPr="00EC783D">
        <w:rPr>
          <w:rFonts w:cstheme="minorHAnsi"/>
          <w:lang w:val="en-GB" w:eastAsia="sv-SE"/>
        </w:rPr>
        <w:t xml:space="preserve"> TS-100 </w:t>
      </w:r>
      <w:proofErr w:type="spellStart"/>
      <w:r w:rsidRPr="00EC783D">
        <w:rPr>
          <w:rFonts w:cstheme="minorHAnsi"/>
          <w:lang w:val="en-GB" w:eastAsia="sv-SE"/>
        </w:rPr>
        <w:t>Thermo</w:t>
      </w:r>
      <w:proofErr w:type="spellEnd"/>
      <w:r w:rsidRPr="00EC783D">
        <w:rPr>
          <w:rFonts w:cstheme="minorHAnsi"/>
          <w:lang w:val="en-GB" w:eastAsia="sv-SE"/>
        </w:rPr>
        <w:t xml:space="preserve"> shaker (</w:t>
      </w:r>
      <w:proofErr w:type="spellStart"/>
      <w:r w:rsidRPr="00EC783D">
        <w:rPr>
          <w:rFonts w:cstheme="minorHAnsi"/>
          <w:lang w:val="en-GB" w:eastAsia="sv-SE"/>
        </w:rPr>
        <w:t>Biosan</w:t>
      </w:r>
      <w:proofErr w:type="spellEnd"/>
      <w:r w:rsidRPr="00EC783D">
        <w:rPr>
          <w:rFonts w:cstheme="minorHAnsi"/>
          <w:lang w:val="en-GB" w:eastAsia="sv-SE"/>
        </w:rPr>
        <w:t xml:space="preserve">, Riga, Latvia) at 500 rpm. Then, 100 </w:t>
      </w:r>
      <w:proofErr w:type="spellStart"/>
      <w:r w:rsidRPr="00EC783D">
        <w:rPr>
          <w:rFonts w:cstheme="minorHAnsi"/>
          <w:lang w:val="en-GB" w:eastAsia="sv-SE"/>
        </w:rPr>
        <w:t>μL</w:t>
      </w:r>
      <w:proofErr w:type="spellEnd"/>
      <w:r w:rsidRPr="00EC783D">
        <w:rPr>
          <w:rFonts w:cstheme="minorHAnsi"/>
          <w:lang w:val="en-GB" w:eastAsia="sv-SE"/>
        </w:rPr>
        <w:t xml:space="preserve"> of the extract was added to 100 </w:t>
      </w:r>
      <w:proofErr w:type="spellStart"/>
      <w:r w:rsidRPr="00EC783D">
        <w:rPr>
          <w:rFonts w:cstheme="minorHAnsi"/>
          <w:lang w:val="en-GB" w:eastAsia="sv-SE"/>
        </w:rPr>
        <w:t>μL</w:t>
      </w:r>
      <w:proofErr w:type="spellEnd"/>
      <w:r w:rsidRPr="00EC783D">
        <w:rPr>
          <w:rFonts w:cstheme="minorHAnsi"/>
          <w:lang w:val="en-GB" w:eastAsia="sv-SE"/>
        </w:rPr>
        <w:t xml:space="preserve"> water and vortex-mixed for 30s. After transferring the resulting solution to an autosampler vial, a volume of 10 </w:t>
      </w:r>
      <w:proofErr w:type="spellStart"/>
      <w:r w:rsidRPr="00EC783D">
        <w:rPr>
          <w:rFonts w:cstheme="minorHAnsi"/>
          <w:lang w:val="en-GB" w:eastAsia="sv-SE"/>
        </w:rPr>
        <w:t>μL</w:t>
      </w:r>
      <w:proofErr w:type="spellEnd"/>
      <w:r w:rsidRPr="00EC783D">
        <w:rPr>
          <w:rFonts w:cstheme="minorHAnsi"/>
          <w:lang w:val="en-GB" w:eastAsia="sv-SE"/>
        </w:rPr>
        <w:t xml:space="preserve"> was injected into the UHPLC-MS/MS system.</w:t>
      </w:r>
    </w:p>
    <w:p w14:paraId="42EAA3B1" w14:textId="77777777" w:rsidR="006B194C" w:rsidRDefault="006B194C" w:rsidP="006B194C">
      <w:pPr>
        <w:spacing w:after="0" w:line="360" w:lineRule="auto"/>
        <w:jc w:val="both"/>
        <w:rPr>
          <w:rFonts w:cstheme="minorHAnsi"/>
          <w:lang w:val="en-GB" w:eastAsia="sv-SE"/>
        </w:rPr>
      </w:pPr>
    </w:p>
    <w:p w14:paraId="3E96A59A" w14:textId="77777777" w:rsidR="006B194C" w:rsidRDefault="006B194C" w:rsidP="006B194C">
      <w:pPr>
        <w:spacing w:after="0" w:line="360" w:lineRule="auto"/>
        <w:jc w:val="both"/>
        <w:rPr>
          <w:rFonts w:cstheme="minorHAnsi"/>
          <w:u w:val="single"/>
          <w:lang w:val="en-GB" w:eastAsia="sv-SE"/>
        </w:rPr>
      </w:pPr>
      <w:r w:rsidRPr="00CB78E0">
        <w:rPr>
          <w:rFonts w:cstheme="minorHAnsi"/>
          <w:u w:val="single"/>
          <w:lang w:val="en-GB" w:eastAsia="sv-SE"/>
        </w:rPr>
        <w:t>Tissue concentration measurements</w:t>
      </w:r>
    </w:p>
    <w:p w14:paraId="345BD8CB" w14:textId="77777777" w:rsidR="006B194C" w:rsidRPr="00CB78E0" w:rsidRDefault="006B194C" w:rsidP="006B194C">
      <w:pPr>
        <w:spacing w:after="0" w:line="360" w:lineRule="auto"/>
        <w:jc w:val="both"/>
        <w:rPr>
          <w:rFonts w:cstheme="minorHAnsi"/>
          <w:lang w:val="en-GB" w:eastAsia="sv-SE"/>
        </w:rPr>
      </w:pPr>
      <w:r w:rsidRPr="00CB78E0">
        <w:rPr>
          <w:rFonts w:cstheme="minorHAnsi"/>
          <w:lang w:val="en-GB" w:eastAsia="sv-SE"/>
        </w:rPr>
        <w:t xml:space="preserve">The total concentration of PTX in samples was determined by high-performance liquid chromatography (HPLC) coupled to a triple quadrupole mass spectrometer. The extraction procedure for PTX in </w:t>
      </w:r>
      <w:proofErr w:type="spellStart"/>
      <w:r w:rsidRPr="00CB78E0">
        <w:rPr>
          <w:rFonts w:cstheme="minorHAnsi"/>
          <w:lang w:val="en-GB" w:eastAsia="sv-SE"/>
        </w:rPr>
        <w:t>tumor</w:t>
      </w:r>
      <w:proofErr w:type="spellEnd"/>
      <w:r w:rsidRPr="00CB78E0">
        <w:rPr>
          <w:rFonts w:cstheme="minorHAnsi"/>
          <w:lang w:val="en-GB" w:eastAsia="sv-SE"/>
        </w:rPr>
        <w:t xml:space="preserve"> nodules was a modification of the method described by </w:t>
      </w:r>
      <w:proofErr w:type="spellStart"/>
      <w:r w:rsidRPr="00CB78E0">
        <w:rPr>
          <w:rFonts w:cstheme="minorHAnsi"/>
          <w:lang w:val="en-GB" w:eastAsia="sv-SE"/>
        </w:rPr>
        <w:t>Ansaloni</w:t>
      </w:r>
      <w:proofErr w:type="spellEnd"/>
      <w:r w:rsidRPr="00CB78E0">
        <w:rPr>
          <w:rFonts w:cstheme="minorHAnsi"/>
          <w:lang w:val="en-GB" w:eastAsia="sv-SE"/>
        </w:rPr>
        <w:t xml:space="preserve"> et al</w:t>
      </w:r>
      <w:r>
        <w:rPr>
          <w:rFonts w:cstheme="minorHAnsi"/>
          <w:lang w:val="en-GB" w:eastAsia="sv-SE"/>
        </w:rPr>
        <w:t>.</w:t>
      </w:r>
      <w:r>
        <w:rPr>
          <w:rFonts w:cstheme="minorHAnsi"/>
          <w:lang w:val="en-GB" w:eastAsia="sv-SE"/>
        </w:rPr>
        <w:fldChar w:fldCharType="begin"/>
      </w:r>
      <w:r>
        <w:rPr>
          <w:rFonts w:cstheme="minorHAnsi"/>
          <w:lang w:val="en-GB" w:eastAsia="sv-SE"/>
        </w:rPr>
        <w:instrText xml:space="preserve"> ADDIN ZOTERO_ITEM CSL_CITATION {"citationID":"FWM6lyPM","properties":{"formattedCitation":"\\super 28\\nosupersub{}","plainCitation":"28","noteIndex":0},"citationItems":[{"id":794,"uris":["http://zotero.org/users/3429752/items/J56TG3WB"],"uri":["http://zotero.org/users/3429752/items/J56TG3WB"],"itemData":{"id":794,"type":"article-journal","container-title":"Br J Cancer","issue":"2","language":"en","page":"306–12","title":"Pharmacokinetics of concomitant cisplatin and paclitaxel administered by hyperthermic intraperitoneal chemotherapy to patients with peritoneal carcinomatosis from epithelial ovarian cancer","volume":"112","author":[{"family":"Ansaloni","given":"L."}],"issued":{"date-parts":[["2015"]]}}}],"schema":"https://github.com/citation-style-language/schema/raw/master/csl-citation.json"} </w:instrText>
      </w:r>
      <w:r>
        <w:rPr>
          <w:rFonts w:cstheme="minorHAnsi"/>
          <w:lang w:val="en-GB" w:eastAsia="sv-SE"/>
        </w:rPr>
        <w:fldChar w:fldCharType="separate"/>
      </w:r>
      <w:r w:rsidRPr="00FC106E">
        <w:rPr>
          <w:rFonts w:ascii="Calibri" w:hAnsi="Calibri" w:cs="Calibri"/>
          <w:szCs w:val="24"/>
          <w:vertAlign w:val="superscript"/>
          <w:lang w:val="en-US"/>
        </w:rPr>
        <w:t>28</w:t>
      </w:r>
      <w:r>
        <w:rPr>
          <w:rFonts w:cstheme="minorHAnsi"/>
          <w:lang w:val="en-GB" w:eastAsia="sv-SE"/>
        </w:rPr>
        <w:fldChar w:fldCharType="end"/>
      </w:r>
      <w:r>
        <w:rPr>
          <w:rFonts w:cstheme="minorHAnsi"/>
          <w:lang w:val="en-GB" w:eastAsia="sv-SE"/>
        </w:rPr>
        <w:fldChar w:fldCharType="begin">
          <w:fldData xml:space="preserve">PEVuZE5vdGU+PENpdGU+PEF1dGhvcj5BbnNhbG9uaTwvQXV0aG9yPjxZZWFyPjIwMTU8L1llYXI+
PFJlY051bT4xMTI8L1JlY051bT48RGlzcGxheVRleHQ+WzM2XTwvRGlzcGxheVRleHQ+PHJlY29y
ZD48cmVjLW51bWJlcj4xMTI8L3JlYy1udW1iZXI+PGZvcmVpZ24ta2V5cz48a2V5IGFwcD0iRU4i
IGRiLWlkPSJ2emVmcmV0eDBheHMwcmVlZWRydjlkZW10endld3JlOXR0cmUiIHRpbWVzdGFtcD0i
MTU2MzgwODg5NSI+MTEyPC9rZXk+PC9mb3JlaWduLWtleXM+PHJlZi10eXBlIG5hbWU9IkpvdXJu
YWwgQXJ0aWNsZSI+MTc8L3JlZi10eXBlPjxjb250cmlidXRvcnM+PGF1dGhvcnM+PGF1dGhvcj5B
bnNhbG9uaSwgTC48L2F1dGhvcj48YXV0aG9yPkNvY2NvbGluaSwgRi48L2F1dGhvcj48YXV0aG9y
Pk1vcm9zaSwgTC48L2F1dGhvcj48YXV0aG9yPkJhbGxlcmluaSwgQS48L2F1dGhvcj48YXV0aG9y
PkNlcmVzb2xpLCBNLjwvYXV0aG9yPjxhdXRob3I+R3Jvc3NvLCBHLjwvYXV0aG9yPjxhdXRob3I+
QmVydG9saSwgUC48L2F1dGhvcj48YXV0aG9yPkJ1c2NpLCBMLiBNLjwvYXV0aG9yPjxhdXRob3I+
TG90dGksIE0uPC9hdXRob3I+PGF1dGhvcj5DYW1icmlhLCBGLjwvYXV0aG9yPjxhdXRob3I+UGlz
YW5vLCBNLjwvYXV0aG9yPjxhdXRob3I+Um9zc2V0dGksIEQuPC9hdXRob3I+PGF1dGhvcj5Gcmln
ZXJpbywgTC48L2F1dGhvcj48YXV0aG9yPkQmYXBvcztJbmNhbGNpLCBNLjwvYXV0aG9yPjxhdXRo
b3I+WnVjY2hldHRpLCBNLjwvYXV0aG9yPjwvYXV0aG9ycz48L2NvbnRyaWJ1dG9ycz48YXV0aC1h
ZGRyZXNzPkdlbmVyYWwgU3VyZ2VyeSBVbml0LCBQYXBhIEdpb3Zhbm5pIFhYSUlJIEhvc3BpdGFs
LCBQaWF6emEgT01TIDEsIDI0MTI3IEJlcmdhbW8sIEl0YWx5LiYjeEQ7RGVwYXJ0bWVudCBvZiBP
bmNvbG9neSwgSVJDQ1MtSXN0aXR1dG8gZGkgUmljZXJjaGUgRmFybWFjb2xvZ2ljaGUgTWFyaW8g
TmVncmksIFZpYSBMYSBNYXNhIDE5LCAyMDE1NiBNaWxhbm8sIEl0YWx5LiYjeEQ7MV0gRGVwYXJ0
bWVudCBvZiBPbmNvbG9neSwgSVJDQ1MtSXN0aXR1dG8gZGkgUmljZXJjaGUgRmFybWFjb2xvZ2lj
aGUgTWFyaW8gTmVncmksIFZpYSBMYSBNYXNhIDE5LCAyMDE1NiBNaWxhbm8sIEl0YWx5IFsyXSBE
ZXBhcnRtZW50IG9mIE1lZGljYWwgQmlvdGVjaG5vbG9naWVzIGFuZCBUcmFuc2xhdGlvbmFsIE1l
ZGljaW5lLCBVbml2ZXJzaXR5IG9mIE1pbGFuLCBWaWEgVmFudml0ZWxsaSAzMiwgMjAxNTYgTWls
YW5vLCBJdGFseS4mI3hEO0d5bmVjb2xvZ3kgYW5kIE9ic3RldHJpY3MgVW5pdCwgUGFwYSBHaW92
YW5uaSBYWElJSSBIb3NwaXRhbCwgUGlhenphIE9NUyAxLCAyNDEyNyBCZXJnYW1vLCBJdGFseS4m
I3hEO0lSQ0NTLUlzdGl0dXRvIGRpIFJpY2VyY2hlIEZhcm1hY29sb2dpY2hlIE1hcmlvIE5lZ3Jp
LCBEZXBhcnRtZW50IG9mIEVudmlyb25tZW50YWwgSGVhbHRoLCBWaWEgTGEgTWFzYSAxOSwgMjAx
NTYgTWlsYW5vLCBJdGFseS48L2F1dGgtYWRkcmVzcz48dGl0bGVzPjx0aXRsZT5QaGFybWFjb2tp
bmV0aWNzIG9mIGNvbmNvbWl0YW50IGNpc3BsYXRpbiBhbmQgcGFjbGl0YXhlbCBhZG1pbmlzdGVy
ZWQgYnkgaHlwZXJ0aGVybWljIGludHJhcGVyaXRvbmVhbCBjaGVtb3RoZXJhcHkgdG8gcGF0aWVu
dHMgd2l0aCBwZXJpdG9uZWFsIGNhcmNpbm9tYXRvc2lzIGZyb20gZXBpdGhlbGlhbCBvdmFyaWFu
IGNhbmNlcjwvdGl0bGU+PHNlY29uZGFyeS10aXRsZT5CciBKIENhbmNlcjwvc2Vjb25kYXJ5LXRp
dGxlPjwvdGl0bGVzPjxwZXJpb2RpY2FsPjxmdWxsLXRpdGxlPkJyIEogQ2FuY2VyPC9mdWxsLXRp
dGxlPjxhYmJyLTE+QnJpdGlzaCBqb3VybmFsIG9mIGNhbmNlcjwvYWJici0xPjwvcGVyaW9kaWNh
bD48cGFnZXM+MzA2LTEyPC9wYWdlcz48dm9sdW1lPjExMjwvdm9sdW1lPjxudW1iZXI+MjwvbnVt
YmVyPjxlZGl0aW9uPjIwMTQvMTIvMDM8L2VkaXRpb24+PGtleXdvcmRzPjxrZXl3b3JkPkFkdWx0
PC9rZXl3b3JkPjxrZXl3b3JkPkFnZWQ8L2tleXdvcmQ+PGtleXdvcmQ+QW50aW5lb3BsYXN0aWMg
Q29tYmluZWQgQ2hlbW90aGVyYXB5IFByb3RvY29scy9hZG1pbmlzdHJhdGlvbiAmYW1wOzwva2V5
d29yZD48a2V5d29yZD5kb3NhZ2UvKnBoYXJtYWNva2luZXRpY3M8L2tleXdvcmQ+PGtleXdvcmQ+
QXJlYSBVbmRlciBDdXJ2ZTwva2V5d29yZD48a2V5d29yZD5DYXJjaW5vbWEvKmRydWcgdGhlcmFw
eS9zZWNvbmRhcnk8L2tleXdvcmQ+PGtleXdvcmQ+Q2lzcGxhdGluL2FkbWluaXN0cmF0aW9uICZh
bXA7IGRvc2FnZTwva2V5d29yZD48a2V5d29yZD5GZW1hbGU8L2tleXdvcmQ+PGtleXdvcmQ+SHVt
YW5zPC9rZXl3b3JkPjxrZXl3b3JkPkh5cGVydGhlcm1pYSwgSW5kdWNlZDwva2V5d29yZD48a2V5
d29yZD5JbmZ1c2lvbnMsIFBhcmVudGVyYWw8L2tleXdvcmQ+PGtleXdvcmQ+TWFsZTwva2V5d29y
ZD48a2V5d29yZD5NaWRkbGUgQWdlZDwva2V5d29yZD48a2V5d29yZD5OZW9wbGFzbXMsIEdsYW5k
dWxhciBhbmQgRXBpdGhlbGlhbC8qZHJ1ZyB0aGVyYXB5L3NlY29uZGFyeTwva2V5d29yZD48a2V5
d29yZD5PdmFyaWFuIE5lb3BsYXNtcy8qZHJ1ZyB0aGVyYXB5L3BhdGhvbG9neTwva2V5d29yZD48
a2V5d29yZD5QYWNsaXRheGVsL2FkbWluaXN0cmF0aW9uICZhbXA7IGRvc2FnZTwva2V5d29yZD48
a2V5d29yZD5QZXJpdG9uZWFsIE5lb3BsYXNtcy8qZHJ1ZyB0aGVyYXB5L3NlY29uZGFyeTwva2V5
d29yZD48a2V5d29yZD5QZXJpdG9uZXVtL21ldGFib2xpc208L2tleXdvcmQ+PC9rZXl3b3Jkcz48
ZGF0ZXM+PHllYXI+MjAxNTwveWVhcj48cHViLWRhdGVzPjxkYXRlPkphbiAyMDwvZGF0ZT48L3B1
Yi1kYXRlcz48L2RhdGVzPjxpc2JuPjAwMDctMDkyMDwvaXNibj48YWNjZXNzaW9uLW51bT4yNTQ2
MTgwNDwvYWNjZXNzaW9uLW51bT48dXJscz48L3VybHM+PGN1c3RvbTI+UE1DNDQ1MzQ1NjwvY3Vz
dG9tMj48ZWxlY3Ryb25pYy1yZXNvdXJjZS1udW0+MTAuMTAzOC9iamMuMjAxNC42MDI8L2VsZWN0
cm9uaWMtcmVzb3VyY2UtbnVtPjxyZW1vdGUtZGF0YWJhc2UtcHJvdmlkZXI+TkxNPC9yZW1vdGUt
ZGF0YWJhc2UtcHJvdmlkZXI+PGxhbmd1YWdlPmVuZzwvbGFuZ3VhZ2U+PC9yZWNvcmQ+PC9DaXRl
PjwvRW5kTm90ZT5=
</w:fldData>
        </w:fldChar>
      </w:r>
      <w:r>
        <w:rPr>
          <w:rFonts w:cstheme="minorHAnsi"/>
          <w:lang w:val="en-GB" w:eastAsia="sv-SE"/>
        </w:rPr>
        <w:instrText xml:space="preserve"> ADDIN EN.CITE </w:instrText>
      </w:r>
      <w:r>
        <w:rPr>
          <w:rFonts w:cstheme="minorHAnsi"/>
          <w:lang w:val="en-GB" w:eastAsia="sv-SE"/>
        </w:rPr>
        <w:fldChar w:fldCharType="begin">
          <w:fldData xml:space="preserve">PEVuZE5vdGU+PENpdGU+PEF1dGhvcj5BbnNhbG9uaTwvQXV0aG9yPjxZZWFyPjIwMTU8L1llYXI+
PFJlY051bT4xMTI8L1JlY051bT48RGlzcGxheVRleHQ+WzM2XTwvRGlzcGxheVRleHQ+PHJlY29y
ZD48cmVjLW51bWJlcj4xMTI8L3JlYy1udW1iZXI+PGZvcmVpZ24ta2V5cz48a2V5IGFwcD0iRU4i
IGRiLWlkPSJ2emVmcmV0eDBheHMwcmVlZWRydjlkZW10endld3JlOXR0cmUiIHRpbWVzdGFtcD0i
MTU2MzgwODg5NSI+MTEyPC9rZXk+PC9mb3JlaWduLWtleXM+PHJlZi10eXBlIG5hbWU9IkpvdXJu
YWwgQXJ0aWNsZSI+MTc8L3JlZi10eXBlPjxjb250cmlidXRvcnM+PGF1dGhvcnM+PGF1dGhvcj5B
bnNhbG9uaSwgTC48L2F1dGhvcj48YXV0aG9yPkNvY2NvbGluaSwgRi48L2F1dGhvcj48YXV0aG9y
Pk1vcm9zaSwgTC48L2F1dGhvcj48YXV0aG9yPkJhbGxlcmluaSwgQS48L2F1dGhvcj48YXV0aG9y
PkNlcmVzb2xpLCBNLjwvYXV0aG9yPjxhdXRob3I+R3Jvc3NvLCBHLjwvYXV0aG9yPjxhdXRob3I+
QmVydG9saSwgUC48L2F1dGhvcj48YXV0aG9yPkJ1c2NpLCBMLiBNLjwvYXV0aG9yPjxhdXRob3I+
TG90dGksIE0uPC9hdXRob3I+PGF1dGhvcj5DYW1icmlhLCBGLjwvYXV0aG9yPjxhdXRob3I+UGlz
YW5vLCBNLjwvYXV0aG9yPjxhdXRob3I+Um9zc2V0dGksIEQuPC9hdXRob3I+PGF1dGhvcj5Gcmln
ZXJpbywgTC48L2F1dGhvcj48YXV0aG9yPkQmYXBvcztJbmNhbGNpLCBNLjwvYXV0aG9yPjxhdXRo
b3I+WnVjY2hldHRpLCBNLjwvYXV0aG9yPjwvYXV0aG9ycz48L2NvbnRyaWJ1dG9ycz48YXV0aC1h
ZGRyZXNzPkdlbmVyYWwgU3VyZ2VyeSBVbml0LCBQYXBhIEdpb3Zhbm5pIFhYSUlJIEhvc3BpdGFs
LCBQaWF6emEgT01TIDEsIDI0MTI3IEJlcmdhbW8sIEl0YWx5LiYjeEQ7RGVwYXJ0bWVudCBvZiBP
bmNvbG9neSwgSVJDQ1MtSXN0aXR1dG8gZGkgUmljZXJjaGUgRmFybWFjb2xvZ2ljaGUgTWFyaW8g
TmVncmksIFZpYSBMYSBNYXNhIDE5LCAyMDE1NiBNaWxhbm8sIEl0YWx5LiYjeEQ7MV0gRGVwYXJ0
bWVudCBvZiBPbmNvbG9neSwgSVJDQ1MtSXN0aXR1dG8gZGkgUmljZXJjaGUgRmFybWFjb2xvZ2lj
aGUgTWFyaW8gTmVncmksIFZpYSBMYSBNYXNhIDE5LCAyMDE1NiBNaWxhbm8sIEl0YWx5IFsyXSBE
ZXBhcnRtZW50IG9mIE1lZGljYWwgQmlvdGVjaG5vbG9naWVzIGFuZCBUcmFuc2xhdGlvbmFsIE1l
ZGljaW5lLCBVbml2ZXJzaXR5IG9mIE1pbGFuLCBWaWEgVmFudml0ZWxsaSAzMiwgMjAxNTYgTWls
YW5vLCBJdGFseS4mI3hEO0d5bmVjb2xvZ3kgYW5kIE9ic3RldHJpY3MgVW5pdCwgUGFwYSBHaW92
YW5uaSBYWElJSSBIb3NwaXRhbCwgUGlhenphIE9NUyAxLCAyNDEyNyBCZXJnYW1vLCBJdGFseS4m
I3hEO0lSQ0NTLUlzdGl0dXRvIGRpIFJpY2VyY2hlIEZhcm1hY29sb2dpY2hlIE1hcmlvIE5lZ3Jp
LCBEZXBhcnRtZW50IG9mIEVudmlyb25tZW50YWwgSGVhbHRoLCBWaWEgTGEgTWFzYSAxOSwgMjAx
NTYgTWlsYW5vLCBJdGFseS48L2F1dGgtYWRkcmVzcz48dGl0bGVzPjx0aXRsZT5QaGFybWFjb2tp
bmV0aWNzIG9mIGNvbmNvbWl0YW50IGNpc3BsYXRpbiBhbmQgcGFjbGl0YXhlbCBhZG1pbmlzdGVy
ZWQgYnkgaHlwZXJ0aGVybWljIGludHJhcGVyaXRvbmVhbCBjaGVtb3RoZXJhcHkgdG8gcGF0aWVu
dHMgd2l0aCBwZXJpdG9uZWFsIGNhcmNpbm9tYXRvc2lzIGZyb20gZXBpdGhlbGlhbCBvdmFyaWFu
IGNhbmNlcjwvdGl0bGU+PHNlY29uZGFyeS10aXRsZT5CciBKIENhbmNlcjwvc2Vjb25kYXJ5LXRp
dGxlPjwvdGl0bGVzPjxwZXJpb2RpY2FsPjxmdWxsLXRpdGxlPkJyIEogQ2FuY2VyPC9mdWxsLXRp
dGxlPjxhYmJyLTE+QnJpdGlzaCBqb3VybmFsIG9mIGNhbmNlcjwvYWJici0xPjwvcGVyaW9kaWNh
bD48cGFnZXM+MzA2LTEyPC9wYWdlcz48dm9sdW1lPjExMjwvdm9sdW1lPjxudW1iZXI+MjwvbnVt
YmVyPjxlZGl0aW9uPjIwMTQvMTIvMDM8L2VkaXRpb24+PGtleXdvcmRzPjxrZXl3b3JkPkFkdWx0
PC9rZXl3b3JkPjxrZXl3b3JkPkFnZWQ8L2tleXdvcmQ+PGtleXdvcmQ+QW50aW5lb3BsYXN0aWMg
Q29tYmluZWQgQ2hlbW90aGVyYXB5IFByb3RvY29scy9hZG1pbmlzdHJhdGlvbiAmYW1wOzwva2V5
d29yZD48a2V5d29yZD5kb3NhZ2UvKnBoYXJtYWNva2luZXRpY3M8L2tleXdvcmQ+PGtleXdvcmQ+
QXJlYSBVbmRlciBDdXJ2ZTwva2V5d29yZD48a2V5d29yZD5DYXJjaW5vbWEvKmRydWcgdGhlcmFw
eS9zZWNvbmRhcnk8L2tleXdvcmQ+PGtleXdvcmQ+Q2lzcGxhdGluL2FkbWluaXN0cmF0aW9uICZh
bXA7IGRvc2FnZTwva2V5d29yZD48a2V5d29yZD5GZW1hbGU8L2tleXdvcmQ+PGtleXdvcmQ+SHVt
YW5zPC9rZXl3b3JkPjxrZXl3b3JkPkh5cGVydGhlcm1pYSwgSW5kdWNlZDwva2V5d29yZD48a2V5
d29yZD5JbmZ1c2lvbnMsIFBhcmVudGVyYWw8L2tleXdvcmQ+PGtleXdvcmQ+TWFsZTwva2V5d29y
ZD48a2V5d29yZD5NaWRkbGUgQWdlZDwva2V5d29yZD48a2V5d29yZD5OZW9wbGFzbXMsIEdsYW5k
dWxhciBhbmQgRXBpdGhlbGlhbC8qZHJ1ZyB0aGVyYXB5L3NlY29uZGFyeTwva2V5d29yZD48a2V5
d29yZD5PdmFyaWFuIE5lb3BsYXNtcy8qZHJ1ZyB0aGVyYXB5L3BhdGhvbG9neTwva2V5d29yZD48
a2V5d29yZD5QYWNsaXRheGVsL2FkbWluaXN0cmF0aW9uICZhbXA7IGRvc2FnZTwva2V5d29yZD48
a2V5d29yZD5QZXJpdG9uZWFsIE5lb3BsYXNtcy8qZHJ1ZyB0aGVyYXB5L3NlY29uZGFyeTwva2V5
d29yZD48a2V5d29yZD5QZXJpdG9uZXVtL21ldGFib2xpc208L2tleXdvcmQ+PC9rZXl3b3Jkcz48
ZGF0ZXM+PHllYXI+MjAxNTwveWVhcj48cHViLWRhdGVzPjxkYXRlPkphbiAyMDwvZGF0ZT48L3B1
Yi1kYXRlcz48L2RhdGVzPjxpc2JuPjAwMDctMDkyMDwvaXNibj48YWNjZXNzaW9uLW51bT4yNTQ2
MTgwNDwvYWNjZXNzaW9uLW51bT48dXJscz48L3VybHM+PGN1c3RvbTI+UE1DNDQ1MzQ1NjwvY3Vz
dG9tMj48ZWxlY3Ryb25pYy1yZXNvdXJjZS1udW0+MTAuMTAzOC9iamMuMjAxNC42MDI8L2VsZWN0
cm9uaWMtcmVzb3VyY2UtbnVtPjxyZW1vdGUtZGF0YWJhc2UtcHJvdmlkZXI+TkxNPC9yZW1vdGUt
ZGF0YWJhc2UtcHJvdmlkZXI+PGxhbmd1YWdlPmVuZzwvbGFuZ3VhZ2U+PC9yZWNvcmQ+PC9DaXRl
PjwvRW5kTm90ZT5=
</w:fldData>
        </w:fldChar>
      </w:r>
      <w:r>
        <w:rPr>
          <w:rFonts w:cstheme="minorHAnsi"/>
          <w:lang w:val="en-GB" w:eastAsia="sv-SE"/>
        </w:rPr>
        <w:instrText xml:space="preserve"> ADDIN EN.CITE.DATA </w:instrText>
      </w:r>
      <w:r>
        <w:rPr>
          <w:rFonts w:cstheme="minorHAnsi"/>
          <w:lang w:val="en-GB" w:eastAsia="sv-SE"/>
        </w:rPr>
      </w:r>
      <w:r>
        <w:rPr>
          <w:rFonts w:cstheme="minorHAnsi"/>
          <w:lang w:val="en-GB" w:eastAsia="sv-SE"/>
        </w:rPr>
        <w:fldChar w:fldCharType="end"/>
      </w:r>
      <w:r>
        <w:rPr>
          <w:rFonts w:cstheme="minorHAnsi"/>
          <w:lang w:val="en-GB" w:eastAsia="sv-SE"/>
        </w:rPr>
      </w:r>
      <w:r>
        <w:rPr>
          <w:rFonts w:cstheme="minorHAnsi"/>
          <w:lang w:val="en-GB" w:eastAsia="sv-SE"/>
        </w:rPr>
        <w:fldChar w:fldCharType="end"/>
      </w:r>
      <w:r>
        <w:rPr>
          <w:rFonts w:cstheme="minorHAnsi"/>
          <w:lang w:val="en-GB" w:eastAsia="sv-SE"/>
        </w:rPr>
        <w:t>.</w:t>
      </w:r>
      <w:r w:rsidRPr="00CB78E0">
        <w:rPr>
          <w:rFonts w:cstheme="minorHAnsi"/>
          <w:lang w:val="en-GB" w:eastAsia="sv-SE"/>
        </w:rPr>
        <w:t xml:space="preserve"> Briefly, tissue samples were homogenized in 0.2 M CH3COONH4 pH 4.5 (1:3 </w:t>
      </w:r>
      <w:proofErr w:type="spellStart"/>
      <w:r w:rsidRPr="00CB78E0">
        <w:rPr>
          <w:rFonts w:cstheme="minorHAnsi"/>
          <w:lang w:val="en-GB" w:eastAsia="sv-SE"/>
        </w:rPr>
        <w:t>wt</w:t>
      </w:r>
      <w:proofErr w:type="spellEnd"/>
      <w:r w:rsidRPr="00CB78E0">
        <w:rPr>
          <w:rFonts w:cstheme="minorHAnsi"/>
          <w:lang w:val="en-GB" w:eastAsia="sv-SE"/>
        </w:rPr>
        <w:t>/vol). The homogenates (0.5 ml) were added with 2 µg of internal standard (IS) IDN5390 (</w:t>
      </w:r>
      <w:proofErr w:type="spellStart"/>
      <w:r w:rsidRPr="00CB78E0">
        <w:rPr>
          <w:rFonts w:cstheme="minorHAnsi"/>
          <w:lang w:val="en-GB" w:eastAsia="sv-SE"/>
        </w:rPr>
        <w:t>Indena</w:t>
      </w:r>
      <w:proofErr w:type="spellEnd"/>
      <w:r w:rsidRPr="00CB78E0">
        <w:rPr>
          <w:rFonts w:cstheme="minorHAnsi"/>
          <w:lang w:val="en-GB" w:eastAsia="sv-SE"/>
        </w:rPr>
        <w:t xml:space="preserve"> </w:t>
      </w:r>
      <w:proofErr w:type="spellStart"/>
      <w:r w:rsidRPr="00CB78E0">
        <w:rPr>
          <w:rFonts w:cstheme="minorHAnsi"/>
          <w:lang w:val="en-GB" w:eastAsia="sv-SE"/>
        </w:rPr>
        <w:t>SpA</w:t>
      </w:r>
      <w:proofErr w:type="spellEnd"/>
      <w:r w:rsidRPr="00CB78E0">
        <w:rPr>
          <w:rFonts w:cstheme="minorHAnsi"/>
          <w:lang w:val="en-GB" w:eastAsia="sv-SE"/>
        </w:rPr>
        <w:t xml:space="preserve">, </w:t>
      </w:r>
      <w:proofErr w:type="spellStart"/>
      <w:r w:rsidRPr="00CB78E0">
        <w:rPr>
          <w:rFonts w:cstheme="minorHAnsi"/>
          <w:lang w:val="en-GB" w:eastAsia="sv-SE"/>
        </w:rPr>
        <w:t>Settala</w:t>
      </w:r>
      <w:proofErr w:type="spellEnd"/>
      <w:r w:rsidRPr="00CB78E0">
        <w:rPr>
          <w:rFonts w:cstheme="minorHAnsi"/>
          <w:lang w:val="en-GB" w:eastAsia="sv-SE"/>
        </w:rPr>
        <w:t xml:space="preserve">, Italy) and extracted with 4 mL of CH3CN. Samples were mixed for 30 minutes, centrifuged and then dried under nitrogen. The residues were dissolved with 200 µL of mobile phase and 10 µL were injected into the HPLC MS/MS system. </w:t>
      </w:r>
      <w:proofErr w:type="spellStart"/>
      <w:r w:rsidRPr="00CB78E0">
        <w:rPr>
          <w:rFonts w:cstheme="minorHAnsi"/>
          <w:lang w:val="en-GB" w:eastAsia="sv-SE"/>
        </w:rPr>
        <w:t>Tumor</w:t>
      </w:r>
      <w:proofErr w:type="spellEnd"/>
      <w:r w:rsidRPr="00CB78E0">
        <w:rPr>
          <w:rFonts w:cstheme="minorHAnsi"/>
          <w:lang w:val="en-GB" w:eastAsia="sv-SE"/>
        </w:rPr>
        <w:t xml:space="preserve"> nodules collected before treatment were used to prepare the calibration curve by the addition of PTX in the range 10–2500 ng</w:t>
      </w:r>
      <w:r>
        <w:rPr>
          <w:rFonts w:cstheme="minorHAnsi"/>
          <w:lang w:val="en-GB" w:eastAsia="sv-SE"/>
        </w:rPr>
        <w:t>/</w:t>
      </w:r>
      <w:r w:rsidRPr="00CB78E0">
        <w:rPr>
          <w:rFonts w:cstheme="minorHAnsi"/>
          <w:lang w:val="en-GB" w:eastAsia="sv-SE"/>
        </w:rPr>
        <w:t>g.</w:t>
      </w:r>
      <w:r>
        <w:rPr>
          <w:rFonts w:cstheme="minorHAnsi"/>
          <w:lang w:val="en-GB" w:eastAsia="sv-SE"/>
        </w:rPr>
        <w:t xml:space="preserve"> </w:t>
      </w:r>
      <w:r w:rsidRPr="00CB78E0">
        <w:rPr>
          <w:rFonts w:cstheme="minorHAnsi"/>
          <w:lang w:val="en-GB" w:eastAsia="sv-SE"/>
        </w:rPr>
        <w:t xml:space="preserve">A triple quadrupole mass spectrometer </w:t>
      </w:r>
      <w:r>
        <w:rPr>
          <w:rFonts w:cstheme="minorHAnsi"/>
          <w:lang w:val="en-GB" w:eastAsia="sv-SE"/>
        </w:rPr>
        <w:t>(</w:t>
      </w:r>
      <w:r w:rsidRPr="00CB78E0">
        <w:rPr>
          <w:rFonts w:cstheme="minorHAnsi"/>
          <w:lang w:val="en-GB" w:eastAsia="sv-SE"/>
        </w:rPr>
        <w:t>API4000 system</w:t>
      </w:r>
      <w:r>
        <w:rPr>
          <w:rFonts w:cstheme="minorHAnsi"/>
          <w:lang w:val="en-GB" w:eastAsia="sv-SE"/>
        </w:rPr>
        <w:t xml:space="preserve">, </w:t>
      </w:r>
      <w:r w:rsidRPr="00CB78E0">
        <w:rPr>
          <w:rFonts w:cstheme="minorHAnsi"/>
          <w:lang w:val="en-GB" w:eastAsia="sv-SE"/>
        </w:rPr>
        <w:t xml:space="preserve">AB SCIEX, MA, USA) coupled with a Series 200 autosampler and micropump (Perkin Elmer, MA, USA) was used for detection. Samples were separated using a Sunfire C18 chromatographic column (3.5 µm 2.1 x 150 mm), coupled with a pre-column of the same material and thermostatically controlled at 30°C. The mobile phases of HCOOH 0.1% in H2O and HCCOH 0.1% in CH3CN were pumped at a flow rate of 0.2 mL min-1. The mass spectrometer </w:t>
      </w:r>
      <w:r>
        <w:rPr>
          <w:rFonts w:cstheme="minorHAnsi"/>
          <w:lang w:val="en-GB" w:eastAsia="sv-SE"/>
        </w:rPr>
        <w:t>used</w:t>
      </w:r>
      <w:r w:rsidRPr="00CB78E0">
        <w:rPr>
          <w:rFonts w:cstheme="minorHAnsi"/>
          <w:lang w:val="en-GB" w:eastAsia="sv-SE"/>
        </w:rPr>
        <w:t xml:space="preserve"> electrospray ionization in positive ion mode and selected reaction monitoring, using the target ions m/z 854.6/286.2 for PTX and m/z 788.4/327.1 for IS.</w:t>
      </w:r>
    </w:p>
    <w:p w14:paraId="4298A10A" w14:textId="77777777" w:rsidR="006B194C" w:rsidRDefault="006B194C" w:rsidP="006B194C">
      <w:pPr>
        <w:pStyle w:val="Heading3"/>
        <w:spacing w:before="0" w:line="360" w:lineRule="auto"/>
        <w:jc w:val="both"/>
        <w:rPr>
          <w:rFonts w:cstheme="minorHAnsi"/>
          <w:szCs w:val="22"/>
          <w:lang w:val="en-GB"/>
        </w:rPr>
      </w:pPr>
    </w:p>
    <w:p w14:paraId="7466C66F" w14:textId="77777777" w:rsidR="006B194C" w:rsidRPr="00116EF5" w:rsidRDefault="006B194C" w:rsidP="006B194C">
      <w:pPr>
        <w:pStyle w:val="Heading3"/>
        <w:spacing w:before="0" w:line="360" w:lineRule="auto"/>
        <w:jc w:val="both"/>
        <w:rPr>
          <w:rFonts w:cstheme="minorHAnsi"/>
          <w:szCs w:val="22"/>
          <w:lang w:val="en-GB"/>
        </w:rPr>
      </w:pPr>
      <w:r w:rsidRPr="00116EF5">
        <w:rPr>
          <w:rFonts w:cstheme="minorHAnsi"/>
          <w:szCs w:val="22"/>
          <w:lang w:val="en-GB"/>
        </w:rPr>
        <w:t>Mass spectrometry imaging of paclitaxel</w:t>
      </w:r>
    </w:p>
    <w:p w14:paraId="25D78D4E" w14:textId="77777777" w:rsidR="006B194C" w:rsidRPr="00116EF5" w:rsidRDefault="006B194C" w:rsidP="006B194C">
      <w:pPr>
        <w:spacing w:after="0" w:line="360" w:lineRule="auto"/>
        <w:jc w:val="both"/>
        <w:rPr>
          <w:rFonts w:cstheme="minorHAnsi"/>
          <w:lang w:val="en-GB" w:eastAsia="nl-BE"/>
        </w:rPr>
      </w:pPr>
      <w:r w:rsidRPr="00116EF5">
        <w:rPr>
          <w:rFonts w:cstheme="minorHAnsi"/>
          <w:lang w:val="en-GB" w:eastAsia="nl-BE"/>
        </w:rPr>
        <w:t xml:space="preserve">The spatial distribution of PTX in </w:t>
      </w:r>
      <w:proofErr w:type="spellStart"/>
      <w:r w:rsidRPr="00116EF5">
        <w:rPr>
          <w:rFonts w:cstheme="minorHAnsi"/>
          <w:lang w:val="en-GB" w:eastAsia="nl-BE"/>
        </w:rPr>
        <w:t>tumor</w:t>
      </w:r>
      <w:proofErr w:type="spellEnd"/>
      <w:r w:rsidRPr="00116EF5">
        <w:rPr>
          <w:rFonts w:cstheme="minorHAnsi"/>
          <w:lang w:val="en-GB" w:eastAsia="nl-BE"/>
        </w:rPr>
        <w:t xml:space="preserve"> tissues was determined by mass spectrometry imaging (MSI), according to the method that was recently published by </w:t>
      </w:r>
      <w:proofErr w:type="spellStart"/>
      <w:r w:rsidRPr="00116EF5">
        <w:rPr>
          <w:rFonts w:cstheme="minorHAnsi"/>
          <w:lang w:val="en-GB" w:eastAsia="nl-BE"/>
        </w:rPr>
        <w:t>Morosi</w:t>
      </w:r>
      <w:proofErr w:type="spellEnd"/>
      <w:r w:rsidRPr="00116EF5">
        <w:rPr>
          <w:rFonts w:cstheme="minorHAnsi"/>
          <w:lang w:val="en-GB" w:eastAsia="nl-BE"/>
        </w:rPr>
        <w:t xml:space="preserve"> and colleagues</w:t>
      </w:r>
      <w:r>
        <w:rPr>
          <w:rFonts w:cstheme="minorHAnsi"/>
          <w:lang w:val="en-GB" w:eastAsia="nl-BE"/>
        </w:rPr>
        <w:t xml:space="preserve"> </w:t>
      </w:r>
      <w:r>
        <w:rPr>
          <w:rFonts w:cstheme="minorHAnsi"/>
          <w:lang w:val="en-GB" w:eastAsia="nl-BE"/>
        </w:rPr>
        <w:fldChar w:fldCharType="begin"/>
      </w:r>
      <w:r>
        <w:rPr>
          <w:rFonts w:cstheme="minorHAnsi"/>
          <w:lang w:val="en-GB" w:eastAsia="nl-BE"/>
        </w:rPr>
        <w:instrText xml:space="preserve"> ADDIN ZOTERO_ITEM CSL_CITATION {"citationID":"y84TgHH1","properties":{"formattedCitation":"\\super 29\\nosupersub{}","plainCitation":"29","noteIndex":0},"citationItems":[{"id":899,"uris":["http://zotero.org/users/3429752/items/VJA3SJUH"],"uri":["http://zotero.org/users/3429752/items/VJA3SJUH"],"itemData":{"id":899,"type":"article-journal","abstract":"A sensitive, simple and reproducible protocol for nanoparticle-assisted laser desorption/ionization mass spectrometry imaging technique is described. The use of commercially available TiO2 nanoparticles abolishes heterogeneous crystallization, matrix background interferences and enhances signal detection, especially in the low mass range. Molecular image normalization was based on internal standard deposition on tissues, allowing direct comparison of drug penetration and distribution between different organs and tissues. The method was applied to analyze the distribution of the anticancer drug paclitaxel, inside normal and neoplastic mouse tissue sections. Spatial resolution was good, with a linear response between different in vivo treatments and molecular imaging intensity using therapeutic drug doses. This technique distinguishes the different intensity of paclitaxel distribution in control organs of mice, such as liver and kidney, in relation to the dose. Animals treated with 30 mg/kg of paclitaxel had half of the concentration of those treated with 60 mg/kg. We investigated the spatial distribution of paclitaxel in human melanoma mouse xenografts, following different dosage schedules and found a more homogeneous drug distribution in tumors of mice given repeated doses (5×8 mg/kg) plus a 60 mg/kg dose than in those assigned only a single 60 mg/kg dose. The protocol can be readily applied to investigate anticancer drug distribution in neoplastic lesions and to develop strategies to optimize and enhance drug penetration through different tumor tissues.","container-title":"PloS One","DOI":"10.1371/journal.pone.0072532","ISSN":"1932-6203","issue":"8","journalAbbreviation":"PLoS ONE","language":"eng","note":"PMID: 23991120\nPMCID: PMC3753243","page":"e72532","source":"PubMed","title":"Determination of paclitaxel distribution in solid tumors by nano-particle assisted laser desorption ionization mass spectrometry imaging","volume":"8","author":[{"family":"Morosi","given":"Lavinia"},{"family":"Spinelli","given":"Pietro"},{"family":"Zucchetti","given":"Massimo"},{"family":"Pretto","given":"Francesca"},{"family":"Carrà","given":"Andrea"},{"family":"D'Incalci","given":"Maurizio"},{"family":"Giavazzi","given":"Raffaella"},{"family":"Davoli","given":"Enrico"}],"issued":{"date-parts":[["2013"]]}}}],"schema":"https://github.com/citation-style-language/schema/raw/master/csl-citation.json"} </w:instrText>
      </w:r>
      <w:r>
        <w:rPr>
          <w:rFonts w:cstheme="minorHAnsi"/>
          <w:lang w:val="en-GB" w:eastAsia="nl-BE"/>
        </w:rPr>
        <w:fldChar w:fldCharType="separate"/>
      </w:r>
      <w:r w:rsidRPr="0035615B">
        <w:rPr>
          <w:rFonts w:ascii="Calibri" w:hAnsi="Calibri" w:cs="Calibri"/>
          <w:szCs w:val="24"/>
          <w:vertAlign w:val="superscript"/>
          <w:lang w:val="en-US"/>
        </w:rPr>
        <w:t>29</w:t>
      </w:r>
      <w:r>
        <w:rPr>
          <w:rFonts w:cstheme="minorHAnsi"/>
          <w:lang w:val="en-GB" w:eastAsia="nl-BE"/>
        </w:rPr>
        <w:fldChar w:fldCharType="end"/>
      </w:r>
      <w:r w:rsidRPr="00116EF5">
        <w:rPr>
          <w:rFonts w:cstheme="minorHAnsi"/>
          <w:lang w:val="en-GB" w:eastAsia="nl-BE"/>
        </w:rPr>
        <w:t xml:space="preserve">. Three frozen tissue sections of 10 </w:t>
      </w:r>
      <w:proofErr w:type="spellStart"/>
      <w:r w:rsidRPr="00116EF5">
        <w:rPr>
          <w:rFonts w:cstheme="minorHAnsi"/>
          <w:lang w:val="en-GB" w:eastAsia="nl-BE"/>
        </w:rPr>
        <w:t>μm</w:t>
      </w:r>
      <w:proofErr w:type="spellEnd"/>
      <w:r w:rsidRPr="00116EF5">
        <w:rPr>
          <w:rFonts w:cstheme="minorHAnsi"/>
          <w:lang w:val="en-GB" w:eastAsia="nl-BE"/>
        </w:rPr>
        <w:t xml:space="preserve"> for each sample were cut every 300 µm using a cryo-microtome (Leica Microsystems, </w:t>
      </w:r>
      <w:proofErr w:type="spellStart"/>
      <w:r w:rsidRPr="00116EF5">
        <w:rPr>
          <w:rFonts w:cstheme="minorHAnsi"/>
          <w:lang w:val="en-GB" w:eastAsia="nl-BE"/>
        </w:rPr>
        <w:t>Wetzler</w:t>
      </w:r>
      <w:proofErr w:type="spellEnd"/>
      <w:r w:rsidRPr="00116EF5">
        <w:rPr>
          <w:rFonts w:cstheme="minorHAnsi"/>
          <w:lang w:val="en-GB" w:eastAsia="nl-BE"/>
        </w:rPr>
        <w:t xml:space="preserve">, Germany) and mounted on a pre-cooled </w:t>
      </w:r>
      <w:bookmarkStart w:id="0" w:name="OLE_LINK153"/>
      <w:bookmarkStart w:id="1" w:name="OLE_LINK155"/>
      <w:r w:rsidRPr="00116EF5">
        <w:rPr>
          <w:rFonts w:cstheme="minorHAnsi"/>
          <w:lang w:val="en-GB" w:eastAsia="nl-BE"/>
        </w:rPr>
        <w:t xml:space="preserve">matrix-assisted laser </w:t>
      </w:r>
      <w:r w:rsidRPr="00116EF5">
        <w:rPr>
          <w:rFonts w:cstheme="minorHAnsi"/>
          <w:lang w:val="en-GB" w:eastAsia="nl-BE"/>
        </w:rPr>
        <w:lastRenderedPageBreak/>
        <w:t>desorption/ionization</w:t>
      </w:r>
      <w:bookmarkEnd w:id="0"/>
      <w:bookmarkEnd w:id="1"/>
      <w:r w:rsidRPr="00116EF5">
        <w:rPr>
          <w:rFonts w:cstheme="minorHAnsi"/>
          <w:lang w:val="en-GB" w:eastAsia="nl-BE"/>
        </w:rPr>
        <w:t xml:space="preserve"> (MALDI) plate (Opti-TOF 384 Well insert). Subsequently, the plate was dried in a vacuum drier and sprayed with a titanium dioxide (TiO</w:t>
      </w:r>
      <w:r w:rsidRPr="00116EF5">
        <w:rPr>
          <w:rFonts w:cstheme="minorHAnsi"/>
          <w:vertAlign w:val="subscript"/>
          <w:lang w:val="en-GB" w:eastAsia="nl-BE"/>
        </w:rPr>
        <w:t>2</w:t>
      </w:r>
      <w:r w:rsidRPr="00116EF5">
        <w:rPr>
          <w:rFonts w:cstheme="minorHAnsi"/>
          <w:lang w:val="en-GB" w:eastAsia="nl-BE"/>
        </w:rPr>
        <w:t>) matrix suspension using a BD 180 precision double-action trigger airbrush (</w:t>
      </w:r>
      <w:proofErr w:type="spellStart"/>
      <w:r w:rsidRPr="00116EF5">
        <w:rPr>
          <w:rFonts w:cstheme="minorHAnsi"/>
          <w:lang w:val="en-GB" w:eastAsia="nl-BE"/>
        </w:rPr>
        <w:t>Fengda</w:t>
      </w:r>
      <w:proofErr w:type="spellEnd"/>
      <w:r w:rsidRPr="00116EF5">
        <w:rPr>
          <w:rFonts w:cstheme="minorHAnsi"/>
          <w:lang w:val="en-GB" w:eastAsia="nl-BE"/>
        </w:rPr>
        <w:t>®, Zhejiang, China) with a 0.20 mm nozzle diameter, using nitrogen at 0.2 bar. Care was taken to avoid over-spraying the matrix suspension on a single point to avoid the formation of droplets that would wet the surface with possible damage of the tissue structure, analyte diffusion or partial detachment of the slice from the plate. A MALDI 4800 coupled to a double time-of-flight (TOF-TOF; AB SCIEX Old Connecticut Path, Framingham, MA 01701, USA) was used, equipped with a 355-nm neodymium-doped (Nd)</w:t>
      </w:r>
      <w:r>
        <w:rPr>
          <w:rFonts w:cstheme="minorHAnsi"/>
          <w:lang w:val="en-GB" w:eastAsia="nl-BE"/>
        </w:rPr>
        <w:t>:</w:t>
      </w:r>
      <w:r w:rsidRPr="00116EF5">
        <w:rPr>
          <w:rFonts w:cstheme="minorHAnsi"/>
          <w:lang w:val="en-GB" w:eastAsia="nl-BE"/>
        </w:rPr>
        <w:t xml:space="preserve">YAG laser with a 200 Hz repetition rate, controlled by 4000 Series Explorer™ software (AB SCIEX Old Connecticut Path, Framingham, MA 01701, USA). MS spectra were acquired with 20 laser shots with intensity of 6,000 arbitrary units, with a bin size of 1.0 ns, acquiring spectra in </w:t>
      </w:r>
      <w:proofErr w:type="spellStart"/>
      <w:r w:rsidRPr="00116EF5">
        <w:rPr>
          <w:rFonts w:cstheme="minorHAnsi"/>
          <w:lang w:val="en-GB" w:eastAsia="nl-BE"/>
        </w:rPr>
        <w:t>reflectron</w:t>
      </w:r>
      <w:proofErr w:type="spellEnd"/>
      <w:r w:rsidRPr="00116EF5">
        <w:rPr>
          <w:rFonts w:cstheme="minorHAnsi"/>
          <w:lang w:val="en-GB" w:eastAsia="nl-BE"/>
        </w:rPr>
        <w:t xml:space="preserve"> negative-ion mode. Images of tissue sections were acquired using the 4800 imaging tool software (</w:t>
      </w:r>
      <w:hyperlink r:id="rId4" w:history="1">
        <w:r w:rsidRPr="00116EF5">
          <w:rPr>
            <w:rFonts w:cstheme="minorHAnsi"/>
            <w:lang w:val="en-GB" w:eastAsia="nl-BE"/>
          </w:rPr>
          <w:t>www.maldi-msi.org</w:t>
        </w:r>
      </w:hyperlink>
      <w:r w:rsidRPr="00116EF5">
        <w:rPr>
          <w:rFonts w:cstheme="minorHAnsi"/>
          <w:lang w:val="en-GB" w:eastAsia="nl-BE"/>
        </w:rPr>
        <w:t xml:space="preserve">, M. </w:t>
      </w:r>
      <w:proofErr w:type="spellStart"/>
      <w:r w:rsidRPr="00116EF5">
        <w:rPr>
          <w:rFonts w:cstheme="minorHAnsi"/>
          <w:lang w:val="en-GB" w:eastAsia="nl-BE"/>
        </w:rPr>
        <w:t>Stoeckli</w:t>
      </w:r>
      <w:proofErr w:type="spellEnd"/>
      <w:r w:rsidRPr="00116EF5">
        <w:rPr>
          <w:rFonts w:cstheme="minorHAnsi"/>
          <w:lang w:val="en-GB" w:eastAsia="nl-BE"/>
        </w:rPr>
        <w:t xml:space="preserve">, Novartis Pharma, Basel, Switzerland), with a lateral resolution of 100 µm. Tissue view software 1.1 (AB SCIEX Old Connecticut Path, Framingham, MA 01701, USA) was used to process and display the ions distribution inside the </w:t>
      </w:r>
      <w:proofErr w:type="spellStart"/>
      <w:r w:rsidRPr="00116EF5">
        <w:rPr>
          <w:rFonts w:cstheme="minorHAnsi"/>
          <w:lang w:val="en-GB" w:eastAsia="nl-BE"/>
        </w:rPr>
        <w:t>tumor</w:t>
      </w:r>
      <w:proofErr w:type="spellEnd"/>
      <w:r w:rsidRPr="00116EF5">
        <w:rPr>
          <w:rFonts w:cstheme="minorHAnsi"/>
          <w:lang w:val="en-GB" w:eastAsia="nl-BE"/>
        </w:rPr>
        <w:t xml:space="preserve"> sections, by plotting the fragment ion at m/z 284.2 corresponding to the side chain with the amide-acyl group of the PTX molecule. Normalization of the PTX ion signal (</w:t>
      </w:r>
      <w:r w:rsidRPr="00116EF5">
        <w:rPr>
          <w:rFonts w:cstheme="minorHAnsi"/>
          <w:i/>
          <w:lang w:val="en-GB" w:eastAsia="nl-BE"/>
        </w:rPr>
        <w:t xml:space="preserve">m/z </w:t>
      </w:r>
      <w:r w:rsidRPr="00116EF5">
        <w:rPr>
          <w:rFonts w:cstheme="minorHAnsi"/>
          <w:lang w:val="en-GB" w:eastAsia="nl-BE"/>
        </w:rPr>
        <w:t>284.2) was obtained computationally dividing its intensity by the intensity of a matrix ion (</w:t>
      </w:r>
      <w:r w:rsidRPr="00116EF5">
        <w:rPr>
          <w:rFonts w:cstheme="minorHAnsi"/>
          <w:i/>
          <w:lang w:val="en-GB" w:eastAsia="nl-BE"/>
        </w:rPr>
        <w:t>m/z</w:t>
      </w:r>
      <w:r w:rsidRPr="00116EF5">
        <w:rPr>
          <w:rFonts w:cstheme="minorHAnsi"/>
          <w:lang w:val="en-GB" w:eastAsia="nl-BE"/>
        </w:rPr>
        <w:t xml:space="preserve"> 251.8) pixel by pixel, to compensate ion suppression effects due to different tissue histology </w:t>
      </w:r>
      <w:r>
        <w:rPr>
          <w:rFonts w:cstheme="minorHAnsi"/>
          <w:lang w:val="en-GB" w:eastAsia="nl-BE"/>
        </w:rPr>
        <w:fldChar w:fldCharType="begin"/>
      </w:r>
      <w:r>
        <w:rPr>
          <w:rFonts w:cstheme="minorHAnsi"/>
          <w:lang w:val="en-GB" w:eastAsia="nl-BE"/>
        </w:rPr>
        <w:instrText xml:space="preserve"> ADDIN ZOTERO_ITEM CSL_CITATION {"citationID":"t2q56DNh","properties":{"formattedCitation":"\\super 30\\nosupersub{}","plainCitation":"30","noteIndex":0},"citationItems":[{"id":902,"uris":["http://zotero.org/users/3429752/items/TCWZQKWN"],"uri":["http://zotero.org/users/3429752/items/TCWZQKWN"],"itemData":{"id":902,"type":"article-journal","abstract":"Since biology is by and large a 3-dimensional phenomenon, it is hardly surprising that 3D imaging has had a significant impact on many challenges in the life sciences. Imaging mass spectrometry (MS) is a spatially resolved label-free analytical technique that recently maturated into a powerful tool for in situ localization of hundreds of molecular species. Serial 3D imaging MS reconstructs 3D molecular images from serial sections imaged with mass spectrometry. As such, it provides a novel 3D imaging modality inheriting the advantages of imaging MS. Serial 3D imaging MS has been steadily developing over the past decade, and many of the technical challenges have been met. Essential tools and protocols were developed, in particular to improve the reproducibility of sample preparation, speed up data acquisition, and enable computationally intensive analysis of the big data generated. As a result, experimental data is starting to emerge that takes advantage of the extra spatial dimension that 3D imaging MS offers. Most studies still focus on method development rather than on exploring specific biological problems. The future success of 3D imaging MS requires it to find its own niche alongside existing 3D imaging modalities through finding applications that benefit from 3D imaging and at the same time utilize the unique chemical sensitivity of imaging mass spectrometry. This perspective critically reviews the challenges encountered during the development of serial-sectioning 3D imaging MS and discusses the steps needed to tip it from being an academic curiosity into a tool of choice for answering biological and medical questions.","container-title":"Analytical Chemistry","DOI":"10.1021/ac504604g","ISSN":"1520-6882","issue":"8","journalAbbreviation":"Anal. Chem.","language":"eng","note":"PMID: 25817912","page":"4055-4062","source":"PubMed","title":"Serial 3D imaging mass spectrometry at its tipping point","volume":"87","author":[{"family":"Palmer","given":"Andrew D."},{"family":"Alexandrov","given":"Theodore"}],"issued":{"date-parts":[["2015",4,21]]}}}],"schema":"https://github.com/citation-style-language/schema/raw/master/csl-citation.json"} </w:instrText>
      </w:r>
      <w:r>
        <w:rPr>
          <w:rFonts w:cstheme="minorHAnsi"/>
          <w:lang w:val="en-GB" w:eastAsia="nl-BE"/>
        </w:rPr>
        <w:fldChar w:fldCharType="separate"/>
      </w:r>
      <w:r w:rsidRPr="00FC106E">
        <w:rPr>
          <w:rFonts w:ascii="Calibri" w:hAnsi="Calibri" w:cs="Calibri"/>
          <w:szCs w:val="24"/>
          <w:vertAlign w:val="superscript"/>
          <w:lang w:val="en-GB"/>
        </w:rPr>
        <w:t>30</w:t>
      </w:r>
      <w:r>
        <w:rPr>
          <w:rFonts w:cstheme="minorHAnsi"/>
          <w:lang w:val="en-GB" w:eastAsia="nl-BE"/>
        </w:rPr>
        <w:fldChar w:fldCharType="end"/>
      </w:r>
      <w:r w:rsidRPr="00116EF5">
        <w:rPr>
          <w:rFonts w:cstheme="minorHAnsi"/>
          <w:lang w:val="en-GB" w:eastAsia="nl-BE"/>
        </w:rPr>
        <w:fldChar w:fldCharType="begin"/>
      </w:r>
      <w:r>
        <w:rPr>
          <w:rFonts w:cstheme="minorHAnsi"/>
          <w:lang w:val="en-GB" w:eastAsia="nl-BE"/>
        </w:rPr>
        <w:instrText xml:space="preserve"> ADDIN EN.CITE &lt;EndNote&gt;&lt;Cite&gt;&lt;Author&gt;Palmer&lt;/Author&gt;&lt;Year&gt;2015&lt;/Year&gt;&lt;RecNum&gt;10312&lt;/RecNum&gt;&lt;DisplayText&gt;[38]&lt;/DisplayText&gt;&lt;record&gt;&lt;rec-number&gt;10312&lt;/rec-number&gt;&lt;foreign-keys&gt;&lt;key app="EN" db-id="dreztz9sm2ttzfeddtmx9wtma5aveez2v9te" timestamp="1519981928"&gt;10312&lt;/key&gt;&lt;/foreign-keys&gt;&lt;ref-type name="Journal Article"&gt;17&lt;/ref-type&gt;&lt;contributors&gt;&lt;authors&gt;&lt;author&gt;Palmer, A. D.&lt;/author&gt;&lt;author&gt;Alexandrov, T.&lt;/author&gt;&lt;/authors&gt;&lt;/contributors&gt;&lt;auth-address&gt;daggerEuropean Molecular Biology Laboratory, Meyerhofstrasse 1, 69117 Heidelberg, Germany.&amp;#xD;double daggerCenter for Industrial Mathematics, University of Bremen, 28359 Bremen, Germany.&amp;#xD;section signSCiLS GmbH, 28359 Bremen, Germany.&amp;#xD;parallelSkaggs School of Pharmacy and Pharmaceutical Sciences, University of California, San Diego, San Diego, California 92161, United States.&lt;/auth-address&gt;&lt;titles&gt;&lt;title&gt;Serial 3D imaging mass spectrometry at its tipping point&lt;/title&gt;&lt;secondary-title&gt;Anal Chem&lt;/secondary-title&gt;&lt;alt-title&gt;Analytical chemistry&lt;/alt-title&gt;&lt;/titles&gt;&lt;periodical&gt;&lt;full-title&gt;Anal Chem&lt;/full-title&gt;&lt;abbr-1&gt;Analytical chemistry&lt;/abbr-1&gt;&lt;/periodical&gt;&lt;alt-periodical&gt;&lt;full-title&gt;Anal Chem&lt;/full-title&gt;&lt;abbr-1&gt;Analytical chemistry&lt;/abbr-1&gt;&lt;/alt-periodical&gt;&lt;pages&gt;4055-62&lt;/pages&gt;&lt;volume&gt;87&lt;/volume&gt;&lt;number&gt;8&lt;/number&gt;&lt;keywords&gt;&lt;keyword&gt;Animals&lt;/keyword&gt;&lt;keyword&gt;Humans&lt;/keyword&gt;&lt;keyword&gt;*Imaging, Three-Dimensional&lt;/keyword&gt;&lt;keyword&gt;Mass Spectrometry&lt;/keyword&gt;&lt;/keywords&gt;&lt;dates&gt;&lt;year&gt;2015&lt;/year&gt;&lt;pub-dates&gt;&lt;date&gt;Apr 21&lt;/date&gt;&lt;/pub-dates&gt;&lt;/dates&gt;&lt;isbn&gt;1520-6882 (Electronic)&amp;#xD;0003-2700 (Linking)&lt;/isbn&gt;&lt;accession-num&gt;25817912&lt;/accession-num&gt;&lt;urls&gt;&lt;related-urls&gt;&lt;url&gt;http://www.ncbi.nlm.nih.gov/pubmed/25817912&lt;/url&gt;&lt;/related-urls&gt;&lt;/urls&gt;&lt;electronic-resource-num&gt;10.1021/ac504604g&lt;/electronic-resource-num&gt;&lt;/record&gt;&lt;/Cite&gt;&lt;/EndNote&gt;</w:instrText>
      </w:r>
      <w:r w:rsidRPr="00116EF5">
        <w:rPr>
          <w:rFonts w:cstheme="minorHAnsi"/>
          <w:lang w:val="en-GB" w:eastAsia="nl-BE"/>
        </w:rPr>
        <w:fldChar w:fldCharType="end"/>
      </w:r>
      <w:r w:rsidRPr="00116EF5">
        <w:rPr>
          <w:rFonts w:cstheme="minorHAnsi"/>
          <w:lang w:val="en-GB" w:eastAsia="nl-BE"/>
        </w:rPr>
        <w:t>.</w:t>
      </w:r>
      <w:r>
        <w:rPr>
          <w:rFonts w:cstheme="minorHAnsi"/>
          <w:lang w:val="en-GB" w:eastAsia="nl-BE"/>
        </w:rPr>
        <w:t xml:space="preserve"> </w:t>
      </w:r>
      <w:r w:rsidRPr="001B47B1">
        <w:rPr>
          <w:rFonts w:cstheme="minorHAnsi"/>
          <w:lang w:val="en-GB" w:eastAsia="nl-BE"/>
        </w:rPr>
        <w:t xml:space="preserve">To obtain relative quantitative data, the mean PTX ion signal normalized to the matrix ion signal (m/z 251) was calculated in a ROI enclosing the whole </w:t>
      </w:r>
      <w:proofErr w:type="spellStart"/>
      <w:r w:rsidRPr="001B47B1">
        <w:rPr>
          <w:rFonts w:cstheme="minorHAnsi"/>
          <w:lang w:val="en-GB" w:eastAsia="nl-BE"/>
        </w:rPr>
        <w:t>tumor</w:t>
      </w:r>
      <w:proofErr w:type="spellEnd"/>
      <w:r w:rsidRPr="001B47B1">
        <w:rPr>
          <w:rFonts w:cstheme="minorHAnsi"/>
          <w:lang w:val="en-GB" w:eastAsia="nl-BE"/>
        </w:rPr>
        <w:t xml:space="preserve"> section for each time point.</w:t>
      </w:r>
    </w:p>
    <w:p w14:paraId="45F3F9F4" w14:textId="77777777" w:rsidR="006B194C" w:rsidRDefault="006B194C" w:rsidP="00431E79">
      <w:pPr>
        <w:spacing w:line="360" w:lineRule="auto"/>
        <w:jc w:val="both"/>
        <w:rPr>
          <w:rFonts w:cstheme="minorHAnsi"/>
          <w:noProof/>
          <w:lang w:val="en-GB" w:eastAsia="sv-SE"/>
        </w:rPr>
      </w:pPr>
    </w:p>
    <w:p w14:paraId="03000535" w14:textId="22657158" w:rsidR="00431E79" w:rsidRPr="00431E79" w:rsidRDefault="00431E79" w:rsidP="00431E79">
      <w:pPr>
        <w:spacing w:line="360" w:lineRule="auto"/>
        <w:jc w:val="both"/>
        <w:rPr>
          <w:rFonts w:cstheme="minorHAnsi"/>
          <w:b/>
          <w:bCs/>
          <w:noProof/>
          <w:lang w:val="en-GB" w:eastAsia="sv-SE"/>
        </w:rPr>
      </w:pPr>
      <w:r w:rsidRPr="00431E79">
        <w:rPr>
          <w:rFonts w:cstheme="minorHAnsi"/>
          <w:b/>
          <w:bCs/>
          <w:noProof/>
          <w:lang w:val="en-GB" w:eastAsia="sv-SE"/>
        </w:rPr>
        <w:t>Supplementary table 1</w:t>
      </w:r>
    </w:p>
    <w:p w14:paraId="3B79124A" w14:textId="52754B7B" w:rsidR="00431E79" w:rsidRPr="00431E79" w:rsidRDefault="00431E79" w:rsidP="00431E79">
      <w:pPr>
        <w:spacing w:after="0" w:line="360" w:lineRule="auto"/>
        <w:jc w:val="both"/>
        <w:rPr>
          <w:rFonts w:cstheme="minorHAnsi"/>
          <w:b/>
          <w:lang w:val="en-GB"/>
        </w:rPr>
      </w:pPr>
      <w:proofErr w:type="spellStart"/>
      <w:r w:rsidRPr="00431E79">
        <w:rPr>
          <w:rFonts w:cstheme="minorHAnsi"/>
          <w:b/>
          <w:lang w:val="en-GB"/>
        </w:rPr>
        <w:t>Qupath</w:t>
      </w:r>
      <w:proofErr w:type="spellEnd"/>
      <w:r w:rsidRPr="00431E79">
        <w:rPr>
          <w:rFonts w:cstheme="minorHAnsi"/>
          <w:b/>
          <w:lang w:val="en-GB"/>
        </w:rPr>
        <w:t xml:space="preserve"> positive cell detection parameters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31E79" w14:paraId="7A8DB3A0" w14:textId="77777777" w:rsidTr="00431E79">
        <w:tc>
          <w:tcPr>
            <w:tcW w:w="4508" w:type="dxa"/>
          </w:tcPr>
          <w:p w14:paraId="03D67D9D" w14:textId="6DF98CFF" w:rsidR="00431E79" w:rsidRDefault="00431E79" w:rsidP="00431E79">
            <w:pPr>
              <w:spacing w:line="360" w:lineRule="auto"/>
              <w:jc w:val="both"/>
              <w:rPr>
                <w:rFonts w:cstheme="minorHAnsi"/>
                <w:bCs/>
                <w:lang w:val="en-GB"/>
              </w:rPr>
            </w:pPr>
            <w:r>
              <w:rPr>
                <w:rFonts w:cstheme="minorHAnsi"/>
                <w:bCs/>
                <w:lang w:val="en-GB"/>
              </w:rPr>
              <w:t>Detection image</w:t>
            </w:r>
          </w:p>
        </w:tc>
        <w:tc>
          <w:tcPr>
            <w:tcW w:w="4508" w:type="dxa"/>
          </w:tcPr>
          <w:p w14:paraId="569DB09F" w14:textId="1DE0E1AB" w:rsidR="00431E79" w:rsidRDefault="00431E79" w:rsidP="00431E79">
            <w:pPr>
              <w:spacing w:line="360" w:lineRule="auto"/>
              <w:jc w:val="both"/>
              <w:rPr>
                <w:rFonts w:cstheme="minorHAnsi"/>
                <w:bCs/>
                <w:lang w:val="en-GB"/>
              </w:rPr>
            </w:pPr>
            <w:r>
              <w:rPr>
                <w:rFonts w:cstheme="minorHAnsi"/>
                <w:bCs/>
                <w:lang w:val="en-GB"/>
              </w:rPr>
              <w:t>Optical density sum</w:t>
            </w:r>
          </w:p>
        </w:tc>
      </w:tr>
      <w:tr w:rsidR="00431E79" w14:paraId="45A3BB39" w14:textId="77777777" w:rsidTr="00431E79">
        <w:tc>
          <w:tcPr>
            <w:tcW w:w="4508" w:type="dxa"/>
          </w:tcPr>
          <w:p w14:paraId="29310899" w14:textId="76DBFB4B" w:rsidR="00431E79" w:rsidRDefault="00431E79" w:rsidP="00431E79">
            <w:pPr>
              <w:spacing w:line="360" w:lineRule="auto"/>
              <w:jc w:val="both"/>
              <w:rPr>
                <w:rFonts w:cstheme="minorHAnsi"/>
                <w:bCs/>
                <w:lang w:val="en-GB"/>
              </w:rPr>
            </w:pPr>
            <w:r>
              <w:rPr>
                <w:rFonts w:cstheme="minorHAnsi"/>
                <w:bCs/>
                <w:lang w:val="en-GB"/>
              </w:rPr>
              <w:t>Requested pixel size</w:t>
            </w:r>
          </w:p>
        </w:tc>
        <w:tc>
          <w:tcPr>
            <w:tcW w:w="4508" w:type="dxa"/>
          </w:tcPr>
          <w:p w14:paraId="592398A4" w14:textId="5326F95A" w:rsidR="00431E79" w:rsidRDefault="00431E79" w:rsidP="00431E79">
            <w:pPr>
              <w:spacing w:line="360" w:lineRule="auto"/>
              <w:jc w:val="both"/>
              <w:rPr>
                <w:rFonts w:cstheme="minorHAnsi"/>
                <w:bCs/>
                <w:lang w:val="en-GB"/>
              </w:rPr>
            </w:pPr>
            <w:r>
              <w:rPr>
                <w:rFonts w:cstheme="minorHAnsi"/>
                <w:bCs/>
                <w:lang w:val="en-GB"/>
              </w:rPr>
              <w:t>0.5</w:t>
            </w:r>
          </w:p>
        </w:tc>
      </w:tr>
      <w:tr w:rsidR="00431E79" w14:paraId="268B39B2" w14:textId="77777777" w:rsidTr="00431E79">
        <w:tc>
          <w:tcPr>
            <w:tcW w:w="4508" w:type="dxa"/>
          </w:tcPr>
          <w:p w14:paraId="355245E9" w14:textId="6F68672B" w:rsidR="00431E79" w:rsidRPr="00431E79" w:rsidRDefault="00431E79" w:rsidP="00431E79">
            <w:pPr>
              <w:spacing w:line="360" w:lineRule="auto"/>
              <w:jc w:val="both"/>
              <w:rPr>
                <w:rFonts w:cstheme="minorHAnsi"/>
                <w:b/>
                <w:lang w:val="en-GB"/>
              </w:rPr>
            </w:pPr>
            <w:r w:rsidRPr="00431E79">
              <w:rPr>
                <w:rFonts w:cstheme="minorHAnsi"/>
                <w:b/>
                <w:lang w:val="en-GB"/>
              </w:rPr>
              <w:t>Nucleus parameters</w:t>
            </w:r>
          </w:p>
        </w:tc>
        <w:tc>
          <w:tcPr>
            <w:tcW w:w="4508" w:type="dxa"/>
          </w:tcPr>
          <w:p w14:paraId="3050CB12" w14:textId="77777777" w:rsidR="00431E79" w:rsidRDefault="00431E79" w:rsidP="00431E79">
            <w:pPr>
              <w:spacing w:line="360" w:lineRule="auto"/>
              <w:jc w:val="both"/>
              <w:rPr>
                <w:rFonts w:cstheme="minorHAnsi"/>
                <w:bCs/>
                <w:lang w:val="en-GB"/>
              </w:rPr>
            </w:pPr>
          </w:p>
        </w:tc>
      </w:tr>
      <w:tr w:rsidR="00431E79" w14:paraId="0C628CA5" w14:textId="77777777" w:rsidTr="00431E79">
        <w:tc>
          <w:tcPr>
            <w:tcW w:w="4508" w:type="dxa"/>
          </w:tcPr>
          <w:p w14:paraId="4631386E" w14:textId="2721D6AC" w:rsidR="00431E79" w:rsidRDefault="00431E79" w:rsidP="00431E79">
            <w:pPr>
              <w:spacing w:line="360" w:lineRule="auto"/>
              <w:jc w:val="both"/>
              <w:rPr>
                <w:rFonts w:cstheme="minorHAnsi"/>
                <w:bCs/>
                <w:lang w:val="en-GB"/>
              </w:rPr>
            </w:pPr>
            <w:r>
              <w:rPr>
                <w:rFonts w:cstheme="minorHAnsi"/>
                <w:bCs/>
                <w:lang w:val="en-GB"/>
              </w:rPr>
              <w:t>Background radius</w:t>
            </w:r>
          </w:p>
        </w:tc>
        <w:tc>
          <w:tcPr>
            <w:tcW w:w="4508" w:type="dxa"/>
          </w:tcPr>
          <w:p w14:paraId="694EBAD6" w14:textId="775C331D" w:rsidR="00431E79" w:rsidRDefault="00431E79" w:rsidP="00431E79">
            <w:pPr>
              <w:spacing w:line="360" w:lineRule="auto"/>
              <w:jc w:val="both"/>
              <w:rPr>
                <w:rFonts w:cstheme="minorHAnsi"/>
                <w:bCs/>
                <w:lang w:val="en-GB"/>
              </w:rPr>
            </w:pPr>
            <w:r>
              <w:rPr>
                <w:rFonts w:cstheme="minorHAnsi"/>
                <w:bCs/>
                <w:lang w:val="en-GB"/>
              </w:rPr>
              <w:t>8µm</w:t>
            </w:r>
          </w:p>
        </w:tc>
      </w:tr>
      <w:tr w:rsidR="00431E79" w14:paraId="1AF01045" w14:textId="77777777" w:rsidTr="00431E79">
        <w:tc>
          <w:tcPr>
            <w:tcW w:w="4508" w:type="dxa"/>
          </w:tcPr>
          <w:p w14:paraId="3BBA54CF" w14:textId="37CF07C0" w:rsidR="00431E79" w:rsidRDefault="00431E79" w:rsidP="00431E79">
            <w:pPr>
              <w:spacing w:line="360" w:lineRule="auto"/>
              <w:jc w:val="both"/>
              <w:rPr>
                <w:rFonts w:cstheme="minorHAnsi"/>
                <w:bCs/>
                <w:lang w:val="en-GB"/>
              </w:rPr>
            </w:pPr>
            <w:r>
              <w:rPr>
                <w:rFonts w:cstheme="minorHAnsi"/>
                <w:bCs/>
                <w:lang w:val="en-GB"/>
              </w:rPr>
              <w:t>Median filter radius</w:t>
            </w:r>
          </w:p>
        </w:tc>
        <w:tc>
          <w:tcPr>
            <w:tcW w:w="4508" w:type="dxa"/>
          </w:tcPr>
          <w:p w14:paraId="76544BE2" w14:textId="47310993" w:rsidR="00431E79" w:rsidRDefault="00431E79" w:rsidP="00431E79">
            <w:pPr>
              <w:spacing w:line="360" w:lineRule="auto"/>
              <w:jc w:val="both"/>
              <w:rPr>
                <w:rFonts w:cstheme="minorHAnsi"/>
                <w:bCs/>
                <w:lang w:val="en-GB"/>
              </w:rPr>
            </w:pPr>
            <w:r>
              <w:rPr>
                <w:rFonts w:cstheme="minorHAnsi"/>
                <w:bCs/>
                <w:lang w:val="en-GB"/>
              </w:rPr>
              <w:t>0</w:t>
            </w:r>
          </w:p>
        </w:tc>
      </w:tr>
      <w:tr w:rsidR="00431E79" w14:paraId="7374A4BB" w14:textId="77777777" w:rsidTr="00431E79">
        <w:tc>
          <w:tcPr>
            <w:tcW w:w="4508" w:type="dxa"/>
          </w:tcPr>
          <w:p w14:paraId="06ACE197" w14:textId="2D0B42A8" w:rsidR="00431E79" w:rsidRDefault="00431E79" w:rsidP="00431E79">
            <w:pPr>
              <w:spacing w:line="360" w:lineRule="auto"/>
              <w:jc w:val="both"/>
              <w:rPr>
                <w:rFonts w:cstheme="minorHAnsi"/>
                <w:bCs/>
                <w:lang w:val="en-GB"/>
              </w:rPr>
            </w:pPr>
            <w:r>
              <w:rPr>
                <w:rFonts w:cstheme="minorHAnsi"/>
                <w:bCs/>
                <w:lang w:val="en-GB"/>
              </w:rPr>
              <w:t>Sigma</w:t>
            </w:r>
          </w:p>
        </w:tc>
        <w:tc>
          <w:tcPr>
            <w:tcW w:w="4508" w:type="dxa"/>
          </w:tcPr>
          <w:p w14:paraId="31570C03" w14:textId="301A9367" w:rsidR="00431E79" w:rsidRDefault="00431E79" w:rsidP="00431E79">
            <w:pPr>
              <w:spacing w:line="360" w:lineRule="auto"/>
              <w:jc w:val="both"/>
              <w:rPr>
                <w:rFonts w:cstheme="minorHAnsi"/>
                <w:bCs/>
                <w:lang w:val="en-GB"/>
              </w:rPr>
            </w:pPr>
            <w:r>
              <w:rPr>
                <w:rFonts w:cstheme="minorHAnsi"/>
                <w:bCs/>
                <w:lang w:val="en-GB"/>
              </w:rPr>
              <w:t>1.25</w:t>
            </w:r>
          </w:p>
        </w:tc>
      </w:tr>
      <w:tr w:rsidR="00431E79" w14:paraId="66ECACA2" w14:textId="77777777" w:rsidTr="00431E79">
        <w:tc>
          <w:tcPr>
            <w:tcW w:w="4508" w:type="dxa"/>
          </w:tcPr>
          <w:p w14:paraId="5CE08B60" w14:textId="6948A6C3" w:rsidR="00431E79" w:rsidRDefault="00431E79" w:rsidP="00431E79">
            <w:pPr>
              <w:spacing w:line="360" w:lineRule="auto"/>
              <w:jc w:val="both"/>
              <w:rPr>
                <w:rFonts w:cstheme="minorHAnsi"/>
                <w:bCs/>
                <w:lang w:val="en-GB"/>
              </w:rPr>
            </w:pPr>
            <w:r>
              <w:rPr>
                <w:rFonts w:cstheme="minorHAnsi"/>
                <w:bCs/>
                <w:lang w:val="en-GB"/>
              </w:rPr>
              <w:t>Minimum area</w:t>
            </w:r>
          </w:p>
        </w:tc>
        <w:tc>
          <w:tcPr>
            <w:tcW w:w="4508" w:type="dxa"/>
          </w:tcPr>
          <w:p w14:paraId="2D4FBC04" w14:textId="375B485D" w:rsidR="00431E79" w:rsidRDefault="00431E79" w:rsidP="00431E79">
            <w:pPr>
              <w:spacing w:line="360" w:lineRule="auto"/>
              <w:jc w:val="both"/>
              <w:rPr>
                <w:rFonts w:cstheme="minorHAnsi"/>
                <w:bCs/>
                <w:lang w:val="en-GB"/>
              </w:rPr>
            </w:pPr>
            <w:r>
              <w:rPr>
                <w:rFonts w:cstheme="minorHAnsi"/>
                <w:bCs/>
                <w:lang w:val="en-GB"/>
              </w:rPr>
              <w:t>10</w:t>
            </w:r>
          </w:p>
        </w:tc>
      </w:tr>
      <w:tr w:rsidR="00431E79" w14:paraId="47D68D93" w14:textId="77777777" w:rsidTr="00431E79">
        <w:tc>
          <w:tcPr>
            <w:tcW w:w="4508" w:type="dxa"/>
          </w:tcPr>
          <w:p w14:paraId="20A7B21F" w14:textId="3F7BAE79" w:rsidR="00431E79" w:rsidRDefault="00431E79" w:rsidP="00431E79">
            <w:pPr>
              <w:spacing w:line="360" w:lineRule="auto"/>
              <w:jc w:val="both"/>
              <w:rPr>
                <w:rFonts w:cstheme="minorHAnsi"/>
                <w:bCs/>
                <w:lang w:val="en-GB"/>
              </w:rPr>
            </w:pPr>
            <w:r>
              <w:rPr>
                <w:rFonts w:cstheme="minorHAnsi"/>
                <w:bCs/>
                <w:lang w:val="en-GB"/>
              </w:rPr>
              <w:t>Maximum area</w:t>
            </w:r>
          </w:p>
        </w:tc>
        <w:tc>
          <w:tcPr>
            <w:tcW w:w="4508" w:type="dxa"/>
          </w:tcPr>
          <w:p w14:paraId="5C691EFC" w14:textId="088217D6" w:rsidR="00431E79" w:rsidRDefault="00431E79" w:rsidP="00431E79">
            <w:pPr>
              <w:spacing w:line="360" w:lineRule="auto"/>
              <w:jc w:val="both"/>
              <w:rPr>
                <w:rFonts w:cstheme="minorHAnsi"/>
                <w:bCs/>
                <w:lang w:val="en-GB"/>
              </w:rPr>
            </w:pPr>
            <w:r>
              <w:rPr>
                <w:rFonts w:cstheme="minorHAnsi"/>
                <w:bCs/>
                <w:lang w:val="en-GB"/>
              </w:rPr>
              <w:t>400</w:t>
            </w:r>
          </w:p>
        </w:tc>
      </w:tr>
      <w:tr w:rsidR="00431E79" w14:paraId="10E7C5B1" w14:textId="77777777" w:rsidTr="00431E79">
        <w:tc>
          <w:tcPr>
            <w:tcW w:w="4508" w:type="dxa"/>
          </w:tcPr>
          <w:p w14:paraId="5A77AF65" w14:textId="18870538" w:rsidR="00431E79" w:rsidRPr="00431E79" w:rsidRDefault="00431E79" w:rsidP="00431E79">
            <w:pPr>
              <w:spacing w:line="360" w:lineRule="auto"/>
              <w:jc w:val="both"/>
              <w:rPr>
                <w:rFonts w:cstheme="minorHAnsi"/>
                <w:b/>
                <w:lang w:val="en-GB"/>
              </w:rPr>
            </w:pPr>
            <w:r w:rsidRPr="00431E79">
              <w:rPr>
                <w:rFonts w:cstheme="minorHAnsi"/>
                <w:b/>
                <w:lang w:val="en-GB"/>
              </w:rPr>
              <w:t>Intensity parameters</w:t>
            </w:r>
          </w:p>
        </w:tc>
        <w:tc>
          <w:tcPr>
            <w:tcW w:w="4508" w:type="dxa"/>
          </w:tcPr>
          <w:p w14:paraId="3C908FC1" w14:textId="77777777" w:rsidR="00431E79" w:rsidRDefault="00431E79" w:rsidP="00431E79">
            <w:pPr>
              <w:spacing w:line="360" w:lineRule="auto"/>
              <w:jc w:val="both"/>
              <w:rPr>
                <w:rFonts w:cstheme="minorHAnsi"/>
                <w:bCs/>
                <w:lang w:val="en-GB"/>
              </w:rPr>
            </w:pPr>
          </w:p>
        </w:tc>
      </w:tr>
      <w:tr w:rsidR="00431E79" w14:paraId="0213F58F" w14:textId="77777777" w:rsidTr="00431E79">
        <w:tc>
          <w:tcPr>
            <w:tcW w:w="4508" w:type="dxa"/>
          </w:tcPr>
          <w:p w14:paraId="3D6B7B25" w14:textId="3C473856" w:rsidR="00431E79" w:rsidRDefault="00431E79" w:rsidP="00431E79">
            <w:pPr>
              <w:spacing w:line="360" w:lineRule="auto"/>
              <w:jc w:val="both"/>
              <w:rPr>
                <w:rFonts w:cstheme="minorHAnsi"/>
                <w:bCs/>
                <w:lang w:val="en-GB"/>
              </w:rPr>
            </w:pPr>
            <w:proofErr w:type="spellStart"/>
            <w:r>
              <w:rPr>
                <w:rFonts w:cstheme="minorHAnsi"/>
                <w:bCs/>
                <w:lang w:val="en-GB"/>
              </w:rPr>
              <w:t>Treshold</w:t>
            </w:r>
            <w:proofErr w:type="spellEnd"/>
          </w:p>
        </w:tc>
        <w:tc>
          <w:tcPr>
            <w:tcW w:w="4508" w:type="dxa"/>
          </w:tcPr>
          <w:p w14:paraId="5F6007B1" w14:textId="3F61E682" w:rsidR="00431E79" w:rsidRDefault="00431E79" w:rsidP="00431E79">
            <w:pPr>
              <w:spacing w:line="360" w:lineRule="auto"/>
              <w:jc w:val="both"/>
              <w:rPr>
                <w:rFonts w:cstheme="minorHAnsi"/>
                <w:bCs/>
                <w:lang w:val="en-GB"/>
              </w:rPr>
            </w:pPr>
            <w:r>
              <w:rPr>
                <w:rFonts w:cstheme="minorHAnsi"/>
                <w:bCs/>
                <w:lang w:val="en-GB"/>
              </w:rPr>
              <w:t>0.1</w:t>
            </w:r>
          </w:p>
        </w:tc>
      </w:tr>
      <w:tr w:rsidR="00431E79" w14:paraId="4264DFFF" w14:textId="77777777" w:rsidTr="00431E79">
        <w:tc>
          <w:tcPr>
            <w:tcW w:w="4508" w:type="dxa"/>
          </w:tcPr>
          <w:p w14:paraId="2A6F7EBF" w14:textId="7ED7BCB8" w:rsidR="00431E79" w:rsidRDefault="00431E79" w:rsidP="00431E79">
            <w:pPr>
              <w:spacing w:line="360" w:lineRule="auto"/>
              <w:jc w:val="both"/>
              <w:rPr>
                <w:rFonts w:cstheme="minorHAnsi"/>
                <w:bCs/>
                <w:lang w:val="en-GB"/>
              </w:rPr>
            </w:pPr>
            <w:r>
              <w:rPr>
                <w:rFonts w:cstheme="minorHAnsi"/>
                <w:bCs/>
                <w:lang w:val="en-GB"/>
              </w:rPr>
              <w:lastRenderedPageBreak/>
              <w:t>Max background intensity</w:t>
            </w:r>
          </w:p>
        </w:tc>
        <w:tc>
          <w:tcPr>
            <w:tcW w:w="4508" w:type="dxa"/>
          </w:tcPr>
          <w:p w14:paraId="125E3005" w14:textId="185B758F" w:rsidR="00431E79" w:rsidRDefault="00431E79" w:rsidP="00431E79">
            <w:pPr>
              <w:spacing w:line="360" w:lineRule="auto"/>
              <w:jc w:val="both"/>
              <w:rPr>
                <w:rFonts w:cstheme="minorHAnsi"/>
                <w:bCs/>
                <w:lang w:val="en-GB"/>
              </w:rPr>
            </w:pPr>
            <w:r>
              <w:rPr>
                <w:rFonts w:cstheme="minorHAnsi"/>
                <w:bCs/>
                <w:lang w:val="en-GB"/>
              </w:rPr>
              <w:t>0.5</w:t>
            </w:r>
          </w:p>
        </w:tc>
      </w:tr>
      <w:tr w:rsidR="00431E79" w14:paraId="2BE92B5D" w14:textId="77777777" w:rsidTr="00431E79">
        <w:tc>
          <w:tcPr>
            <w:tcW w:w="4508" w:type="dxa"/>
          </w:tcPr>
          <w:p w14:paraId="0E44E7F2" w14:textId="6C38180D" w:rsidR="00431E79" w:rsidRDefault="00431E79" w:rsidP="00431E79">
            <w:pPr>
              <w:spacing w:line="360" w:lineRule="auto"/>
              <w:jc w:val="both"/>
              <w:rPr>
                <w:rFonts w:cstheme="minorHAnsi"/>
                <w:bCs/>
                <w:lang w:val="en-GB"/>
              </w:rPr>
            </w:pPr>
            <w:r>
              <w:rPr>
                <w:rFonts w:cstheme="minorHAnsi"/>
                <w:bCs/>
                <w:lang w:val="en-GB"/>
              </w:rPr>
              <w:t>Split by shape</w:t>
            </w:r>
          </w:p>
        </w:tc>
        <w:tc>
          <w:tcPr>
            <w:tcW w:w="4508" w:type="dxa"/>
          </w:tcPr>
          <w:p w14:paraId="0482E072" w14:textId="6DF47E62" w:rsidR="00431E79" w:rsidRDefault="00431E79" w:rsidP="00431E79">
            <w:pPr>
              <w:spacing w:line="360" w:lineRule="auto"/>
              <w:jc w:val="both"/>
              <w:rPr>
                <w:rFonts w:cstheme="minorHAnsi"/>
                <w:bCs/>
                <w:lang w:val="en-GB"/>
              </w:rPr>
            </w:pPr>
            <w:r>
              <w:rPr>
                <w:rFonts w:cstheme="minorHAnsi"/>
                <w:bCs/>
                <w:lang w:val="en-GB"/>
              </w:rPr>
              <w:t>ON</w:t>
            </w:r>
          </w:p>
        </w:tc>
      </w:tr>
      <w:tr w:rsidR="00431E79" w14:paraId="024CC826" w14:textId="77777777" w:rsidTr="00431E79">
        <w:tc>
          <w:tcPr>
            <w:tcW w:w="4508" w:type="dxa"/>
          </w:tcPr>
          <w:p w14:paraId="0B31E74C" w14:textId="0509F736" w:rsidR="00431E79" w:rsidRDefault="00431E79" w:rsidP="00431E79">
            <w:pPr>
              <w:spacing w:line="360" w:lineRule="auto"/>
              <w:jc w:val="both"/>
              <w:rPr>
                <w:rFonts w:cstheme="minorHAnsi"/>
                <w:bCs/>
                <w:lang w:val="en-GB"/>
              </w:rPr>
            </w:pPr>
            <w:r>
              <w:rPr>
                <w:rFonts w:cstheme="minorHAnsi"/>
                <w:bCs/>
                <w:lang w:val="en-GB"/>
              </w:rPr>
              <w:t>Exclude DAB (membrane staining)</w:t>
            </w:r>
          </w:p>
        </w:tc>
        <w:tc>
          <w:tcPr>
            <w:tcW w:w="4508" w:type="dxa"/>
          </w:tcPr>
          <w:p w14:paraId="14830B14" w14:textId="6EA0FFB1" w:rsidR="00431E79" w:rsidRDefault="00431E79" w:rsidP="00431E79">
            <w:pPr>
              <w:spacing w:line="360" w:lineRule="auto"/>
              <w:jc w:val="both"/>
              <w:rPr>
                <w:rFonts w:cstheme="minorHAnsi"/>
                <w:bCs/>
                <w:lang w:val="en-GB"/>
              </w:rPr>
            </w:pPr>
            <w:r>
              <w:rPr>
                <w:rFonts w:cstheme="minorHAnsi"/>
                <w:bCs/>
                <w:lang w:val="en-GB"/>
              </w:rPr>
              <w:t>OFF</w:t>
            </w:r>
          </w:p>
        </w:tc>
      </w:tr>
      <w:tr w:rsidR="00431E79" w14:paraId="3EA19120" w14:textId="77777777" w:rsidTr="00431E79">
        <w:tc>
          <w:tcPr>
            <w:tcW w:w="4508" w:type="dxa"/>
          </w:tcPr>
          <w:p w14:paraId="38FC0D3E" w14:textId="2E32A0E0" w:rsidR="00431E79" w:rsidRPr="00431E79" w:rsidRDefault="00431E79" w:rsidP="00431E79">
            <w:pPr>
              <w:spacing w:line="360" w:lineRule="auto"/>
              <w:jc w:val="both"/>
              <w:rPr>
                <w:rFonts w:cstheme="minorHAnsi"/>
                <w:b/>
                <w:lang w:val="en-GB"/>
              </w:rPr>
            </w:pPr>
            <w:r w:rsidRPr="00431E79">
              <w:rPr>
                <w:rFonts w:cstheme="minorHAnsi"/>
                <w:b/>
                <w:lang w:val="en-GB"/>
              </w:rPr>
              <w:t>Cell parameters</w:t>
            </w:r>
          </w:p>
        </w:tc>
        <w:tc>
          <w:tcPr>
            <w:tcW w:w="4508" w:type="dxa"/>
          </w:tcPr>
          <w:p w14:paraId="3894C6F6" w14:textId="77777777" w:rsidR="00431E79" w:rsidRDefault="00431E79" w:rsidP="00431E79">
            <w:pPr>
              <w:spacing w:line="360" w:lineRule="auto"/>
              <w:jc w:val="both"/>
              <w:rPr>
                <w:rFonts w:cstheme="minorHAnsi"/>
                <w:bCs/>
                <w:lang w:val="en-GB"/>
              </w:rPr>
            </w:pPr>
          </w:p>
        </w:tc>
      </w:tr>
      <w:tr w:rsidR="00431E79" w14:paraId="08832E2A" w14:textId="77777777" w:rsidTr="00431E79">
        <w:tc>
          <w:tcPr>
            <w:tcW w:w="4508" w:type="dxa"/>
          </w:tcPr>
          <w:p w14:paraId="1A5B6F62" w14:textId="2C6818C0" w:rsidR="00431E79" w:rsidRDefault="00431E79" w:rsidP="00431E79">
            <w:pPr>
              <w:spacing w:line="360" w:lineRule="auto"/>
              <w:jc w:val="both"/>
              <w:rPr>
                <w:rFonts w:cstheme="minorHAnsi"/>
                <w:bCs/>
                <w:lang w:val="en-GB"/>
              </w:rPr>
            </w:pPr>
            <w:r>
              <w:rPr>
                <w:rFonts w:cstheme="minorHAnsi"/>
                <w:bCs/>
                <w:lang w:val="en-GB"/>
              </w:rPr>
              <w:t>Cell expansion</w:t>
            </w:r>
          </w:p>
        </w:tc>
        <w:tc>
          <w:tcPr>
            <w:tcW w:w="4508" w:type="dxa"/>
          </w:tcPr>
          <w:p w14:paraId="40CCB687" w14:textId="695A7803" w:rsidR="00431E79" w:rsidRDefault="00431E79" w:rsidP="00431E79">
            <w:pPr>
              <w:spacing w:line="360" w:lineRule="auto"/>
              <w:jc w:val="both"/>
              <w:rPr>
                <w:rFonts w:cstheme="minorHAnsi"/>
                <w:bCs/>
                <w:lang w:val="en-GB"/>
              </w:rPr>
            </w:pPr>
            <w:r>
              <w:rPr>
                <w:rFonts w:cstheme="minorHAnsi"/>
                <w:bCs/>
                <w:lang w:val="en-GB"/>
              </w:rPr>
              <w:t>5µm</w:t>
            </w:r>
          </w:p>
        </w:tc>
      </w:tr>
      <w:tr w:rsidR="00431E79" w14:paraId="6D75CCFD" w14:textId="77777777" w:rsidTr="00431E79">
        <w:tc>
          <w:tcPr>
            <w:tcW w:w="4508" w:type="dxa"/>
          </w:tcPr>
          <w:p w14:paraId="44FBBAD6" w14:textId="4520236C" w:rsidR="00431E79" w:rsidRDefault="00431E79" w:rsidP="00431E79">
            <w:pPr>
              <w:spacing w:line="360" w:lineRule="auto"/>
              <w:jc w:val="both"/>
              <w:rPr>
                <w:rFonts w:cstheme="minorHAnsi"/>
                <w:bCs/>
                <w:lang w:val="en-GB"/>
              </w:rPr>
            </w:pPr>
            <w:r>
              <w:rPr>
                <w:rFonts w:cstheme="minorHAnsi"/>
                <w:bCs/>
                <w:lang w:val="en-GB"/>
              </w:rPr>
              <w:t>Include cell nucleus</w:t>
            </w:r>
          </w:p>
        </w:tc>
        <w:tc>
          <w:tcPr>
            <w:tcW w:w="4508" w:type="dxa"/>
          </w:tcPr>
          <w:p w14:paraId="083B7EA2" w14:textId="5F07A177" w:rsidR="00431E79" w:rsidRDefault="00431E79" w:rsidP="00431E79">
            <w:pPr>
              <w:spacing w:line="360" w:lineRule="auto"/>
              <w:jc w:val="both"/>
              <w:rPr>
                <w:rFonts w:cstheme="minorHAnsi"/>
                <w:bCs/>
                <w:lang w:val="en-GB"/>
              </w:rPr>
            </w:pPr>
            <w:r>
              <w:rPr>
                <w:rFonts w:cstheme="minorHAnsi"/>
                <w:bCs/>
                <w:lang w:val="en-GB"/>
              </w:rPr>
              <w:t>ON</w:t>
            </w:r>
          </w:p>
        </w:tc>
      </w:tr>
      <w:tr w:rsidR="00431E79" w14:paraId="595AF2B2" w14:textId="77777777" w:rsidTr="00431E79">
        <w:tc>
          <w:tcPr>
            <w:tcW w:w="4508" w:type="dxa"/>
          </w:tcPr>
          <w:p w14:paraId="51AF7E93" w14:textId="2F48AD54" w:rsidR="00431E79" w:rsidRPr="00431E79" w:rsidRDefault="00431E79" w:rsidP="00431E79">
            <w:pPr>
              <w:spacing w:line="360" w:lineRule="auto"/>
              <w:jc w:val="both"/>
              <w:rPr>
                <w:rFonts w:cstheme="minorHAnsi"/>
                <w:b/>
                <w:lang w:val="en-GB"/>
              </w:rPr>
            </w:pPr>
            <w:r w:rsidRPr="00431E79">
              <w:rPr>
                <w:rFonts w:cstheme="minorHAnsi"/>
                <w:b/>
                <w:lang w:val="en-GB"/>
              </w:rPr>
              <w:t>General parameters</w:t>
            </w:r>
          </w:p>
        </w:tc>
        <w:tc>
          <w:tcPr>
            <w:tcW w:w="4508" w:type="dxa"/>
          </w:tcPr>
          <w:p w14:paraId="5497A9D3" w14:textId="77777777" w:rsidR="00431E79" w:rsidRDefault="00431E79" w:rsidP="00431E79">
            <w:pPr>
              <w:spacing w:line="360" w:lineRule="auto"/>
              <w:jc w:val="both"/>
              <w:rPr>
                <w:rFonts w:cstheme="minorHAnsi"/>
                <w:bCs/>
                <w:lang w:val="en-GB"/>
              </w:rPr>
            </w:pPr>
          </w:p>
        </w:tc>
      </w:tr>
      <w:tr w:rsidR="00431E79" w14:paraId="10FE226B" w14:textId="77777777" w:rsidTr="00431E79">
        <w:tc>
          <w:tcPr>
            <w:tcW w:w="4508" w:type="dxa"/>
          </w:tcPr>
          <w:p w14:paraId="393EB2BB" w14:textId="13B7F9CE" w:rsidR="00431E79" w:rsidRDefault="00431E79" w:rsidP="00431E79">
            <w:pPr>
              <w:spacing w:line="360" w:lineRule="auto"/>
              <w:jc w:val="both"/>
              <w:rPr>
                <w:rFonts w:cstheme="minorHAnsi"/>
                <w:bCs/>
                <w:lang w:val="en-GB"/>
              </w:rPr>
            </w:pPr>
            <w:r>
              <w:rPr>
                <w:rFonts w:cstheme="minorHAnsi"/>
                <w:bCs/>
                <w:lang w:val="en-GB"/>
              </w:rPr>
              <w:t>Smooth boundaries</w:t>
            </w:r>
          </w:p>
        </w:tc>
        <w:tc>
          <w:tcPr>
            <w:tcW w:w="4508" w:type="dxa"/>
          </w:tcPr>
          <w:p w14:paraId="355B7757" w14:textId="07E5EDF8" w:rsidR="00431E79" w:rsidRDefault="00431E79" w:rsidP="00431E79">
            <w:pPr>
              <w:spacing w:line="360" w:lineRule="auto"/>
              <w:jc w:val="both"/>
              <w:rPr>
                <w:rFonts w:cstheme="minorHAnsi"/>
                <w:bCs/>
                <w:lang w:val="en-GB"/>
              </w:rPr>
            </w:pPr>
            <w:r>
              <w:rPr>
                <w:rFonts w:cstheme="minorHAnsi"/>
                <w:bCs/>
                <w:lang w:val="en-GB"/>
              </w:rPr>
              <w:t>ON</w:t>
            </w:r>
          </w:p>
        </w:tc>
      </w:tr>
      <w:tr w:rsidR="00431E79" w14:paraId="479F3622" w14:textId="77777777" w:rsidTr="00431E79">
        <w:tc>
          <w:tcPr>
            <w:tcW w:w="4508" w:type="dxa"/>
          </w:tcPr>
          <w:p w14:paraId="211544CA" w14:textId="20C1F79C" w:rsidR="00431E79" w:rsidRDefault="00431E79" w:rsidP="00431E79">
            <w:pPr>
              <w:spacing w:line="360" w:lineRule="auto"/>
              <w:jc w:val="both"/>
              <w:rPr>
                <w:rFonts w:cstheme="minorHAnsi"/>
                <w:bCs/>
                <w:lang w:val="en-GB"/>
              </w:rPr>
            </w:pPr>
            <w:r>
              <w:rPr>
                <w:rFonts w:cstheme="minorHAnsi"/>
                <w:bCs/>
                <w:lang w:val="en-GB"/>
              </w:rPr>
              <w:t>Make measurements</w:t>
            </w:r>
          </w:p>
        </w:tc>
        <w:tc>
          <w:tcPr>
            <w:tcW w:w="4508" w:type="dxa"/>
          </w:tcPr>
          <w:p w14:paraId="47FCC85B" w14:textId="0C045A58" w:rsidR="00431E79" w:rsidRDefault="00431E79" w:rsidP="00431E79">
            <w:pPr>
              <w:spacing w:line="360" w:lineRule="auto"/>
              <w:jc w:val="both"/>
              <w:rPr>
                <w:rFonts w:cstheme="minorHAnsi"/>
                <w:bCs/>
                <w:lang w:val="en-GB"/>
              </w:rPr>
            </w:pPr>
            <w:r>
              <w:rPr>
                <w:rFonts w:cstheme="minorHAnsi"/>
                <w:bCs/>
                <w:lang w:val="en-GB"/>
              </w:rPr>
              <w:t>ON</w:t>
            </w:r>
          </w:p>
        </w:tc>
      </w:tr>
    </w:tbl>
    <w:p w14:paraId="78DD9A07" w14:textId="77777777" w:rsidR="00431E79" w:rsidRPr="00431E79" w:rsidRDefault="00431E79" w:rsidP="00431E79">
      <w:pPr>
        <w:spacing w:after="0" w:line="360" w:lineRule="auto"/>
        <w:jc w:val="both"/>
        <w:rPr>
          <w:rFonts w:cstheme="minorHAnsi"/>
          <w:bCs/>
          <w:lang w:val="en-GB"/>
        </w:rPr>
      </w:pPr>
    </w:p>
    <w:sectPr w:rsidR="00431E79" w:rsidRPr="00431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sley">
    <w:panose1 w:val="00000000000000000000"/>
    <w:charset w:val="00"/>
    <w:family w:val="auto"/>
    <w:pitch w:val="variable"/>
    <w:sig w:usb0="A00000EF" w:usb1="50002043" w:usb2="0000001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BFB"/>
    <w:rsid w:val="00082900"/>
    <w:rsid w:val="00103B3B"/>
    <w:rsid w:val="00252F11"/>
    <w:rsid w:val="00313209"/>
    <w:rsid w:val="00431E79"/>
    <w:rsid w:val="006B194C"/>
    <w:rsid w:val="007A6D16"/>
    <w:rsid w:val="00DF5922"/>
    <w:rsid w:val="00F42BFB"/>
    <w:rsid w:val="00F6260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D26E3"/>
  <w15:chartTrackingRefBased/>
  <w15:docId w15:val="{228B1D7D-55EA-48D6-85CC-E46693BD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431E79"/>
    <w:pPr>
      <w:keepNext/>
      <w:keepLines/>
      <w:spacing w:before="40" w:after="0"/>
      <w:outlineLvl w:val="2"/>
    </w:pPr>
    <w:rPr>
      <w:rFonts w:eastAsiaTheme="majorEastAsia" w:cstheme="majorBidi"/>
      <w:szCs w:val="24"/>
      <w:u w:val="single"/>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rogaria">
    <w:name w:val="Body_rogaria"/>
    <w:basedOn w:val="Normal"/>
    <w:link w:val="BodyrogariaChar"/>
    <w:qFormat/>
    <w:rsid w:val="00252F11"/>
    <w:pPr>
      <w:shd w:val="clear" w:color="auto" w:fill="FFFFFF"/>
      <w:spacing w:before="96" w:after="120" w:line="360" w:lineRule="atLeast"/>
    </w:pPr>
    <w:rPr>
      <w:rFonts w:ascii="Besley" w:eastAsia="Times New Roman" w:hAnsi="Besley" w:cs="Arial"/>
      <w:color w:val="000000"/>
      <w:sz w:val="20"/>
      <w:szCs w:val="20"/>
      <w:lang w:val="en-GB" w:eastAsia="en-BE"/>
    </w:rPr>
  </w:style>
  <w:style w:type="character" w:customStyle="1" w:styleId="BodyrogariaChar">
    <w:name w:val="Body_rogaria Char"/>
    <w:basedOn w:val="DefaultParagraphFont"/>
    <w:link w:val="Bodyrogaria"/>
    <w:rsid w:val="00252F11"/>
    <w:rPr>
      <w:rFonts w:ascii="Besley" w:eastAsia="Times New Roman" w:hAnsi="Besley" w:cs="Arial"/>
      <w:color w:val="000000"/>
      <w:sz w:val="20"/>
      <w:szCs w:val="20"/>
      <w:shd w:val="clear" w:color="auto" w:fill="FFFFFF"/>
      <w:lang w:val="en-GB" w:eastAsia="en-BE"/>
    </w:rPr>
  </w:style>
  <w:style w:type="character" w:customStyle="1" w:styleId="Heading3Char">
    <w:name w:val="Heading 3 Char"/>
    <w:basedOn w:val="DefaultParagraphFont"/>
    <w:link w:val="Heading3"/>
    <w:uiPriority w:val="9"/>
    <w:rsid w:val="00431E79"/>
    <w:rPr>
      <w:rFonts w:eastAsiaTheme="majorEastAsia" w:cstheme="majorBidi"/>
      <w:szCs w:val="24"/>
      <w:u w:val="single"/>
      <w:lang w:val="nl-BE"/>
    </w:rPr>
  </w:style>
  <w:style w:type="character" w:styleId="CommentReference">
    <w:name w:val="annotation reference"/>
    <w:basedOn w:val="DefaultParagraphFont"/>
    <w:uiPriority w:val="99"/>
    <w:semiHidden/>
    <w:unhideWhenUsed/>
    <w:rsid w:val="00431E79"/>
    <w:rPr>
      <w:sz w:val="16"/>
      <w:szCs w:val="16"/>
    </w:rPr>
  </w:style>
  <w:style w:type="paragraph" w:styleId="CommentText">
    <w:name w:val="annotation text"/>
    <w:basedOn w:val="Normal"/>
    <w:link w:val="CommentTextChar"/>
    <w:uiPriority w:val="99"/>
    <w:unhideWhenUsed/>
    <w:rsid w:val="00431E79"/>
    <w:pPr>
      <w:spacing w:line="240" w:lineRule="auto"/>
    </w:pPr>
    <w:rPr>
      <w:sz w:val="20"/>
      <w:szCs w:val="20"/>
      <w:lang w:val="nl-BE"/>
    </w:rPr>
  </w:style>
  <w:style w:type="character" w:customStyle="1" w:styleId="CommentTextChar">
    <w:name w:val="Comment Text Char"/>
    <w:basedOn w:val="DefaultParagraphFont"/>
    <w:link w:val="CommentText"/>
    <w:uiPriority w:val="99"/>
    <w:rsid w:val="00431E79"/>
    <w:rPr>
      <w:sz w:val="20"/>
      <w:szCs w:val="20"/>
      <w:lang w:val="nl-BE"/>
    </w:rPr>
  </w:style>
  <w:style w:type="table" w:styleId="TableGrid">
    <w:name w:val="Table Grid"/>
    <w:basedOn w:val="TableNormal"/>
    <w:uiPriority w:val="39"/>
    <w:rsid w:val="00431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ldi-m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2350</Words>
  <Characters>13399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Demuytere</dc:creator>
  <cp:keywords/>
  <dc:description/>
  <cp:lastModifiedBy>Jesse Demuytere</cp:lastModifiedBy>
  <cp:revision>2</cp:revision>
  <dcterms:created xsi:type="dcterms:W3CDTF">2023-06-01T14:33:00Z</dcterms:created>
  <dcterms:modified xsi:type="dcterms:W3CDTF">2023-06-01T14:33:00Z</dcterms:modified>
</cp:coreProperties>
</file>