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4294F" w14:textId="77777777" w:rsidR="000328FC" w:rsidRPr="00CD22EE" w:rsidRDefault="000328FC" w:rsidP="000328FC">
      <w:pPr>
        <w:rPr>
          <w:rFonts w:ascii="Times New Roman" w:hAnsi="Times New Roman" w:cs="Times New Roman"/>
          <w:b/>
          <w:bCs/>
          <w:color w:val="000000"/>
        </w:rPr>
      </w:pPr>
      <w:r w:rsidRPr="00CD22EE">
        <w:rPr>
          <w:rFonts w:ascii="Times New Roman" w:hAnsi="Times New Roman" w:cs="Times New Roman"/>
          <w:b/>
          <w:bCs/>
          <w:color w:val="000000"/>
        </w:rPr>
        <w:t>Supplementary Material for</w:t>
      </w:r>
    </w:p>
    <w:p w14:paraId="61524988" w14:textId="77777777" w:rsidR="006A13FD" w:rsidRPr="00CD22EE" w:rsidRDefault="006A13FD" w:rsidP="006A13FD">
      <w:pPr>
        <w:pStyle w:val="NormalWeb"/>
        <w:rPr>
          <w:rFonts w:ascii="Times New Roman" w:eastAsiaTheme="minorEastAsia" w:hAnsi="Times New Roman" w:cs="Times New Roman"/>
          <w:b/>
          <w:bCs/>
          <w:color w:val="000000"/>
          <w:kern w:val="2"/>
          <w:sz w:val="30"/>
          <w:szCs w:val="30"/>
        </w:rPr>
      </w:pPr>
      <w:r w:rsidRPr="00CD22EE">
        <w:rPr>
          <w:rFonts w:ascii="Times New Roman" w:eastAsiaTheme="minorEastAsia" w:hAnsi="Times New Roman" w:cs="Times New Roman"/>
          <w:b/>
          <w:bCs/>
          <w:color w:val="000000"/>
          <w:kern w:val="2"/>
          <w:sz w:val="30"/>
          <w:szCs w:val="30"/>
        </w:rPr>
        <w:drawing>
          <wp:inline distT="0" distB="0" distL="0" distR="0" wp14:anchorId="0542C45F" wp14:editId="6D7436DE">
            <wp:extent cx="5274310" cy="5005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BF33" w14:textId="1FC87C82" w:rsidR="006A13FD" w:rsidRPr="00CD22EE" w:rsidRDefault="006A13FD" w:rsidP="006A13FD">
      <w:pPr>
        <w:pStyle w:val="NormalWeb"/>
        <w:spacing w:line="360" w:lineRule="auto"/>
        <w:rPr>
          <w:rFonts w:ascii="Times New Roman" w:hAnsi="Times New Roman" w:cs="Times New Roman"/>
          <w:color w:val="000000"/>
          <w:sz w:val="22"/>
          <w:szCs w:val="22"/>
        </w:rPr>
      </w:pPr>
      <w:r w:rsidRPr="00CD22EE">
        <w:rPr>
          <w:rFonts w:ascii="Times New Roman" w:hAnsi="Times New Roman" w:cs="Times New Roman" w:hint="eastAsia"/>
          <w:b/>
          <w:bCs/>
          <w:color w:val="000000"/>
          <w:sz w:val="22"/>
          <w:szCs w:val="22"/>
        </w:rPr>
        <w:t>F</w:t>
      </w:r>
      <w:r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>igure S1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 Platelets and GE-Platelets aggregation detection. (A) Platelet and (B) GE-Platelets aggregation rate with different volume ratio of ACD added. </w:t>
      </w:r>
      <w:r w:rsidR="000852BA"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Data are presented as mean ± SD, ns not significant, n=3. 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>(C)</w:t>
      </w:r>
      <w:r w:rsidRPr="00CD22EE">
        <w:rPr>
          <w:color w:val="000000"/>
        </w:rPr>
        <w:t xml:space="preserve"> 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Glycosylation engineering of platelets membrane protein did not affect platelets aggregation. Data are presented as mean ± SD, </w:t>
      </w:r>
      <w:r w:rsidR="00CB690D"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ns not significant, 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>n=3.</w:t>
      </w:r>
    </w:p>
    <w:p w14:paraId="4C011A14" w14:textId="77777777" w:rsidR="006A13FD" w:rsidRPr="00CD22EE" w:rsidRDefault="006A13FD" w:rsidP="00CA708F">
      <w:pPr>
        <w:pStyle w:val="NormalWeb"/>
        <w:rPr>
          <w:rFonts w:ascii="Times New Roman" w:eastAsiaTheme="minorEastAsia" w:hAnsi="Times New Roman" w:cs="Times New Roman"/>
          <w:b/>
          <w:bCs/>
          <w:color w:val="000000"/>
          <w:kern w:val="2"/>
          <w:sz w:val="30"/>
          <w:szCs w:val="30"/>
        </w:rPr>
      </w:pPr>
    </w:p>
    <w:p w14:paraId="43CF5804" w14:textId="77777777" w:rsidR="00DC6652" w:rsidRPr="00CD22EE" w:rsidRDefault="00DC6652" w:rsidP="00DC6652">
      <w:pPr>
        <w:pStyle w:val="NormalWeb"/>
        <w:spacing w:line="360" w:lineRule="auto"/>
        <w:rPr>
          <w:rFonts w:ascii="Times New Roman" w:hAnsi="Times New Roman" w:cs="Times New Roman"/>
          <w:color w:val="000000"/>
          <w:sz w:val="22"/>
          <w:szCs w:val="22"/>
        </w:rPr>
      </w:pPr>
      <w:r w:rsidRPr="00CD22EE">
        <w:rPr>
          <w:rFonts w:ascii="Times New Roman" w:hAnsi="Times New Roman" w:cs="Times New Roman"/>
          <w:color w:val="000000"/>
          <w:sz w:val="22"/>
          <w:szCs w:val="22"/>
        </w:rPr>
        <w:lastRenderedPageBreak/>
        <w:drawing>
          <wp:inline distT="0" distB="0" distL="0" distR="0" wp14:anchorId="67D3D940" wp14:editId="45425FDD">
            <wp:extent cx="4991100" cy="3136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20C2" w14:textId="5C0DB530" w:rsidR="00DC6652" w:rsidRPr="00CD22EE" w:rsidRDefault="00DC6652" w:rsidP="00DC6652">
      <w:pPr>
        <w:pStyle w:val="NormalWeb"/>
        <w:spacing w:line="360" w:lineRule="auto"/>
        <w:rPr>
          <w:rFonts w:ascii="Times New Roman" w:hAnsi="Times New Roman" w:cs="Times New Roman"/>
          <w:color w:val="000000"/>
          <w:szCs w:val="21"/>
        </w:rPr>
      </w:pPr>
      <w:r w:rsidRPr="00CD22EE">
        <w:rPr>
          <w:rFonts w:ascii="Times New Roman" w:hAnsi="Times New Roman" w:cs="Times New Roman" w:hint="eastAsia"/>
          <w:b/>
          <w:bCs/>
          <w:color w:val="000000"/>
          <w:sz w:val="22"/>
          <w:szCs w:val="22"/>
        </w:rPr>
        <w:t>F</w:t>
      </w:r>
      <w:r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>igure S</w:t>
      </w:r>
      <w:r w:rsidR="006A13FD"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>2</w:t>
      </w:r>
      <w:r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CD22EE">
        <w:rPr>
          <w:rFonts w:ascii="Times New Roman" w:hAnsi="Times New Roman" w:cs="Times New Roman"/>
          <w:color w:val="000000"/>
          <w:szCs w:val="21"/>
        </w:rPr>
        <w:t>Pharmacokinetics and circulation retention property of IL10, IL10-NPs, IL10-PNP and IL10-GE-PNPs. Normalized fluorescence blood (n =3).</w:t>
      </w:r>
    </w:p>
    <w:p w14:paraId="0CB6802B" w14:textId="5CC926B0" w:rsidR="00573261" w:rsidRPr="00CD22EE" w:rsidRDefault="00CB690D" w:rsidP="00CA708F">
      <w:pPr>
        <w:pStyle w:val="NormalWeb"/>
        <w:rPr>
          <w:rFonts w:ascii="Times New Roman" w:eastAsiaTheme="minorEastAsia" w:hAnsi="Times New Roman" w:cs="Times New Roman"/>
          <w:b/>
          <w:bCs/>
          <w:color w:val="000000"/>
          <w:kern w:val="2"/>
          <w:sz w:val="30"/>
          <w:szCs w:val="30"/>
        </w:rPr>
      </w:pPr>
      <w:r w:rsidRPr="00CD22EE">
        <w:rPr>
          <w:rFonts w:ascii="Times New Roman" w:eastAsiaTheme="minorEastAsia" w:hAnsi="Times New Roman" w:cs="Times New Roman"/>
          <w:b/>
          <w:bCs/>
          <w:color w:val="000000"/>
          <w:kern w:val="2"/>
          <w:sz w:val="30"/>
          <w:szCs w:val="30"/>
        </w:rPr>
        <w:lastRenderedPageBreak/>
        <w:drawing>
          <wp:inline distT="0" distB="0" distL="0" distR="0" wp14:anchorId="2BDE22AD" wp14:editId="15A7BEA3">
            <wp:extent cx="5274310" cy="6199505"/>
            <wp:effectExtent l="0" t="0" r="0" b="0"/>
            <wp:docPr id="1266819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194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52FE" w14:textId="67CA24F0" w:rsidR="00573261" w:rsidRPr="00CD22EE" w:rsidRDefault="00573261" w:rsidP="00573261">
      <w:pPr>
        <w:pStyle w:val="NormalWeb"/>
        <w:spacing w:line="360" w:lineRule="auto"/>
        <w:rPr>
          <w:rFonts w:ascii="Times New Roman" w:hAnsi="Times New Roman" w:cs="Times New Roman"/>
          <w:color w:val="000000"/>
          <w:sz w:val="22"/>
          <w:szCs w:val="22"/>
        </w:rPr>
      </w:pPr>
      <w:r w:rsidRPr="00CD22EE">
        <w:rPr>
          <w:rFonts w:ascii="Times New Roman" w:hAnsi="Times New Roman" w:cs="Times New Roman" w:hint="eastAsia"/>
          <w:b/>
          <w:bCs/>
          <w:color w:val="000000"/>
          <w:sz w:val="22"/>
          <w:szCs w:val="22"/>
        </w:rPr>
        <w:t>F</w:t>
      </w:r>
      <w:r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>igure S</w:t>
      </w:r>
      <w:r w:rsidR="002904ED"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>3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 Binding function to ECs/SMCs/macrophages in vitro. (A</w:t>
      </w:r>
      <w:r w:rsidR="00CB690D" w:rsidRPr="00CD22EE">
        <w:rPr>
          <w:rFonts w:ascii="Times New Roman" w:hAnsi="Times New Roman" w:cs="Times New Roman"/>
          <w:color w:val="000000"/>
          <w:sz w:val="22"/>
          <w:szCs w:val="22"/>
        </w:rPr>
        <w:t>, B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>) Flow cytometry detected the ratio of CD61+ ECs</w:t>
      </w:r>
      <w:r w:rsidR="00EF580B" w:rsidRPr="00CD22EE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="000852BA"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>(</w:t>
      </w:r>
      <w:r w:rsidR="00CB690D" w:rsidRPr="00CD22EE">
        <w:rPr>
          <w:rFonts w:ascii="Times New Roman" w:hAnsi="Times New Roman" w:cs="Times New Roman"/>
          <w:color w:val="000000"/>
          <w:sz w:val="22"/>
          <w:szCs w:val="22"/>
        </w:rPr>
        <w:t>C, D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>) SMCs</w:t>
      </w:r>
      <w:r w:rsidR="00EF580B"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>and (</w:t>
      </w:r>
      <w:r w:rsidR="00CB690D" w:rsidRPr="00CD22EE">
        <w:rPr>
          <w:rFonts w:ascii="Times New Roman" w:hAnsi="Times New Roman" w:cs="Times New Roman"/>
          <w:color w:val="000000"/>
          <w:sz w:val="22"/>
          <w:szCs w:val="22"/>
        </w:rPr>
        <w:t>E, F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>) macrophages at different time points. Data are presented as mean ± SD, ns not significant, n=3.</w:t>
      </w:r>
    </w:p>
    <w:p w14:paraId="37EEEF26" w14:textId="227DC9B7" w:rsidR="00573261" w:rsidRPr="00CD22EE" w:rsidRDefault="00573261" w:rsidP="00573261">
      <w:pPr>
        <w:pStyle w:val="NormalWeb"/>
        <w:spacing w:line="360" w:lineRule="auto"/>
        <w:rPr>
          <w:rFonts w:ascii="Times New Roman" w:hAnsi="Times New Roman" w:cs="Times New Roman"/>
          <w:color w:val="000000"/>
          <w:sz w:val="22"/>
          <w:szCs w:val="22"/>
        </w:rPr>
      </w:pPr>
    </w:p>
    <w:p w14:paraId="1959AFD8" w14:textId="7F409D4B" w:rsidR="00DC6652" w:rsidRPr="00CD22EE" w:rsidRDefault="00617AEC" w:rsidP="00DC6652">
      <w:pPr>
        <w:pStyle w:val="NormalWeb"/>
        <w:spacing w:line="360" w:lineRule="auto"/>
        <w:rPr>
          <w:rFonts w:ascii="Times New Roman" w:hAnsi="Times New Roman" w:cs="Times New Roman"/>
          <w:color w:val="000000"/>
          <w:szCs w:val="21"/>
        </w:rPr>
      </w:pPr>
      <w:r w:rsidRPr="00CD22EE">
        <w:rPr>
          <w:rFonts w:ascii="Times New Roman" w:hAnsi="Times New Roman" w:cs="Times New Roman"/>
          <w:color w:val="000000"/>
          <w:szCs w:val="21"/>
        </w:rPr>
        <w:lastRenderedPageBreak/>
        <w:drawing>
          <wp:inline distT="0" distB="0" distL="0" distR="0" wp14:anchorId="6CDF4EC3" wp14:editId="75D8E36E">
            <wp:extent cx="5274310" cy="7883525"/>
            <wp:effectExtent l="0" t="0" r="0" b="0"/>
            <wp:docPr id="1090033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333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B402" w14:textId="19994ABB" w:rsidR="00DC6652" w:rsidRPr="00CD22EE" w:rsidRDefault="00DC6652" w:rsidP="00DC6652">
      <w:pPr>
        <w:spacing w:line="360" w:lineRule="auto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>Figure S</w:t>
      </w:r>
      <w:r w:rsidR="002904ED"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>4</w:t>
      </w:r>
      <w:r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>Biocompatibility evaluation in vivo.</w:t>
      </w:r>
      <w:r w:rsidR="00893DF5"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 (A)</w:t>
      </w:r>
      <w:r w:rsidR="00893DF5" w:rsidRPr="00CD22EE">
        <w:rPr>
          <w:color w:val="000000"/>
          <w:sz w:val="22"/>
          <w:szCs w:val="22"/>
        </w:rPr>
        <w:t xml:space="preserve"> </w:t>
      </w:r>
      <w:r w:rsidR="00893DF5" w:rsidRPr="00CD22EE">
        <w:rPr>
          <w:rFonts w:ascii="Times New Roman" w:hAnsi="Times New Roman" w:cs="Times New Roman"/>
          <w:color w:val="000000"/>
          <w:sz w:val="22"/>
          <w:szCs w:val="22"/>
        </w:rPr>
        <w:t>Cytotoxic effect of different IL10 formulations on macrophages, SMCs and HUVECs.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 (</w:t>
      </w:r>
      <w:r w:rsidR="00893DF5" w:rsidRPr="00CD22EE">
        <w:rPr>
          <w:rFonts w:ascii="Times New Roman" w:hAnsi="Times New Roman" w:cs="Times New Roman" w:hint="eastAsia"/>
          <w:color w:val="000000"/>
          <w:sz w:val="22"/>
          <w:szCs w:val="22"/>
        </w:rPr>
        <w:t>B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) H&amp;E staining </w:t>
      </w:r>
      <w:r w:rsidRPr="00CD22EE">
        <w:rPr>
          <w:rFonts w:ascii="Times New Roman" w:hAnsi="Times New Roman" w:cs="Times New Roman" w:hint="eastAsia"/>
          <w:color w:val="000000"/>
          <w:sz w:val="22"/>
          <w:szCs w:val="22"/>
        </w:rPr>
        <w:t>images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 of major 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lastRenderedPageBreak/>
        <w:t>organs in different groups 14 days after treatment. (C)</w:t>
      </w:r>
      <w:r w:rsidRPr="00CD22EE">
        <w:rPr>
          <w:rFonts w:ascii="Times New Roman" w:hAnsi="Times New Roman" w:cs="Times New Roman" w:hint="eastAsia"/>
          <w:color w:val="000000"/>
          <w:sz w:val="22"/>
          <w:szCs w:val="22"/>
        </w:rPr>
        <w:t xml:space="preserve"> B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lood test indicators 24 </w:t>
      </w:r>
      <w:r w:rsidRPr="00CD22EE">
        <w:rPr>
          <w:rFonts w:ascii="Times New Roman" w:hAnsi="Times New Roman" w:cs="Times New Roman" w:hint="eastAsia"/>
          <w:color w:val="000000"/>
          <w:sz w:val="22"/>
          <w:szCs w:val="22"/>
        </w:rPr>
        <w:t>hours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 after treatment and (D)</w:t>
      </w:r>
      <w:r w:rsidRPr="00CD22EE">
        <w:rPr>
          <w:rFonts w:ascii="Times New Roman" w:hAnsi="Times New Roman" w:cs="Times New Roman" w:hint="eastAsia"/>
          <w:color w:val="000000"/>
          <w:sz w:val="22"/>
          <w:szCs w:val="22"/>
        </w:rPr>
        <w:t xml:space="preserve"> </w:t>
      </w:r>
      <w:r w:rsidRPr="00CD22EE">
        <w:rPr>
          <w:rFonts w:ascii="Times New Roman" w:hAnsi="Times New Roman" w:cs="Times New Roman"/>
          <w:color w:val="000000"/>
          <w:sz w:val="22"/>
          <w:szCs w:val="22"/>
        </w:rPr>
        <w:t xml:space="preserve">14 days after treatment, values were normalized based on the value of the Sham group. Data are presented as mean ± SD. </w:t>
      </w:r>
      <w:r w:rsidR="000852BA" w:rsidRPr="00CD22EE">
        <w:rPr>
          <w:rFonts w:ascii="Times New Roman" w:hAnsi="Times New Roman" w:cs="Times New Roman"/>
          <w:color w:val="000000"/>
          <w:sz w:val="22"/>
          <w:szCs w:val="22"/>
        </w:rPr>
        <w:t>ns not significant.</w:t>
      </w:r>
    </w:p>
    <w:p w14:paraId="5F108F63" w14:textId="77777777" w:rsidR="00DC6652" w:rsidRPr="00CD22EE" w:rsidRDefault="00DC6652" w:rsidP="00573261">
      <w:pPr>
        <w:pStyle w:val="NormalWeb"/>
        <w:spacing w:line="360" w:lineRule="auto"/>
        <w:rPr>
          <w:rFonts w:ascii="Times New Roman" w:hAnsi="Times New Roman" w:cs="Times New Roman"/>
          <w:color w:val="000000"/>
          <w:sz w:val="22"/>
          <w:szCs w:val="22"/>
        </w:rPr>
      </w:pPr>
    </w:p>
    <w:p w14:paraId="7B382854" w14:textId="77777777" w:rsidR="002177FE" w:rsidRPr="00CD22EE" w:rsidRDefault="002177FE" w:rsidP="00CA708F">
      <w:pPr>
        <w:pStyle w:val="NormalWeb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4D7A10D6" w14:textId="67F60181" w:rsidR="00CA708F" w:rsidRPr="00CD22EE" w:rsidRDefault="00CA708F" w:rsidP="00CA708F">
      <w:pPr>
        <w:pStyle w:val="NormalWeb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Table S1. Pharmacokinetic parameters of different </w:t>
      </w:r>
      <w:r w:rsidR="00B00FA0"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>IL10</w:t>
      </w:r>
      <w:r w:rsidRPr="00CD22EE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formulations after intravenous administration. </w:t>
      </w:r>
    </w:p>
    <w:tbl>
      <w:tblPr>
        <w:tblStyle w:val="PlainTable2"/>
        <w:tblW w:w="9897" w:type="dxa"/>
        <w:tblInd w:w="-761" w:type="dxa"/>
        <w:tblLook w:val="04A0" w:firstRow="1" w:lastRow="0" w:firstColumn="1" w:lastColumn="0" w:noHBand="0" w:noVBand="1"/>
      </w:tblPr>
      <w:tblGrid>
        <w:gridCol w:w="2865"/>
        <w:gridCol w:w="1788"/>
        <w:gridCol w:w="1788"/>
        <w:gridCol w:w="1788"/>
        <w:gridCol w:w="1668"/>
      </w:tblGrid>
      <w:tr w:rsidR="00BF66E3" w:rsidRPr="00CD22EE" w14:paraId="3258137D" w14:textId="77777777" w:rsidTr="00023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</w:tcPr>
          <w:p w14:paraId="708A0EB6" w14:textId="59A6B46E" w:rsidR="00CA708F" w:rsidRPr="00CD22EE" w:rsidRDefault="00CA708F" w:rsidP="00CA708F">
            <w:pPr>
              <w:pStyle w:val="NormalWeb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Parameters</w:t>
            </w: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  <w:position w:val="8"/>
                <w:sz w:val="14"/>
                <w:szCs w:val="14"/>
              </w:rPr>
              <w:t>a</w:t>
            </w:r>
          </w:p>
        </w:tc>
        <w:tc>
          <w:tcPr>
            <w:tcW w:w="1788" w:type="dxa"/>
          </w:tcPr>
          <w:p w14:paraId="7B634996" w14:textId="78ED71BE" w:rsidR="00CA708F" w:rsidRPr="00CD22EE" w:rsidRDefault="00CA708F" w:rsidP="00CA708F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IL10</w:t>
            </w:r>
          </w:p>
        </w:tc>
        <w:tc>
          <w:tcPr>
            <w:tcW w:w="1788" w:type="dxa"/>
          </w:tcPr>
          <w:p w14:paraId="2B0AE7DE" w14:textId="0A93FC02" w:rsidR="00CA708F" w:rsidRPr="00CD22EE" w:rsidRDefault="00CA708F" w:rsidP="00CA708F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IL10-NP</w:t>
            </w:r>
          </w:p>
        </w:tc>
        <w:tc>
          <w:tcPr>
            <w:tcW w:w="1788" w:type="dxa"/>
          </w:tcPr>
          <w:p w14:paraId="5C6E0A89" w14:textId="09E963B5" w:rsidR="00CA708F" w:rsidRPr="00CD22EE" w:rsidRDefault="00CA708F" w:rsidP="00CA708F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IL10-PNP</w:t>
            </w:r>
          </w:p>
        </w:tc>
        <w:tc>
          <w:tcPr>
            <w:tcW w:w="1668" w:type="dxa"/>
          </w:tcPr>
          <w:p w14:paraId="04971046" w14:textId="14F649C5" w:rsidR="00CA708F" w:rsidRPr="00CD22EE" w:rsidRDefault="00CA708F" w:rsidP="00CA708F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IL10-GE-PNP</w:t>
            </w:r>
          </w:p>
        </w:tc>
      </w:tr>
      <w:tr w:rsidR="00BF66E3" w:rsidRPr="00CD22EE" w14:paraId="463EA4FD" w14:textId="77777777" w:rsidTr="00023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vAlign w:val="center"/>
          </w:tcPr>
          <w:p w14:paraId="6BB29F73" w14:textId="0DDFBCDC" w:rsidR="00CA708F" w:rsidRPr="00CD22EE" w:rsidRDefault="00CA708F" w:rsidP="00950F74">
            <w:pPr>
              <w:pStyle w:val="NormalWeb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Elimination rate constant</w:t>
            </w:r>
          </w:p>
        </w:tc>
        <w:tc>
          <w:tcPr>
            <w:tcW w:w="1788" w:type="dxa"/>
            <w:vAlign w:val="center"/>
          </w:tcPr>
          <w:p w14:paraId="3E9C0007" w14:textId="18CE4035" w:rsidR="00CA708F" w:rsidRPr="00CD22EE" w:rsidRDefault="00CA708F" w:rsidP="00950F74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0</w:t>
            </w:r>
            <w:r w:rsidRPr="00CD22EE">
              <w:rPr>
                <w:rFonts w:ascii="Times New Roman" w:hAnsi="Times New Roman" w:cs="Times New Roman"/>
                <w:color w:val="000000"/>
              </w:rPr>
              <w:t>.042±0.002</w:t>
            </w:r>
          </w:p>
        </w:tc>
        <w:tc>
          <w:tcPr>
            <w:tcW w:w="1788" w:type="dxa"/>
            <w:vAlign w:val="center"/>
          </w:tcPr>
          <w:p w14:paraId="01B9F320" w14:textId="3BB90C00" w:rsidR="00CA708F" w:rsidRPr="00CD22EE" w:rsidRDefault="00BF66E3" w:rsidP="00950F74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0</w:t>
            </w:r>
            <w:r w:rsidRPr="00CD22EE">
              <w:rPr>
                <w:rFonts w:ascii="Times New Roman" w:hAnsi="Times New Roman" w:cs="Times New Roman"/>
                <w:color w:val="000000"/>
              </w:rPr>
              <w:t>.035±0.002</w:t>
            </w:r>
          </w:p>
        </w:tc>
        <w:tc>
          <w:tcPr>
            <w:tcW w:w="1788" w:type="dxa"/>
            <w:vAlign w:val="center"/>
          </w:tcPr>
          <w:p w14:paraId="55B0B949" w14:textId="42492E17" w:rsidR="00CA708F" w:rsidRPr="00CD22EE" w:rsidRDefault="00BF66E3" w:rsidP="00950F74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0</w:t>
            </w:r>
            <w:r w:rsidRPr="00CD22EE">
              <w:rPr>
                <w:rFonts w:ascii="Times New Roman" w:hAnsi="Times New Roman" w:cs="Times New Roman"/>
                <w:color w:val="000000"/>
              </w:rPr>
              <w:t>.039±0.002</w:t>
            </w:r>
          </w:p>
        </w:tc>
        <w:tc>
          <w:tcPr>
            <w:tcW w:w="1668" w:type="dxa"/>
            <w:vAlign w:val="center"/>
          </w:tcPr>
          <w:p w14:paraId="77C11B3B" w14:textId="7F0D3390" w:rsidR="00CA708F" w:rsidRPr="00CD22EE" w:rsidRDefault="00BF66E3" w:rsidP="00950F74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0</w:t>
            </w:r>
            <w:r w:rsidRPr="00CD22EE">
              <w:rPr>
                <w:rFonts w:ascii="Times New Roman" w:hAnsi="Times New Roman" w:cs="Times New Roman"/>
                <w:color w:val="000000"/>
              </w:rPr>
              <w:t>.036±</w:t>
            </w:r>
            <w:r w:rsidR="00950F74" w:rsidRPr="00CD22EE">
              <w:rPr>
                <w:rFonts w:ascii="Times New Roman" w:hAnsi="Times New Roman" w:cs="Times New Roman"/>
                <w:color w:val="000000"/>
              </w:rPr>
              <w:t>0.001</w:t>
            </w:r>
          </w:p>
        </w:tc>
      </w:tr>
      <w:tr w:rsidR="00BF66E3" w:rsidRPr="00CD22EE" w14:paraId="2F161569" w14:textId="77777777" w:rsidTr="00023030">
        <w:trPr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vAlign w:val="center"/>
          </w:tcPr>
          <w:p w14:paraId="77F075E1" w14:textId="256E1992" w:rsidR="00CA708F" w:rsidRPr="00CD22EE" w:rsidRDefault="00CA708F" w:rsidP="00950F74">
            <w:pPr>
              <w:pStyle w:val="NormalWeb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b w:val="0"/>
                <w:bCs w:val="0"/>
                <w:color w:val="000000"/>
              </w:rPr>
              <w:t>T</w:t>
            </w: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  <w:vertAlign w:val="subscript"/>
              </w:rPr>
              <w:t>1/2</w:t>
            </w: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 xml:space="preserve"> (h)</w:t>
            </w:r>
          </w:p>
        </w:tc>
        <w:tc>
          <w:tcPr>
            <w:tcW w:w="1788" w:type="dxa"/>
            <w:vAlign w:val="center"/>
          </w:tcPr>
          <w:p w14:paraId="5EE71FEA" w14:textId="6F8BADB8" w:rsidR="00CA708F" w:rsidRPr="00CD22EE" w:rsidRDefault="00CA708F" w:rsidP="00950F74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1</w:t>
            </w:r>
            <w:r w:rsidRPr="00CD22EE">
              <w:rPr>
                <w:rFonts w:ascii="Times New Roman" w:hAnsi="Times New Roman" w:cs="Times New Roman"/>
                <w:color w:val="000000"/>
              </w:rPr>
              <w:t>6.37±0.86</w:t>
            </w:r>
          </w:p>
        </w:tc>
        <w:tc>
          <w:tcPr>
            <w:tcW w:w="1788" w:type="dxa"/>
            <w:vAlign w:val="center"/>
          </w:tcPr>
          <w:p w14:paraId="63C0327E" w14:textId="7509961D" w:rsidR="00CA708F" w:rsidRPr="00CD22EE" w:rsidRDefault="00BF66E3" w:rsidP="00950F74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1</w:t>
            </w:r>
            <w:r w:rsidRPr="00CD22EE">
              <w:rPr>
                <w:rFonts w:ascii="Times New Roman" w:hAnsi="Times New Roman" w:cs="Times New Roman"/>
                <w:color w:val="000000"/>
              </w:rPr>
              <w:t>9.67±0.86</w:t>
            </w:r>
          </w:p>
        </w:tc>
        <w:tc>
          <w:tcPr>
            <w:tcW w:w="1788" w:type="dxa"/>
            <w:vAlign w:val="center"/>
          </w:tcPr>
          <w:p w14:paraId="5F5DE77C" w14:textId="4D37C2C3" w:rsidR="00CA708F" w:rsidRPr="00CD22EE" w:rsidRDefault="00BF66E3" w:rsidP="00950F74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1</w:t>
            </w:r>
            <w:r w:rsidRPr="00CD22EE">
              <w:rPr>
                <w:rFonts w:ascii="Times New Roman" w:hAnsi="Times New Roman" w:cs="Times New Roman"/>
                <w:color w:val="000000"/>
              </w:rPr>
              <w:t>7.74±0.97</w:t>
            </w:r>
          </w:p>
        </w:tc>
        <w:tc>
          <w:tcPr>
            <w:tcW w:w="1668" w:type="dxa"/>
            <w:vAlign w:val="center"/>
          </w:tcPr>
          <w:p w14:paraId="3086667A" w14:textId="5C4160BF" w:rsidR="00CA708F" w:rsidRPr="00CD22EE" w:rsidRDefault="00950F74" w:rsidP="00950F74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1</w:t>
            </w:r>
            <w:r w:rsidRPr="00CD22EE">
              <w:rPr>
                <w:rFonts w:ascii="Times New Roman" w:hAnsi="Times New Roman" w:cs="Times New Roman"/>
                <w:color w:val="000000"/>
              </w:rPr>
              <w:t>9.54±0.69</w:t>
            </w:r>
          </w:p>
        </w:tc>
      </w:tr>
      <w:tr w:rsidR="00BF66E3" w:rsidRPr="00CD22EE" w14:paraId="597C151B" w14:textId="77777777" w:rsidTr="00023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vAlign w:val="center"/>
          </w:tcPr>
          <w:p w14:paraId="7D4034BB" w14:textId="03C53651" w:rsidR="00CA708F" w:rsidRPr="00CD22EE" w:rsidRDefault="00CA708F" w:rsidP="00950F74">
            <w:pPr>
              <w:pStyle w:val="NormalWeb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AUC</w:t>
            </w: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  <w:vertAlign w:val="subscript"/>
              </w:rPr>
              <w:t>0-∞</w:t>
            </w: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 xml:space="preserve"> (</w:t>
            </w:r>
            <w:r w:rsidR="00950F74"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p</w:t>
            </w: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g/</w:t>
            </w:r>
            <w:r w:rsidR="00950F74"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m</w:t>
            </w:r>
            <w:r w:rsidRPr="00CD22EE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L·h)</w:t>
            </w:r>
          </w:p>
        </w:tc>
        <w:tc>
          <w:tcPr>
            <w:tcW w:w="1788" w:type="dxa"/>
            <w:vAlign w:val="center"/>
          </w:tcPr>
          <w:p w14:paraId="2333F71A" w14:textId="163C85A5" w:rsidR="00CA708F" w:rsidRPr="00CD22EE" w:rsidRDefault="00CA708F" w:rsidP="00950F74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1</w:t>
            </w:r>
            <w:r w:rsidRPr="00CD22EE">
              <w:rPr>
                <w:rFonts w:ascii="Times New Roman" w:hAnsi="Times New Roman" w:cs="Times New Roman"/>
                <w:color w:val="000000"/>
              </w:rPr>
              <w:t>178.57±136.76</w:t>
            </w:r>
          </w:p>
        </w:tc>
        <w:tc>
          <w:tcPr>
            <w:tcW w:w="1788" w:type="dxa"/>
            <w:vAlign w:val="center"/>
          </w:tcPr>
          <w:p w14:paraId="1B9B5C04" w14:textId="0A98FD73" w:rsidR="00CA708F" w:rsidRPr="00CD22EE" w:rsidRDefault="00BF66E3" w:rsidP="00950F74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3</w:t>
            </w:r>
            <w:r w:rsidRPr="00CD22EE">
              <w:rPr>
                <w:rFonts w:ascii="Times New Roman" w:hAnsi="Times New Roman" w:cs="Times New Roman"/>
                <w:color w:val="000000"/>
              </w:rPr>
              <w:t>840.90±330.52</w:t>
            </w:r>
          </w:p>
        </w:tc>
        <w:tc>
          <w:tcPr>
            <w:tcW w:w="1788" w:type="dxa"/>
            <w:vAlign w:val="center"/>
          </w:tcPr>
          <w:p w14:paraId="3225C871" w14:textId="2B862A64" w:rsidR="00CA708F" w:rsidRPr="00CD22EE" w:rsidRDefault="00BF66E3" w:rsidP="00950F74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3</w:t>
            </w:r>
            <w:r w:rsidRPr="00CD22EE">
              <w:rPr>
                <w:rFonts w:ascii="Times New Roman" w:hAnsi="Times New Roman" w:cs="Times New Roman"/>
                <w:color w:val="000000"/>
              </w:rPr>
              <w:t>145.82±181.89</w:t>
            </w:r>
          </w:p>
        </w:tc>
        <w:tc>
          <w:tcPr>
            <w:tcW w:w="1668" w:type="dxa"/>
            <w:vAlign w:val="center"/>
          </w:tcPr>
          <w:p w14:paraId="6E87595C" w14:textId="67BCFB10" w:rsidR="00CA708F" w:rsidRPr="00CD22EE" w:rsidRDefault="00950F74" w:rsidP="00950F74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CD22EE">
              <w:rPr>
                <w:rFonts w:ascii="Times New Roman" w:hAnsi="Times New Roman" w:cs="Times New Roman" w:hint="eastAsia"/>
                <w:color w:val="000000"/>
              </w:rPr>
              <w:t>3</w:t>
            </w:r>
            <w:r w:rsidRPr="00CD22EE">
              <w:rPr>
                <w:rFonts w:ascii="Times New Roman" w:hAnsi="Times New Roman" w:cs="Times New Roman"/>
                <w:color w:val="000000"/>
              </w:rPr>
              <w:t>558.54±67.13</w:t>
            </w:r>
          </w:p>
        </w:tc>
      </w:tr>
    </w:tbl>
    <w:p w14:paraId="633FC25C" w14:textId="4ADFC966" w:rsidR="00113A1C" w:rsidRPr="00CD22EE" w:rsidRDefault="00023030">
      <w:pPr>
        <w:rPr>
          <w:rFonts w:ascii="Times New Roman" w:hAnsi="Times New Roman" w:cs="Times New Roman"/>
          <w:color w:val="000000"/>
        </w:rPr>
      </w:pPr>
      <w:r w:rsidRPr="00CD22EE">
        <w:rPr>
          <w:rFonts w:ascii="Times New Roman" w:hAnsi="Times New Roman" w:cs="Times New Roman"/>
          <w:color w:val="000000"/>
        </w:rPr>
        <w:t xml:space="preserve">a Mice were treated with different IL10 formulations at a dosage of </w:t>
      </w:r>
      <w:r w:rsidR="00864AE7" w:rsidRPr="00CD22EE">
        <w:rPr>
          <w:rFonts w:ascii="Times New Roman" w:hAnsi="Times New Roman" w:cs="Times New Roman"/>
          <w:color w:val="000000"/>
        </w:rPr>
        <w:t>5μ</w:t>
      </w:r>
      <w:r w:rsidRPr="00CD22EE">
        <w:rPr>
          <w:rFonts w:ascii="Times New Roman" w:hAnsi="Times New Roman" w:cs="Times New Roman"/>
          <w:color w:val="000000"/>
        </w:rPr>
        <w:t xml:space="preserve">g </w:t>
      </w:r>
      <w:r w:rsidR="00864AE7" w:rsidRPr="00CD22EE">
        <w:rPr>
          <w:rFonts w:ascii="Times New Roman" w:hAnsi="Times New Roman" w:cs="Times New Roman"/>
          <w:color w:val="000000"/>
        </w:rPr>
        <w:t>IL10</w:t>
      </w:r>
      <w:r w:rsidRPr="00CD22EE">
        <w:rPr>
          <w:rFonts w:ascii="Times New Roman" w:hAnsi="Times New Roman" w:cs="Times New Roman"/>
          <w:color w:val="000000"/>
        </w:rPr>
        <w:t>/kg. Pharmacokinetics parameters were calculated to fit a two-compartment model and a one-way nonlinear model. T</w:t>
      </w:r>
      <w:r w:rsidRPr="00CD22EE">
        <w:rPr>
          <w:rFonts w:ascii="Times New Roman" w:hAnsi="Times New Roman" w:cs="Times New Roman"/>
          <w:color w:val="000000"/>
          <w:vertAlign w:val="subscript"/>
        </w:rPr>
        <w:t>1/2</w:t>
      </w:r>
      <w:r w:rsidRPr="00CD22EE">
        <w:rPr>
          <w:rFonts w:ascii="Times New Roman" w:hAnsi="Times New Roman" w:cs="Times New Roman"/>
          <w:color w:val="000000"/>
        </w:rPr>
        <w:t>, elimination half-time; AUC</w:t>
      </w:r>
      <w:r w:rsidRPr="00CD22EE">
        <w:rPr>
          <w:rFonts w:ascii="Times New Roman" w:hAnsi="Times New Roman" w:cs="Times New Roman"/>
          <w:color w:val="000000"/>
          <w:vertAlign w:val="subscript"/>
        </w:rPr>
        <w:t>0-∞</w:t>
      </w:r>
      <w:r w:rsidRPr="00CD22EE">
        <w:rPr>
          <w:rFonts w:ascii="Times New Roman" w:hAnsi="Times New Roman" w:cs="Times New Roman"/>
          <w:color w:val="000000"/>
        </w:rPr>
        <w:t>, total area under curve. Mean with SD, n = 3.</w:t>
      </w:r>
    </w:p>
    <w:sectPr w:rsidR="00113A1C" w:rsidRPr="00CD22EE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C47B2" w14:textId="77777777" w:rsidR="00AC2E83" w:rsidRDefault="00AC2E83" w:rsidP="00D20970">
      <w:r>
        <w:separator/>
      </w:r>
    </w:p>
  </w:endnote>
  <w:endnote w:type="continuationSeparator" w:id="0">
    <w:p w14:paraId="4E32DE24" w14:textId="77777777" w:rsidR="00AC2E83" w:rsidRDefault="00AC2E83" w:rsidP="00D20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modern"/>
    <w:pitch w:val="fixed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F59C" w14:textId="3C8C3D0C" w:rsidR="00D20970" w:rsidRDefault="00D2097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B0EC169" wp14:editId="537D82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4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8C3A07" w14:textId="5D9B0438" w:rsidR="00D20970" w:rsidRPr="00D20970" w:rsidRDefault="00D20970" w:rsidP="00D2097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2097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0EC16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B8C3A07" w14:textId="5D9B0438" w:rsidR="00D20970" w:rsidRPr="00D20970" w:rsidRDefault="00D20970" w:rsidP="00D2097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2097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9225A" w14:textId="4F7B7E1D" w:rsidR="00D20970" w:rsidRDefault="00D2097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FA1FFA4" wp14:editId="384A03CF">
              <wp:simplePos x="1143000" y="988695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6C7924" w14:textId="0D704FDE" w:rsidR="00D20970" w:rsidRPr="00D20970" w:rsidRDefault="00D20970" w:rsidP="00D2097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2097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A1FFA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656C7924" w14:textId="0D704FDE" w:rsidR="00D20970" w:rsidRPr="00D20970" w:rsidRDefault="00D20970" w:rsidP="00D2097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2097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3E549" w14:textId="25185B62" w:rsidR="00D20970" w:rsidRDefault="00D2097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27688EF" wp14:editId="7CDE500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75A044" w14:textId="019242D3" w:rsidR="00D20970" w:rsidRPr="00D20970" w:rsidRDefault="00D20970" w:rsidP="00D2097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2097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7688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E75A044" w14:textId="019242D3" w:rsidR="00D20970" w:rsidRPr="00D20970" w:rsidRDefault="00D20970" w:rsidP="00D2097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2097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CF52F" w14:textId="77777777" w:rsidR="00AC2E83" w:rsidRDefault="00AC2E83" w:rsidP="00D20970">
      <w:r>
        <w:separator/>
      </w:r>
    </w:p>
  </w:footnote>
  <w:footnote w:type="continuationSeparator" w:id="0">
    <w:p w14:paraId="26F83BFA" w14:textId="77777777" w:rsidR="00AC2E83" w:rsidRDefault="00AC2E83" w:rsidP="00D209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O0NDY3NzU2NzYwNzRV0lEKTi0uzszPAykwqgUACNUHkCwAAAA="/>
  </w:docVars>
  <w:rsids>
    <w:rsidRoot w:val="00CA708F"/>
    <w:rsid w:val="00023030"/>
    <w:rsid w:val="000328FC"/>
    <w:rsid w:val="000852BA"/>
    <w:rsid w:val="00113A1C"/>
    <w:rsid w:val="002177FE"/>
    <w:rsid w:val="002904ED"/>
    <w:rsid w:val="002B68D0"/>
    <w:rsid w:val="002C2024"/>
    <w:rsid w:val="002F3963"/>
    <w:rsid w:val="0040011E"/>
    <w:rsid w:val="00573261"/>
    <w:rsid w:val="006031C8"/>
    <w:rsid w:val="00617AEC"/>
    <w:rsid w:val="00634640"/>
    <w:rsid w:val="006A13FD"/>
    <w:rsid w:val="006F0A99"/>
    <w:rsid w:val="00715324"/>
    <w:rsid w:val="00717F72"/>
    <w:rsid w:val="00735581"/>
    <w:rsid w:val="008150C9"/>
    <w:rsid w:val="00844294"/>
    <w:rsid w:val="00864AE7"/>
    <w:rsid w:val="00885AB8"/>
    <w:rsid w:val="00893DF5"/>
    <w:rsid w:val="008F01A5"/>
    <w:rsid w:val="00950F74"/>
    <w:rsid w:val="00AB645F"/>
    <w:rsid w:val="00AC2E83"/>
    <w:rsid w:val="00B00FA0"/>
    <w:rsid w:val="00BF66E3"/>
    <w:rsid w:val="00C15450"/>
    <w:rsid w:val="00CA708F"/>
    <w:rsid w:val="00CB690D"/>
    <w:rsid w:val="00CD22EE"/>
    <w:rsid w:val="00D20970"/>
    <w:rsid w:val="00DB0FD8"/>
    <w:rsid w:val="00DC6652"/>
    <w:rsid w:val="00E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24F49"/>
  <w15:chartTrackingRefBased/>
  <w15:docId w15:val="{D854C00B-9B49-DD4D-A287-DF2A8F88B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A708F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table" w:styleId="TableGrid">
    <w:name w:val="Table Grid"/>
    <w:basedOn w:val="TableNormal"/>
    <w:uiPriority w:val="39"/>
    <w:rsid w:val="00CA7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CA708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209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09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09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9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970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209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0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5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3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15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6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5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7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9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Khanapur, Soumya</cp:lastModifiedBy>
  <cp:revision>2</cp:revision>
  <dcterms:created xsi:type="dcterms:W3CDTF">2023-08-17T21:26:00Z</dcterms:created>
  <dcterms:modified xsi:type="dcterms:W3CDTF">2023-08-17T21:26:00Z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3,4,5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2023-08-11T02:22:11Z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cf110aa1-b5cb-494e-be65-50d251e91b97</vt:lpwstr>
  </property>
  <property fmtid="{D5CDD505-2E9C-101B-9397-08002B2CF9AE}" pid="11" name="MSIP_Label_2bbab825-a111-45e4-86a1-18cee0005896_ContentBits">
    <vt:lpwstr>2</vt:lpwstr>
  </property>
</Properties>
</file>