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1DBF" w14:textId="77777777" w:rsidR="00E27F2F" w:rsidRDefault="00E27F2F" w:rsidP="00E27F2F">
      <w:pPr>
        <w:widowControl/>
        <w:spacing w:line="480" w:lineRule="auto"/>
        <w:jc w:val="left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bidi="ar"/>
        </w:rPr>
        <w:t xml:space="preserve">Supplementary Table S1. 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bidi="ar"/>
        </w:rPr>
        <w:t>Patients with adverse events and events of special interest (6-month follow-up)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069"/>
      </w:tblGrid>
      <w:tr w:rsidR="00E27F2F" w14:paraId="69EF1DB5" w14:textId="77777777" w:rsidTr="000414A1"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5FD6F" w14:textId="77777777" w:rsidR="00E27F2F" w:rsidRDefault="00E27F2F" w:rsidP="000414A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85C07" w14:textId="77777777" w:rsidR="00E27F2F" w:rsidRDefault="00E27F2F" w:rsidP="000414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patients</w:t>
            </w:r>
          </w:p>
        </w:tc>
      </w:tr>
      <w:tr w:rsidR="00E27F2F" w14:paraId="506C28F8" w14:textId="77777777" w:rsidTr="000414A1"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38631" w14:textId="77777777" w:rsidR="00E27F2F" w:rsidRDefault="00E27F2F" w:rsidP="000414A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adverse event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FCCAF" w14:textId="77777777" w:rsidR="00E27F2F" w:rsidRDefault="00E27F2F" w:rsidP="000414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F2F" w14:paraId="5E10073B" w14:textId="77777777" w:rsidTr="000414A1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06C924D" w14:textId="77777777" w:rsidR="00E27F2F" w:rsidRDefault="00E27F2F" w:rsidP="000414A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Infection requiring hospitalization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40357681" w14:textId="77777777" w:rsidR="00E27F2F" w:rsidRDefault="00E27F2F" w:rsidP="000414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F2F" w14:paraId="2E033C51" w14:textId="77777777" w:rsidTr="000414A1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7F25081" w14:textId="77777777" w:rsidR="00E27F2F" w:rsidRDefault="00E27F2F" w:rsidP="000414A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Skin infection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16073830" w14:textId="77777777" w:rsidR="00E27F2F" w:rsidRDefault="00E27F2F" w:rsidP="000414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F2F" w14:paraId="564FBA8C" w14:textId="77777777" w:rsidTr="000414A1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D2DAFB7" w14:textId="77777777" w:rsidR="00E27F2F" w:rsidRDefault="00E27F2F" w:rsidP="000414A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malignancy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6CBAD379" w14:textId="77777777" w:rsidR="00E27F2F" w:rsidRDefault="00E27F2F" w:rsidP="000414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F2F" w14:paraId="108E19DD" w14:textId="77777777" w:rsidTr="000414A1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4BB474C9" w14:textId="77777777" w:rsidR="00E27F2F" w:rsidRDefault="00E27F2F" w:rsidP="000414A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Worsening renal function*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64F11A62" w14:textId="77777777" w:rsidR="00E27F2F" w:rsidRDefault="00E27F2F" w:rsidP="000414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F2F" w14:paraId="5A8D9F21" w14:textId="77777777" w:rsidTr="000414A1"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2FB38" w14:textId="77777777" w:rsidR="00E27F2F" w:rsidRDefault="00E27F2F" w:rsidP="000414A1">
            <w:pPr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Liver-associated events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C5534" w14:textId="77777777" w:rsidR="00E27F2F" w:rsidRDefault="00E27F2F" w:rsidP="000414A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1E9CC5" w14:textId="25EAFE4A" w:rsidR="00E27F2F" w:rsidRDefault="00E27F2F" w:rsidP="00E27F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*Defined as a doubling of serum creatinine levels from baseline, a decrease of &gt; 50% in the estimated glomerular filtration rate, or the need for renal replacement therapy. </w:t>
      </w:r>
      <w:r>
        <w:rPr>
          <w:rFonts w:asciiTheme="majorHAnsi" w:hAnsiTheme="majorHAnsi" w:cs="Times New Roman"/>
          <w:sz w:val="24"/>
          <w:szCs w:val="24"/>
        </w:rPr>
        <w:t>†</w:t>
      </w:r>
      <w:r>
        <w:rPr>
          <w:rFonts w:ascii="Times New Roman" w:hAnsi="Times New Roman" w:cs="Times New Roman"/>
          <w:sz w:val="24"/>
          <w:szCs w:val="24"/>
        </w:rPr>
        <w:t>Defined as an elevation in the aspartate transaminase level to more than three times the upper limit of normal beyond the acute phase or Child-Pugh stage II or II liver failure.</w:t>
      </w:r>
    </w:p>
    <w:p w14:paraId="5BCCF2F2" w14:textId="0042F5B8" w:rsidR="00E27F2F" w:rsidRPr="00E27F2F" w:rsidRDefault="00E27F2F">
      <w:pPr>
        <w:widowControl/>
        <w:spacing w:line="48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</w:p>
    <w:p w14:paraId="1EFEEF31" w14:textId="77777777" w:rsidR="00E27F2F" w:rsidRDefault="00E27F2F">
      <w:pPr>
        <w:widowControl/>
        <w:spacing w:line="48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</w:p>
    <w:p w14:paraId="4FF5B4B8" w14:textId="77777777" w:rsidR="00E27F2F" w:rsidRDefault="00E27F2F">
      <w:pPr>
        <w:widowControl/>
        <w:spacing w:line="480" w:lineRule="auto"/>
        <w:jc w:val="left"/>
        <w:rPr>
          <w:rFonts w:ascii="Times New Roman" w:eastAsia="SimSun" w:hAnsi="Times New Roman" w:cs="Times New Roman"/>
          <w:b/>
          <w:sz w:val="24"/>
          <w:szCs w:val="24"/>
        </w:rPr>
      </w:pPr>
    </w:p>
    <w:p w14:paraId="3D468BED" w14:textId="0705B83C" w:rsidR="001D3F29" w:rsidRDefault="00000000">
      <w:pPr>
        <w:widowControl/>
        <w:spacing w:line="480" w:lineRule="auto"/>
        <w:jc w:val="left"/>
        <w:rPr>
          <w:rFonts w:ascii="Calibri" w:eastAsia="SimSun" w:hAnsi="Calibri" w:cs="Times New Roman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Supplementary Table S2.</w:t>
      </w:r>
      <w:r>
        <w:rPr>
          <w:rFonts w:ascii="Calibri" w:eastAsia="SimSun" w:hAnsi="Calibri" w:cs="Times New Roma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Baseline characteristics of </w:t>
      </w:r>
      <w:r w:rsidR="00463B70">
        <w:rPr>
          <w:rFonts w:ascii="Times New Roman" w:eastAsia="SimSun" w:hAnsi="Times New Roman" w:cs="Times New Roman"/>
          <w:sz w:val="24"/>
          <w:szCs w:val="24"/>
        </w:rPr>
        <w:t>eleven</w:t>
      </w:r>
      <w:r>
        <w:rPr>
          <w:rFonts w:ascii="Times New Roman" w:eastAsia="SimSun" w:hAnsi="Times New Roman" w:cs="Times New Roman"/>
          <w:sz w:val="24"/>
          <w:szCs w:val="24"/>
        </w:rPr>
        <w:t xml:space="preserve"> patients with very-late-onset myasthenia gravis (VLOMG)</w:t>
      </w:r>
    </w:p>
    <w:tbl>
      <w:tblPr>
        <w:tblpPr w:leftFromText="180" w:rightFromText="180" w:vertAnchor="text" w:horzAnchor="margin" w:tblpY="563"/>
        <w:tblOverlap w:val="never"/>
        <w:tblW w:w="5446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325"/>
        <w:gridCol w:w="1162"/>
        <w:gridCol w:w="1560"/>
        <w:gridCol w:w="4132"/>
        <w:gridCol w:w="1691"/>
        <w:gridCol w:w="1475"/>
        <w:gridCol w:w="2396"/>
      </w:tblGrid>
      <w:tr w:rsidR="00E27F2F" w14:paraId="2512CC43" w14:textId="77777777" w:rsidTr="000414A1">
        <w:trPr>
          <w:trHeight w:val="454"/>
        </w:trPr>
        <w:tc>
          <w:tcPr>
            <w:tcW w:w="48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C7BE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patient number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A133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31"/>
                <w:rFonts w:eastAsia="SimSun"/>
                <w:sz w:val="18"/>
                <w:szCs w:val="18"/>
                <w:lang w:bidi="ar"/>
              </w:rPr>
              <w:t>age at onset</w:t>
            </w:r>
            <w:r>
              <w:rPr>
                <w:rStyle w:val="font11"/>
                <w:sz w:val="18"/>
                <w:szCs w:val="18"/>
                <w:lang w:bidi="ar"/>
              </w:rPr>
              <w:t>（</w:t>
            </w:r>
            <w:r>
              <w:rPr>
                <w:rStyle w:val="font31"/>
                <w:rFonts w:eastAsia="SimSun"/>
                <w:sz w:val="18"/>
                <w:szCs w:val="18"/>
                <w:lang w:bidi="ar"/>
              </w:rPr>
              <w:t>years</w:t>
            </w:r>
            <w:r>
              <w:rPr>
                <w:rStyle w:val="font11"/>
                <w:sz w:val="18"/>
                <w:szCs w:val="18"/>
                <w:lang w:bidi="ar"/>
              </w:rPr>
              <w:t>）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F73E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sex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E3FBC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disease course (months)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FC877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concomitant diseases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A6DC5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Muscles initially involved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2180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RNS test (+)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088F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Thymic abnormalities</w:t>
            </w:r>
          </w:p>
        </w:tc>
      </w:tr>
      <w:tr w:rsidR="00E27F2F" w14:paraId="1F8DD747" w14:textId="77777777" w:rsidTr="000414A1">
        <w:trPr>
          <w:trHeight w:val="788"/>
        </w:trPr>
        <w:tc>
          <w:tcPr>
            <w:tcW w:w="481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32F517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F14987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9E6F2C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1BCE7D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CD73A4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DA3971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5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DA55E1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1D6A8F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F2F" w14:paraId="79E391E1" w14:textId="77777777" w:rsidTr="000414A1">
        <w:trPr>
          <w:trHeight w:val="788"/>
        </w:trPr>
        <w:tc>
          <w:tcPr>
            <w:tcW w:w="481" w:type="pct"/>
            <w:shd w:val="clear" w:color="auto" w:fill="auto"/>
            <w:vAlign w:val="center"/>
          </w:tcPr>
          <w:p w14:paraId="1F8884C7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35A92CB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4BE610B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69DC10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D03282D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hypertension, coronary heart disease, cerebral infarction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D28F8C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Ocular + Bulbar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7DCA72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Facial nerve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704B01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7C709167" w14:textId="77777777" w:rsidTr="000414A1">
        <w:trPr>
          <w:trHeight w:val="454"/>
        </w:trPr>
        <w:tc>
          <w:tcPr>
            <w:tcW w:w="481" w:type="pct"/>
            <w:shd w:val="clear" w:color="auto" w:fill="auto"/>
            <w:vAlign w:val="center"/>
          </w:tcPr>
          <w:p w14:paraId="2A6061CC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E9488BB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34E3B8F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B4FBDAE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D2CA929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diabetes, breast cancer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562416A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Ocular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574703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Facial nerve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F01358F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1EB60F34" w14:textId="77777777" w:rsidTr="000414A1">
        <w:trPr>
          <w:trHeight w:val="454"/>
        </w:trPr>
        <w:tc>
          <w:tcPr>
            <w:tcW w:w="481" w:type="pct"/>
            <w:shd w:val="clear" w:color="auto" w:fill="auto"/>
            <w:vAlign w:val="center"/>
          </w:tcPr>
          <w:p w14:paraId="05871030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984A6FA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1069EBC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56046AF0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2874E76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hypertension, diabetes, coronary heart disease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BD9AD1B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Ocular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8D2AD0C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Facial nerve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5454D60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34C7AAAC" w14:textId="77777777" w:rsidTr="000414A1">
        <w:trPr>
          <w:trHeight w:val="788"/>
        </w:trPr>
        <w:tc>
          <w:tcPr>
            <w:tcW w:w="481" w:type="pct"/>
            <w:shd w:val="clear" w:color="auto" w:fill="auto"/>
            <w:vAlign w:val="center"/>
          </w:tcPr>
          <w:p w14:paraId="497201A0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35B538C2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44F37F5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225E6F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378DBD83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hypertension, diabetes, coronary heart disease, cerebral infarction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3AC27BA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Ocular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0E7CDBF2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Facial nerve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70E906E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3AD51BB9" w14:textId="77777777" w:rsidTr="000414A1">
        <w:trPr>
          <w:trHeight w:val="454"/>
        </w:trPr>
        <w:tc>
          <w:tcPr>
            <w:tcW w:w="481" w:type="pct"/>
            <w:shd w:val="clear" w:color="auto" w:fill="auto"/>
            <w:vAlign w:val="center"/>
          </w:tcPr>
          <w:p w14:paraId="6AEB52BC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0D1F6B9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1F2FDEE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120494CA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54CCD0A4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hypertension, diabetes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06CF37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Bulbar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EC474BD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Facial nerve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1BF816D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4E1778C1" w14:textId="77777777" w:rsidTr="000414A1">
        <w:trPr>
          <w:trHeight w:val="289"/>
        </w:trPr>
        <w:tc>
          <w:tcPr>
            <w:tcW w:w="481" w:type="pct"/>
            <w:shd w:val="clear" w:color="auto" w:fill="auto"/>
            <w:vAlign w:val="center"/>
          </w:tcPr>
          <w:p w14:paraId="1C955BFB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8F66282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0F2DE32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70256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 (3 weeks)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5F58099B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hypertension, arrthymia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F755ED7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Ocular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4C44EA5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5A0A096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0F2E1EA4" w14:textId="77777777" w:rsidTr="000414A1">
        <w:trPr>
          <w:trHeight w:val="593"/>
        </w:trPr>
        <w:tc>
          <w:tcPr>
            <w:tcW w:w="481" w:type="pct"/>
            <w:shd w:val="clear" w:color="auto" w:fill="auto"/>
            <w:vAlign w:val="center"/>
          </w:tcPr>
          <w:p w14:paraId="758050C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6A7421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699EA8D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06C04D6D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1A66F1BE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hypertension, diabet</w:t>
            </w:r>
            <w:r>
              <w:rPr>
                <w:rStyle w:val="font51"/>
                <w:rFonts w:eastAsia="SimSun" w:hint="eastAsia"/>
                <w:sz w:val="18"/>
                <w:szCs w:val="18"/>
                <w:lang w:bidi="ar"/>
              </w:rPr>
              <w:t>es</w:t>
            </w:r>
            <w:r>
              <w:rPr>
                <w:rStyle w:val="font51"/>
                <w:rFonts w:eastAsia="SimSun"/>
                <w:sz w:val="18"/>
                <w:szCs w:val="18"/>
                <w:lang w:bidi="ar"/>
              </w:rPr>
              <w:t>, coronary heart disease, hyperlipidemia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A54C0C4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Ocular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07408A1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1E7BD1D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5F828ADB" w14:textId="77777777" w:rsidTr="000414A1">
        <w:trPr>
          <w:trHeight w:val="289"/>
        </w:trPr>
        <w:tc>
          <w:tcPr>
            <w:tcW w:w="481" w:type="pct"/>
            <w:shd w:val="clear" w:color="auto" w:fill="auto"/>
            <w:vAlign w:val="center"/>
          </w:tcPr>
          <w:p w14:paraId="775A44E1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5D115AA1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7DCECC1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0178AD5C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D9F409F" w14:textId="77777777" w:rsidR="00E27F2F" w:rsidRDefault="00E27F2F" w:rsidP="000414A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cerebral infarction, hyperlipidemia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17ECEF5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Ocular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8D65F03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0307DBA9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  <w:tr w:rsidR="00E27F2F" w14:paraId="4548E012" w14:textId="77777777" w:rsidTr="000414A1">
        <w:trPr>
          <w:trHeight w:val="557"/>
        </w:trPr>
        <w:tc>
          <w:tcPr>
            <w:tcW w:w="481" w:type="pct"/>
            <w:shd w:val="clear" w:color="auto" w:fill="auto"/>
            <w:vAlign w:val="center"/>
          </w:tcPr>
          <w:p w14:paraId="2E15D0B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5F4250B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23DCB72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27B2B3F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0DAE3B7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02BCA99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Bulbar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B083A47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65B0A8CE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thymic hyperplasia</w:t>
            </w:r>
          </w:p>
        </w:tc>
      </w:tr>
      <w:tr w:rsidR="00E27F2F" w14:paraId="37461C8D" w14:textId="77777777" w:rsidTr="000414A1">
        <w:trPr>
          <w:trHeight w:val="289"/>
        </w:trPr>
        <w:tc>
          <w:tcPr>
            <w:tcW w:w="481" w:type="pct"/>
            <w:shd w:val="clear" w:color="auto" w:fill="auto"/>
            <w:vAlign w:val="center"/>
          </w:tcPr>
          <w:p w14:paraId="17C8E85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185DDE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79E6BF0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739FB68B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512AE2F6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551E9EE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Bulbar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288453F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0D57068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thymoma</w:t>
            </w:r>
          </w:p>
        </w:tc>
      </w:tr>
      <w:tr w:rsidR="00E27F2F" w14:paraId="0A064DB2" w14:textId="77777777" w:rsidTr="000414A1">
        <w:trPr>
          <w:trHeight w:val="289"/>
        </w:trPr>
        <w:tc>
          <w:tcPr>
            <w:tcW w:w="481" w:type="pct"/>
            <w:shd w:val="clear" w:color="auto" w:fill="auto"/>
            <w:vAlign w:val="center"/>
          </w:tcPr>
          <w:p w14:paraId="17C20DBD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11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0A95CE33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0143965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12EA9A61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359" w:type="pct"/>
            <w:shd w:val="clear" w:color="auto" w:fill="auto"/>
            <w:vAlign w:val="center"/>
          </w:tcPr>
          <w:p w14:paraId="4D31480A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—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6A58870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Bulbar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4770249A" w14:textId="77777777" w:rsidR="00E27F2F" w:rsidRDefault="00E27F2F" w:rsidP="000414A1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343901C9" w14:textId="77777777" w:rsidR="00E27F2F" w:rsidRDefault="00E27F2F" w:rsidP="000414A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(—)</w:t>
            </w:r>
          </w:p>
        </w:tc>
      </w:tr>
    </w:tbl>
    <w:p w14:paraId="5672E088" w14:textId="77777777" w:rsidR="001D3F29" w:rsidRDefault="001D3F29"/>
    <w:p w14:paraId="4528168E" w14:textId="77777777" w:rsidR="006A22E3" w:rsidRDefault="006A22E3"/>
    <w:p w14:paraId="4C49146D" w14:textId="77777777" w:rsidR="006A22E3" w:rsidRDefault="006A22E3"/>
    <w:p w14:paraId="16B42CF5" w14:textId="77777777" w:rsidR="006A22E3" w:rsidRDefault="006A22E3"/>
    <w:p w14:paraId="4DCE182D" w14:textId="77777777" w:rsidR="006A22E3" w:rsidRDefault="006A22E3"/>
    <w:p w14:paraId="18F2E277" w14:textId="77777777" w:rsidR="006A22E3" w:rsidRDefault="006A22E3"/>
    <w:tbl>
      <w:tblPr>
        <w:tblW w:w="4824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  <w:tblDescription w:val="{&quot;styleId&quot;:3}"/>
      </w:tblPr>
      <w:tblGrid>
        <w:gridCol w:w="1083"/>
        <w:gridCol w:w="838"/>
        <w:gridCol w:w="1061"/>
        <w:gridCol w:w="1239"/>
        <w:gridCol w:w="1110"/>
        <w:gridCol w:w="948"/>
        <w:gridCol w:w="377"/>
        <w:gridCol w:w="991"/>
        <w:gridCol w:w="1131"/>
        <w:gridCol w:w="1134"/>
        <w:gridCol w:w="1277"/>
        <w:gridCol w:w="867"/>
        <w:gridCol w:w="1411"/>
      </w:tblGrid>
      <w:tr w:rsidR="006A22E3" w14:paraId="0D21A31A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101CAEA8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61605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MG-ADL</w:t>
            </w:r>
          </w:p>
        </w:tc>
        <w:tc>
          <w:tcPr>
            <w:tcW w:w="140" w:type="pct"/>
          </w:tcPr>
          <w:p w14:paraId="2E2DF346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0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A059" w14:textId="703EA432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QMGS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6E3F4AB3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MGFA Classification</w:t>
            </w:r>
          </w:p>
        </w:tc>
      </w:tr>
      <w:tr w:rsidR="00B042CA" w14:paraId="088D33E5" w14:textId="77777777" w:rsidTr="00B042CA">
        <w:trPr>
          <w:jc w:val="center"/>
        </w:trPr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C97A" w14:textId="01799856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atient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number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F7692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baseline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4B9C5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first dose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7A8A4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second dose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D489B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third dose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768E1" w14:textId="30D5DA1C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 months</w:t>
            </w:r>
          </w:p>
        </w:tc>
        <w:tc>
          <w:tcPr>
            <w:tcW w:w="140" w:type="pct"/>
            <w:tcBorders>
              <w:bottom w:val="single" w:sz="4" w:space="0" w:color="auto"/>
            </w:tcBorders>
          </w:tcPr>
          <w:p w14:paraId="618CB60D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F6244" w14:textId="33DA877E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baseline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C583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first dose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B0157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second dose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F3CC5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third dose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B4D6C" w14:textId="171D26DD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 months</w:t>
            </w: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60BBE" w14:textId="77777777" w:rsidR="006A22E3" w:rsidRDefault="006A22E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A22E3" w14:paraId="69CD55CA" w14:textId="77777777" w:rsidTr="006A22E3">
        <w:trPr>
          <w:jc w:val="center"/>
        </w:trPr>
        <w:tc>
          <w:tcPr>
            <w:tcW w:w="402" w:type="pct"/>
            <w:tcBorders>
              <w:top w:val="nil"/>
            </w:tcBorders>
            <w:shd w:val="clear" w:color="auto" w:fill="auto"/>
            <w:vAlign w:val="center"/>
          </w:tcPr>
          <w:p w14:paraId="531BEEEE" w14:textId="455DFB06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11" w:type="pct"/>
            <w:tcBorders>
              <w:top w:val="nil"/>
            </w:tcBorders>
            <w:shd w:val="clear" w:color="auto" w:fill="auto"/>
            <w:vAlign w:val="center"/>
          </w:tcPr>
          <w:p w14:paraId="217B479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94" w:type="pct"/>
            <w:tcBorders>
              <w:top w:val="nil"/>
            </w:tcBorders>
            <w:shd w:val="clear" w:color="auto" w:fill="auto"/>
            <w:vAlign w:val="center"/>
          </w:tcPr>
          <w:p w14:paraId="11755D4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0" w:type="pct"/>
            <w:tcBorders>
              <w:top w:val="nil"/>
            </w:tcBorders>
            <w:shd w:val="clear" w:color="auto" w:fill="auto"/>
            <w:vAlign w:val="center"/>
          </w:tcPr>
          <w:p w14:paraId="5E87E081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" w:type="pct"/>
            <w:tcBorders>
              <w:top w:val="nil"/>
            </w:tcBorders>
            <w:shd w:val="clear" w:color="auto" w:fill="auto"/>
            <w:vAlign w:val="center"/>
          </w:tcPr>
          <w:p w14:paraId="1DBC96C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2" w:type="pct"/>
            <w:tcBorders>
              <w:top w:val="nil"/>
            </w:tcBorders>
            <w:shd w:val="clear" w:color="auto" w:fill="auto"/>
            <w:vAlign w:val="center"/>
          </w:tcPr>
          <w:p w14:paraId="66F1D31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0" w:type="pct"/>
            <w:tcBorders>
              <w:top w:val="nil"/>
            </w:tcBorders>
          </w:tcPr>
          <w:p w14:paraId="0971B35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" w:type="pct"/>
            <w:tcBorders>
              <w:top w:val="nil"/>
            </w:tcBorders>
            <w:shd w:val="clear" w:color="auto" w:fill="auto"/>
            <w:vAlign w:val="center"/>
          </w:tcPr>
          <w:p w14:paraId="663C2864" w14:textId="6F9D87DA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420" w:type="pct"/>
            <w:tcBorders>
              <w:top w:val="nil"/>
            </w:tcBorders>
            <w:shd w:val="clear" w:color="auto" w:fill="auto"/>
            <w:vAlign w:val="center"/>
          </w:tcPr>
          <w:p w14:paraId="2CE67B0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21" w:type="pct"/>
            <w:tcBorders>
              <w:top w:val="nil"/>
            </w:tcBorders>
            <w:shd w:val="clear" w:color="auto" w:fill="auto"/>
            <w:vAlign w:val="center"/>
          </w:tcPr>
          <w:p w14:paraId="210A1781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4" w:type="pct"/>
            <w:tcBorders>
              <w:top w:val="nil"/>
            </w:tcBorders>
            <w:shd w:val="clear" w:color="auto" w:fill="auto"/>
            <w:vAlign w:val="center"/>
          </w:tcPr>
          <w:p w14:paraId="1B347B8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vAlign w:val="center"/>
          </w:tcPr>
          <w:p w14:paraId="47744881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4" w:type="pct"/>
            <w:tcBorders>
              <w:top w:val="nil"/>
            </w:tcBorders>
            <w:shd w:val="clear" w:color="auto" w:fill="auto"/>
            <w:vAlign w:val="center"/>
          </w:tcPr>
          <w:p w14:paraId="530E61D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IIIB</w:t>
            </w:r>
          </w:p>
        </w:tc>
      </w:tr>
      <w:tr w:rsidR="006A22E3" w14:paraId="68161637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056125EA" w14:textId="4173FF34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008DDA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F2B5AB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D4396D7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4FE7BB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1DCEB81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0" w:type="pct"/>
          </w:tcPr>
          <w:p w14:paraId="1E9EDB3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3438D66" w14:textId="69F95E2D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194849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9AF0BCA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B641F0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B07EC6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A05B5A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IIB</w:t>
            </w:r>
          </w:p>
        </w:tc>
      </w:tr>
      <w:tr w:rsidR="006A22E3" w14:paraId="40BB724B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325F1A51" w14:textId="1A12488E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FC78A3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0D84D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62AF174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21D0EC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FCDD30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140" w:type="pct"/>
          </w:tcPr>
          <w:p w14:paraId="1D23644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6254D17" w14:textId="4F4B770F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0B693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D102A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D5EC08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0D571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5D3930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IIB</w:t>
            </w:r>
          </w:p>
        </w:tc>
      </w:tr>
      <w:tr w:rsidR="006A22E3" w14:paraId="04712AC5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721C746B" w14:textId="4A76412F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A713DB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558DEA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D61C831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B49C36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57D980A9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0" w:type="pct"/>
          </w:tcPr>
          <w:p w14:paraId="619877AF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E29A930" w14:textId="71C9B101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F4C6F7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25C86E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2AF92D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4A072C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A5F489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IIIB</w:t>
            </w:r>
          </w:p>
        </w:tc>
      </w:tr>
      <w:tr w:rsidR="006A22E3" w14:paraId="5BA01F86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04826D7C" w14:textId="35AF7A7F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18A694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5F6861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0D83E9E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8B0A44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B9AE01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0" w:type="pct"/>
          </w:tcPr>
          <w:p w14:paraId="432ED67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F943B03" w14:textId="31346C63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4A89557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2760DB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55F9CB0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AEF7ED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0E13AF9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IIIB</w:t>
            </w:r>
          </w:p>
        </w:tc>
      </w:tr>
      <w:tr w:rsidR="006A22E3" w14:paraId="41A6827E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28E632F2" w14:textId="27FB2C7C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14D477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CBA5853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03DB2A51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09F327D1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504B2DD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14:paraId="6A10E4C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F2AF57C" w14:textId="76E5D45D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188876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E37FEC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536891C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836EF9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E91FD11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</w:tr>
      <w:tr w:rsidR="006A22E3" w14:paraId="19EA124C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2BE8E56E" w14:textId="69E65C6C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2CBF5C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5A003DF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56C1472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FD42F8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1A317338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14:paraId="2A32EFB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61DDEE4" w14:textId="25257CD6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2FCCFD4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7BDF3B8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D3BD5D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B87D74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55A729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IIIA</w:t>
            </w:r>
          </w:p>
        </w:tc>
      </w:tr>
      <w:tr w:rsidR="006A22E3" w14:paraId="71FADC1B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43CCBD7C" w14:textId="45749119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41509B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6224DE1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5D128482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A724BE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DD71DEE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14:paraId="7EEB835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0A43011" w14:textId="7F230E60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D4D8B6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18AA47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3ED46E3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69590B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62DDCC7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</w:tr>
      <w:tr w:rsidR="006A22E3" w14:paraId="24D68EEE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3FDAEBF3" w14:textId="23EF3B35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0D5A59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3DCECB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01332C2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3315E9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38065D7C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14:paraId="12B50CAD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73D3DD7" w14:textId="2C1A9439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37A56E5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7645758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5F77C81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1444E1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47558A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IIIA</w:t>
            </w:r>
          </w:p>
        </w:tc>
      </w:tr>
      <w:tr w:rsidR="006A22E3" w14:paraId="319118B8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563603E5" w14:textId="2BBF32E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4BEF5F0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91D3AA1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15EF6F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335890C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57D75BFD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</w:tcPr>
          <w:p w14:paraId="0322DF7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BF0CF73" w14:textId="46B404A4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53671C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A79295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09AF502C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5A36D2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na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99EF10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IIIB</w:t>
            </w:r>
          </w:p>
        </w:tc>
      </w:tr>
      <w:tr w:rsidR="006A22E3" w14:paraId="7FE14CC5" w14:textId="77777777" w:rsidTr="006A22E3">
        <w:trPr>
          <w:jc w:val="center"/>
        </w:trPr>
        <w:tc>
          <w:tcPr>
            <w:tcW w:w="402" w:type="pct"/>
            <w:shd w:val="clear" w:color="auto" w:fill="auto"/>
            <w:vAlign w:val="center"/>
          </w:tcPr>
          <w:p w14:paraId="266E24C2" w14:textId="611088CE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B3BF72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685FB39" w14:textId="77777777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2D0381F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A9CB1E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8628D7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0" w:type="pct"/>
          </w:tcPr>
          <w:p w14:paraId="1F51C7B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7DADDD6" w14:textId="6BE3DAE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7D240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5DBC661" w14:textId="77777777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3B566D07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DA16DB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4FA42C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IIB</w:t>
            </w:r>
          </w:p>
        </w:tc>
      </w:tr>
    </w:tbl>
    <w:p w14:paraId="014B1868" w14:textId="77777777" w:rsidR="001D3F29" w:rsidRDefault="001D3F29"/>
    <w:p w14:paraId="38F4048E" w14:textId="77777777" w:rsidR="001D3F29" w:rsidRDefault="001D3F29"/>
    <w:p w14:paraId="045F8CF7" w14:textId="77777777" w:rsidR="001D3F29" w:rsidRDefault="001D3F29"/>
    <w:p w14:paraId="60AF8258" w14:textId="77777777" w:rsidR="001D3F29" w:rsidRDefault="001D3F29"/>
    <w:p w14:paraId="48286706" w14:textId="77777777" w:rsidR="001D3F29" w:rsidRDefault="001D3F29"/>
    <w:p w14:paraId="51053116" w14:textId="77777777" w:rsidR="001D3F29" w:rsidRDefault="001D3F29"/>
    <w:tbl>
      <w:tblPr>
        <w:tblW w:w="13509" w:type="dxa"/>
        <w:tblInd w:w="9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920"/>
        <w:gridCol w:w="1180"/>
        <w:gridCol w:w="1180"/>
        <w:gridCol w:w="1030"/>
        <w:gridCol w:w="3360"/>
        <w:gridCol w:w="840"/>
        <w:gridCol w:w="930"/>
        <w:gridCol w:w="1190"/>
        <w:gridCol w:w="1060"/>
        <w:gridCol w:w="910"/>
      </w:tblGrid>
      <w:tr w:rsidR="006A22E3" w14:paraId="0F721840" w14:textId="77777777" w:rsidTr="00B042CA">
        <w:trPr>
          <w:trHeight w:val="450"/>
        </w:trPr>
        <w:tc>
          <w:tcPr>
            <w:tcW w:w="909" w:type="dxa"/>
            <w:tcBorders>
              <w:bottom w:val="nil"/>
            </w:tcBorders>
            <w:shd w:val="clear" w:color="auto" w:fill="auto"/>
            <w:vAlign w:val="center"/>
          </w:tcPr>
          <w:p w14:paraId="4F390603" w14:textId="77777777" w:rsidR="006A22E3" w:rsidRDefault="006A22E3">
            <w:pPr>
              <w:widowControl/>
              <w:jc w:val="center"/>
              <w:textAlignment w:val="center"/>
              <w:rPr>
                <w:rStyle w:val="font41"/>
                <w:rFonts w:eastAsia="SimSun"/>
                <w:sz w:val="18"/>
                <w:szCs w:val="18"/>
                <w:lang w:bidi="ar"/>
              </w:rPr>
            </w:pPr>
          </w:p>
        </w:tc>
        <w:tc>
          <w:tcPr>
            <w:tcW w:w="43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75B20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nt41"/>
                <w:rFonts w:eastAsia="SimSun"/>
                <w:sz w:val="18"/>
                <w:szCs w:val="18"/>
                <w:lang w:bidi="ar"/>
              </w:rPr>
              <w:t>Anti-AChR antibody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Style w:val="font41"/>
                <w:rFonts w:eastAsia="SimSun"/>
                <w:sz w:val="18"/>
                <w:szCs w:val="18"/>
                <w:lang w:bidi="ar"/>
              </w:rPr>
              <w:t>nmol/L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DF95AB" w14:textId="77777777" w:rsidR="006A22E3" w:rsidRDefault="006A22E3">
            <w:pPr>
              <w:widowControl/>
              <w:jc w:val="center"/>
              <w:textAlignment w:val="center"/>
              <w:rPr>
                <w:rStyle w:val="font41"/>
                <w:rFonts w:eastAsia="SimSun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Treatmen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DA00F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CD56</w:t>
            </w:r>
            <w:r w:rsidRPr="00B042C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NK cells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×10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/mL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A22E3" w14:paraId="2FC7F800" w14:textId="77777777" w:rsidTr="00B042CA">
        <w:trPr>
          <w:trHeight w:val="780"/>
        </w:trPr>
        <w:tc>
          <w:tcPr>
            <w:tcW w:w="9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18F697" w14:textId="525D2C3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patient number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200A0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baseline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ED864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first dose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014C7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second dose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9BC5C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third dose</w:t>
            </w:r>
          </w:p>
        </w:tc>
        <w:tc>
          <w:tcPr>
            <w:tcW w:w="33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FBD364" w14:textId="77777777" w:rsidR="006A22E3" w:rsidRDefault="006A22E3">
            <w:pP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95F1E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baseline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30027" w14:textId="77777777" w:rsidR="006A22E3" w:rsidRDefault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first dose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9B48F" w14:textId="77777777" w:rsidR="006A22E3" w:rsidRDefault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second dose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08400" w14:textId="77777777" w:rsidR="006A22E3" w:rsidRDefault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third dose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4DABB" w14:textId="5B760A9A" w:rsidR="006A22E3" w:rsidRDefault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 months</w:t>
            </w:r>
          </w:p>
        </w:tc>
      </w:tr>
      <w:tr w:rsidR="006A22E3" w14:paraId="5AE24D66" w14:textId="77777777" w:rsidTr="00B042CA">
        <w:trPr>
          <w:trHeight w:val="780"/>
        </w:trPr>
        <w:tc>
          <w:tcPr>
            <w:tcW w:w="909" w:type="dxa"/>
            <w:shd w:val="clear" w:color="auto" w:fill="auto"/>
            <w:vAlign w:val="center"/>
          </w:tcPr>
          <w:p w14:paraId="7FC06335" w14:textId="5A81A0DE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20BF3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10.05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654AA19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9.08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90E6A5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8.03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91306C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8.01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09F761A7" w14:textId="46BB2049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MP + low-dose tocilizumab,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269EBFA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48ECB62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1D484A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0.126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6B28FB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0.184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D1006D1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0.155</w:t>
            </w:r>
          </w:p>
        </w:tc>
      </w:tr>
      <w:tr w:rsidR="006A22E3" w14:paraId="30E86291" w14:textId="77777777" w:rsidTr="00B042CA">
        <w:trPr>
          <w:trHeight w:val="450"/>
        </w:trPr>
        <w:tc>
          <w:tcPr>
            <w:tcW w:w="909" w:type="dxa"/>
            <w:shd w:val="clear" w:color="auto" w:fill="auto"/>
            <w:vAlign w:val="center"/>
          </w:tcPr>
          <w:p w14:paraId="36C03B37" w14:textId="3A054635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166AF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0.99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A12A3D5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823E00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7356F2A4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69A765F3" w14:textId="5F2C3CF7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MP + low-dose tocilizumab,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5FF1C87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0.459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6F64D8C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0.302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209B9EB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A2E3FD7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0.474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B540249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0.203</w:t>
            </w:r>
          </w:p>
        </w:tc>
      </w:tr>
      <w:tr w:rsidR="006A22E3" w14:paraId="565E4847" w14:textId="77777777" w:rsidTr="00B042CA">
        <w:trPr>
          <w:trHeight w:val="450"/>
        </w:trPr>
        <w:tc>
          <w:tcPr>
            <w:tcW w:w="909" w:type="dxa"/>
            <w:shd w:val="clear" w:color="auto" w:fill="auto"/>
            <w:vAlign w:val="center"/>
          </w:tcPr>
          <w:p w14:paraId="5E1A296B" w14:textId="776325C2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8265F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9.03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78DF66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C322F6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5.76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C502F9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5.39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B3DC8A2" w14:textId="387F1083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MP + low-dose tocilizumab,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C46CB77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2F85B30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CF1ACC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0.128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044068F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0.048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CBC7EEE" w14:textId="6B4FFA19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</w:p>
        </w:tc>
      </w:tr>
      <w:tr w:rsidR="006A22E3" w14:paraId="7DBBC200" w14:textId="77777777" w:rsidTr="00B042CA">
        <w:trPr>
          <w:trHeight w:val="780"/>
        </w:trPr>
        <w:tc>
          <w:tcPr>
            <w:tcW w:w="909" w:type="dxa"/>
            <w:shd w:val="clear" w:color="auto" w:fill="auto"/>
            <w:vAlign w:val="center"/>
          </w:tcPr>
          <w:p w14:paraId="7A07A122" w14:textId="31AC80C2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7B61C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0862FB58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8510F9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8D03600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26B47A8A" w14:textId="1CA177A4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MP + low-dose tocilizumab,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4CDC01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0.319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45043C0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0.033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43D22C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0.357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E2CF61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0.266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23A9D92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0.039</w:t>
            </w:r>
          </w:p>
        </w:tc>
      </w:tr>
      <w:tr w:rsidR="006A22E3" w14:paraId="68561F97" w14:textId="77777777" w:rsidTr="00B042CA">
        <w:trPr>
          <w:trHeight w:val="450"/>
        </w:trPr>
        <w:tc>
          <w:tcPr>
            <w:tcW w:w="909" w:type="dxa"/>
            <w:shd w:val="clear" w:color="auto" w:fill="auto"/>
            <w:vAlign w:val="center"/>
          </w:tcPr>
          <w:p w14:paraId="270E83A5" w14:textId="41D460ED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E1E1C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FA0220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D474FD8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3CF0CB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09280DB2" w14:textId="28B70E1E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MP + low-dose tocilizumab +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A21C2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0.354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61E4694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0.148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8669C5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94616A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0.093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C69F7D9" w14:textId="77777777" w:rsidR="006A22E3" w:rsidRDefault="006A22E3" w:rsidP="006A22E3">
            <w:pPr>
              <w:widowControl/>
              <w:jc w:val="center"/>
              <w:textAlignment w:val="center"/>
              <w:rPr>
                <w:sz w:val="16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0.106</w:t>
            </w:r>
          </w:p>
        </w:tc>
      </w:tr>
      <w:tr w:rsidR="006A22E3" w14:paraId="759B5CFE" w14:textId="77777777" w:rsidTr="00B042CA">
        <w:trPr>
          <w:trHeight w:val="288"/>
        </w:trPr>
        <w:tc>
          <w:tcPr>
            <w:tcW w:w="909" w:type="dxa"/>
            <w:shd w:val="clear" w:color="auto" w:fill="auto"/>
            <w:vAlign w:val="center"/>
          </w:tcPr>
          <w:p w14:paraId="4B06C2F0" w14:textId="0B9744C2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3ADBFA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2A15EE46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662AED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2DA963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06C2B972" w14:textId="77C6EE8C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IVIg, MP,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750F39F" w14:textId="77777777" w:rsidR="006A22E3" w:rsidRDefault="006A22E3" w:rsidP="006A22E3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79F1737" w14:textId="77777777" w:rsidR="006A22E3" w:rsidRDefault="006A22E3" w:rsidP="006A22E3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D4A8DF2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0344539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10505A0D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</w:tr>
      <w:tr w:rsidR="006A22E3" w14:paraId="5D6F38B5" w14:textId="77777777" w:rsidTr="00B042CA">
        <w:trPr>
          <w:trHeight w:val="588"/>
        </w:trPr>
        <w:tc>
          <w:tcPr>
            <w:tcW w:w="909" w:type="dxa"/>
            <w:shd w:val="clear" w:color="auto" w:fill="auto"/>
            <w:vAlign w:val="center"/>
          </w:tcPr>
          <w:p w14:paraId="644B65EC" w14:textId="45358617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40995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114680BC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8C56AA3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2898CDD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091DE77C" w14:textId="29F97121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MP,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B4637DE" w14:textId="77777777" w:rsidR="006A22E3" w:rsidRDefault="006A22E3" w:rsidP="006A22E3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FDA25DA" w14:textId="77777777" w:rsidR="006A22E3" w:rsidRDefault="006A22E3" w:rsidP="006A22E3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EEAECBE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8918FA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27901480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</w:tr>
      <w:tr w:rsidR="006A22E3" w14:paraId="07C57B41" w14:textId="77777777" w:rsidTr="00B042CA">
        <w:trPr>
          <w:trHeight w:val="288"/>
        </w:trPr>
        <w:tc>
          <w:tcPr>
            <w:tcW w:w="909" w:type="dxa"/>
            <w:shd w:val="clear" w:color="auto" w:fill="auto"/>
            <w:vAlign w:val="center"/>
          </w:tcPr>
          <w:p w14:paraId="0EDF592A" w14:textId="3166025D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989C2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5AC380C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AEF0C0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FAE844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25154FC4" w14:textId="1D34CB6B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MMF, MP,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DA1DFFB" w14:textId="77777777" w:rsidR="006A22E3" w:rsidRDefault="006A22E3" w:rsidP="006A22E3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61A687E" w14:textId="77777777" w:rsidR="006A22E3" w:rsidRDefault="006A22E3" w:rsidP="006A22E3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E27681D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8D1FF2C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B36FE44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</w:tr>
      <w:tr w:rsidR="006A22E3" w14:paraId="5BDE3B50" w14:textId="77777777" w:rsidTr="00B042CA">
        <w:trPr>
          <w:trHeight w:val="552"/>
        </w:trPr>
        <w:tc>
          <w:tcPr>
            <w:tcW w:w="909" w:type="dxa"/>
            <w:shd w:val="clear" w:color="auto" w:fill="auto"/>
            <w:vAlign w:val="center"/>
          </w:tcPr>
          <w:p w14:paraId="3E162C87" w14:textId="317573BE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B663C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001ED5CA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9FC499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1EA05AA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08C2D2B9" w14:textId="121549AF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low-dose tocilizumab (once), MP, MMF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51AC811" w14:textId="77777777" w:rsidR="006A22E3" w:rsidRDefault="006A22E3" w:rsidP="006A22E3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F7A0B3E" w14:textId="77777777" w:rsidR="006A22E3" w:rsidRDefault="006A22E3" w:rsidP="006A22E3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80E25E8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1D13410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1C70A2D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</w:tr>
      <w:tr w:rsidR="006A22E3" w14:paraId="5B50F1E6" w14:textId="77777777" w:rsidTr="00B042CA">
        <w:trPr>
          <w:trHeight w:val="288"/>
        </w:trPr>
        <w:tc>
          <w:tcPr>
            <w:tcW w:w="909" w:type="dxa"/>
            <w:shd w:val="clear" w:color="auto" w:fill="auto"/>
            <w:vAlign w:val="center"/>
          </w:tcPr>
          <w:p w14:paraId="77964A2B" w14:textId="01E5FE38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738E1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401ECC8A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899AF35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vAlign w:val="center"/>
          </w:tcPr>
          <w:p w14:paraId="3AE385B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458E2BFA" w14:textId="6F5654AD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SimSun"/>
                <w:sz w:val="18"/>
                <w:szCs w:val="18"/>
                <w:lang w:bidi="ar"/>
              </w:rPr>
              <w:t>IVIg, MP,</w:t>
            </w:r>
            <w:r>
              <w:rPr>
                <w:rFonts w:ascii="SimSun" w:eastAsia="SimSun" w:hAnsi="SimSun" w:cs="SimSu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21"/>
                <w:rFonts w:eastAsia="SimSun"/>
                <w:sz w:val="18"/>
                <w:szCs w:val="18"/>
                <w:lang w:bidi="ar"/>
              </w:rPr>
              <w:t>tacrolimus, pyridostigmine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A39F5E0" w14:textId="77777777" w:rsidR="006A22E3" w:rsidRDefault="006A22E3" w:rsidP="006A22E3">
            <w:pPr>
              <w:rPr>
                <w:rStyle w:val="font21"/>
                <w:rFonts w:eastAsia="SimSun"/>
                <w:sz w:val="18"/>
                <w:szCs w:val="18"/>
                <w:lang w:bidi="ar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1C9A8D56" w14:textId="77777777" w:rsidR="006A22E3" w:rsidRDefault="006A22E3" w:rsidP="006A22E3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02CD290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296D29B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F1A342F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</w:tr>
      <w:tr w:rsidR="006A22E3" w14:paraId="56D78E4C" w14:textId="77777777" w:rsidTr="00B042CA">
        <w:trPr>
          <w:trHeight w:val="288"/>
        </w:trPr>
        <w:tc>
          <w:tcPr>
            <w:tcW w:w="909" w:type="dxa"/>
            <w:shd w:val="clear" w:color="auto" w:fill="auto"/>
            <w:vAlign w:val="center"/>
          </w:tcPr>
          <w:p w14:paraId="4B5CFB04" w14:textId="5DFB62BD" w:rsidR="006A22E3" w:rsidRPr="00B042CA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</w:pPr>
            <w:r w:rsidRPr="00B042CA">
              <w:rPr>
                <w:rFonts w:ascii="Times New Roman" w:eastAsia="SimSun" w:hAnsi="Times New Roman" w:cs="Times New Roman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5CBD69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1DB2907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FC1E11C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BE5DAC5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0" w:type="dxa"/>
            <w:shd w:val="clear" w:color="auto" w:fill="auto"/>
            <w:noWrap/>
            <w:vAlign w:val="center"/>
          </w:tcPr>
          <w:p w14:paraId="2C068B1D" w14:textId="47318B58" w:rsidR="006A22E3" w:rsidRDefault="006A22E3" w:rsidP="00B042C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low-dose tocilizumab, pyridostigmine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2139F52" w14:textId="77777777" w:rsidR="006A22E3" w:rsidRDefault="006A22E3" w:rsidP="006A22E3">
            <w:pP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30" w:type="dxa"/>
            <w:shd w:val="clear" w:color="auto" w:fill="auto"/>
            <w:noWrap/>
            <w:vAlign w:val="center"/>
          </w:tcPr>
          <w:p w14:paraId="15D3C0B8" w14:textId="77777777" w:rsidR="006A22E3" w:rsidRDefault="006A22E3" w:rsidP="006A22E3">
            <w:pPr>
              <w:jc w:val="left"/>
              <w:rPr>
                <w:sz w:val="15"/>
                <w:szCs w:val="15"/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</w:tcPr>
          <w:p w14:paraId="77950199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2A6B319C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10" w:type="dxa"/>
            <w:shd w:val="clear" w:color="auto" w:fill="auto"/>
            <w:noWrap/>
            <w:vAlign w:val="center"/>
          </w:tcPr>
          <w:p w14:paraId="6D5AFE38" w14:textId="77777777" w:rsidR="006A22E3" w:rsidRDefault="006A22E3" w:rsidP="006A22E3">
            <w:pPr>
              <w:jc w:val="center"/>
              <w:rPr>
                <w:sz w:val="15"/>
                <w:szCs w:val="15"/>
              </w:rPr>
            </w:pPr>
          </w:p>
        </w:tc>
      </w:tr>
    </w:tbl>
    <w:p w14:paraId="267ADF70" w14:textId="77777777" w:rsidR="001D3F29" w:rsidRDefault="001D3F29">
      <w:pPr>
        <w:rPr>
          <w:sz w:val="16"/>
          <w:szCs w:val="18"/>
        </w:rPr>
      </w:pPr>
    </w:p>
    <w:p w14:paraId="52DA9FC2" w14:textId="77777777" w:rsidR="001D3F29" w:rsidRDefault="001D3F29">
      <w:pPr>
        <w:rPr>
          <w:sz w:val="16"/>
          <w:szCs w:val="18"/>
        </w:rPr>
      </w:pPr>
    </w:p>
    <w:p w14:paraId="282FA7AD" w14:textId="77777777" w:rsidR="001D3F29" w:rsidRDefault="001D3F29">
      <w:pPr>
        <w:rPr>
          <w:sz w:val="16"/>
          <w:szCs w:val="18"/>
        </w:rPr>
      </w:pPr>
    </w:p>
    <w:p w14:paraId="4740554A" w14:textId="77777777" w:rsidR="001D3F29" w:rsidRDefault="001D3F29">
      <w:pPr>
        <w:rPr>
          <w:sz w:val="16"/>
          <w:szCs w:val="18"/>
        </w:rPr>
      </w:pPr>
    </w:p>
    <w:tbl>
      <w:tblPr>
        <w:tblW w:w="4925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034"/>
        <w:gridCol w:w="1240"/>
        <w:gridCol w:w="1169"/>
        <w:gridCol w:w="1053"/>
        <w:gridCol w:w="1053"/>
        <w:gridCol w:w="990"/>
        <w:gridCol w:w="423"/>
        <w:gridCol w:w="1136"/>
        <w:gridCol w:w="1276"/>
        <w:gridCol w:w="1133"/>
        <w:gridCol w:w="1133"/>
        <w:gridCol w:w="990"/>
      </w:tblGrid>
      <w:tr w:rsidR="006A22E3" w14:paraId="6DBD6766" w14:textId="77777777" w:rsidTr="00B042CA">
        <w:trPr>
          <w:trHeight w:val="288"/>
        </w:trPr>
        <w:tc>
          <w:tcPr>
            <w:tcW w:w="407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14CFA1" w14:textId="1007E12D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atient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number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6DFB80" w14:textId="19564022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63731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CD8</w:t>
            </w:r>
            <w:r w:rsidRPr="00B042C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T cells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×10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/mL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54" w:type="pct"/>
            <w:tcBorders>
              <w:top w:val="single" w:sz="4" w:space="0" w:color="auto"/>
              <w:bottom w:val="nil"/>
            </w:tcBorders>
          </w:tcPr>
          <w:p w14:paraId="1411714B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6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01688" w14:textId="41FFF972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CD4</w:t>
            </w:r>
            <w:r w:rsidRPr="00B042C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+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T cells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×10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6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/mL</w:t>
            </w:r>
            <w:r>
              <w:rPr>
                <w:rFonts w:ascii="Microsoft YaHei" w:eastAsia="Microsoft YaHei" w:hAnsi="Microsoft YaHei" w:cs="Microsoft YaHei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6A22E3" w14:paraId="24B1DBB1" w14:textId="77777777" w:rsidTr="00B042CA">
        <w:trPr>
          <w:trHeight w:val="552"/>
        </w:trPr>
        <w:tc>
          <w:tcPr>
            <w:tcW w:w="407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34A7F9" w14:textId="77777777" w:rsidR="006A22E3" w:rsidRDefault="006A22E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1CAEEE" w14:textId="77777777" w:rsidR="006A22E3" w:rsidRDefault="006A22E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FD87F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baseline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159AC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first dose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A1E03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second dose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1CBF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third dose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1CC69" w14:textId="1CE72874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 months</w:t>
            </w:r>
          </w:p>
        </w:tc>
        <w:tc>
          <w:tcPr>
            <w:tcW w:w="154" w:type="pct"/>
            <w:tcBorders>
              <w:top w:val="nil"/>
              <w:bottom w:val="single" w:sz="4" w:space="0" w:color="auto"/>
            </w:tcBorders>
          </w:tcPr>
          <w:p w14:paraId="73DB39E2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BD01A" w14:textId="7C340CC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baseline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B6E3B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first dose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09FC8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second dose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E8708" w14:textId="7777777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after third dose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33C5" w14:textId="6B07A448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 months</w:t>
            </w:r>
          </w:p>
        </w:tc>
      </w:tr>
      <w:tr w:rsidR="006A22E3" w14:paraId="0514F60A" w14:textId="77777777" w:rsidTr="006A22E3">
        <w:trPr>
          <w:trHeight w:val="288"/>
        </w:trPr>
        <w:tc>
          <w:tcPr>
            <w:tcW w:w="4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5E7F2" w14:textId="1F365C90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E0162A" w14:textId="0389C447" w:rsidR="006A22E3" w:rsidRDefault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F2EA2" w14:textId="573B819A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CF3D7" w14:textId="20E7D86C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343AB" w14:textId="79667B2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7B251" w14:textId="6B8F71CA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093EF" w14:textId="790D3E80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  <w:tcBorders>
              <w:top w:val="single" w:sz="4" w:space="0" w:color="auto"/>
            </w:tcBorders>
          </w:tcPr>
          <w:p w14:paraId="43D290EA" w14:textId="77777777" w:rsidR="006A22E3" w:rsidDel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80EBE" w14:textId="0C23B8E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7A5D7A" w14:textId="517927E5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0CB9E" w14:textId="2FFC5BF3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02C04" w14:textId="7F60585C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55119" w14:textId="2E2AAE85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2E3" w14:paraId="4AEAE4EA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102F9BD4" w14:textId="3675E9C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D79BE5B" w14:textId="64963961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2884E3A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0.251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22DBE2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0.316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FE4585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61D3B8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0.655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A824A2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0.334</w:t>
            </w:r>
          </w:p>
        </w:tc>
        <w:tc>
          <w:tcPr>
            <w:tcW w:w="154" w:type="pct"/>
          </w:tcPr>
          <w:p w14:paraId="3E6CF79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36330A7" w14:textId="000E44AB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0.865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F4E4DE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A0EC16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1.245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31F42C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2.157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51670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0.797</w:t>
            </w:r>
          </w:p>
        </w:tc>
      </w:tr>
      <w:tr w:rsidR="006A22E3" w14:paraId="3D4C1910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305CCFA2" w14:textId="72242004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3963F88" w14:textId="6EED3B3A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61041C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0.299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B7AB56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0.269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934BF6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0.516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79EF4D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0.343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8236E3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0.228</w:t>
            </w:r>
          </w:p>
        </w:tc>
        <w:tc>
          <w:tcPr>
            <w:tcW w:w="154" w:type="pct"/>
          </w:tcPr>
          <w:p w14:paraId="51560209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248F25A" w14:textId="756225EE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0.659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386388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0.551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F330747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0.902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3AB1B2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0.569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63D009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0.536</w:t>
            </w:r>
          </w:p>
        </w:tc>
      </w:tr>
      <w:tr w:rsidR="006A22E3" w14:paraId="0EDE1F59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2B6A58D9" w14:textId="1E0610FD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9DF5519" w14:textId="69C6898F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7D078D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0.193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3B9E63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0.421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DC1B8B3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0.415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BD79A5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0.137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494A0534" w14:textId="314163E2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</w:tcPr>
          <w:p w14:paraId="68A4309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7B67BE0" w14:textId="6B9906BB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0.607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EBB0E0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1.09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1914F6B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44A50F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210857F" w14:textId="4A603ED6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2E3" w14:paraId="7D4EC560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7A65545F" w14:textId="00981004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C62C5D0" w14:textId="64AB0D7E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44B7570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DE4F7FF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0.206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40AAEDA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0.147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8E2CA64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0.362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F7B5F6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0.211</w:t>
            </w:r>
          </w:p>
        </w:tc>
        <w:tc>
          <w:tcPr>
            <w:tcW w:w="154" w:type="pct"/>
          </w:tcPr>
          <w:p w14:paraId="0F6EE27F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B08D787" w14:textId="7DE9DA76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1.022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D41245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1.174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071C16B2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5B9F4C28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9397BCB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0.788</w:t>
            </w:r>
          </w:p>
        </w:tc>
      </w:tr>
      <w:tr w:rsidR="006A22E3" w14:paraId="64BD78E9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51F701A3" w14:textId="113182C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C06BD88" w14:textId="3372CFBB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9A1D2C9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0.423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02054B1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0.334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35DE4E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0.381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422C97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0.336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0597640D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0.409</w:t>
            </w:r>
          </w:p>
        </w:tc>
        <w:tc>
          <w:tcPr>
            <w:tcW w:w="154" w:type="pct"/>
          </w:tcPr>
          <w:p w14:paraId="45BB29AC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BE5F255" w14:textId="2BF3DEE8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F8E75C7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0.523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77493765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0.361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4EDF114E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0.543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EA7C1AA" w14:textId="7777777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0.699</w:t>
            </w:r>
          </w:p>
        </w:tc>
      </w:tr>
      <w:tr w:rsidR="006A22E3" w14:paraId="511DB028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53D480E6" w14:textId="5697FEB1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A61D3DE" w14:textId="2012AA43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609BD1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2EA82C91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4C29145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74BA855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C859B6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</w:tcPr>
          <w:p w14:paraId="3630E8C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CA85034" w14:textId="383A7896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019D04E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39590C04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82EBA7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3B425D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2E3" w14:paraId="174CEAAD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7AFBC7B1" w14:textId="071A9DA4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828D759" w14:textId="231E5321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1DA498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6E436B80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B7FF4D4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66E02F12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417ABF5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</w:tcPr>
          <w:p w14:paraId="3E366BC0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D0C86B1" w14:textId="0D6030A2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497EC5A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352E713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E77AE74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406C56D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2E3" w14:paraId="71B44748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7CD39D86" w14:textId="5D67D574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D4F2419" w14:textId="7374B361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4028CE31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787AF1FB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FA235A1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CF01650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194D714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</w:tcPr>
          <w:p w14:paraId="02F3E8C1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60BCFD8" w14:textId="48D087BB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E314013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2273F1F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551775FD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0016472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2E3" w14:paraId="1BA146E7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2C1F8421" w14:textId="5F12942F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01CA78D" w14:textId="66CBCA54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7654A39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2814A9C1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BC1191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9ED831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7CAF87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</w:tcPr>
          <w:p w14:paraId="21F8E54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0AB222F" w14:textId="6234E31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04B31F4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FC81F0D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B5C2584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9181318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2E3" w14:paraId="02DAD82C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1529D4D3" w14:textId="331DF100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0D67261" w14:textId="1EB369D7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DEEB0E8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9057A92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23BDA2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D2CDCF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D25BE8D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</w:tcPr>
          <w:p w14:paraId="492865AE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C0C2AB9" w14:textId="648122FE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9CFCCA7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3EB0D84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4B725B8B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7D2EAE1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A22E3" w14:paraId="525BC080" w14:textId="77777777" w:rsidTr="006A22E3">
        <w:trPr>
          <w:trHeight w:val="288"/>
        </w:trPr>
        <w:tc>
          <w:tcPr>
            <w:tcW w:w="407" w:type="pct"/>
            <w:shd w:val="clear" w:color="auto" w:fill="auto"/>
            <w:vAlign w:val="center"/>
          </w:tcPr>
          <w:p w14:paraId="20A3BBAB" w14:textId="63F0129A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46364FE" w14:textId="0C069250" w:rsidR="006A22E3" w:rsidRDefault="006A22E3" w:rsidP="006A22E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42634E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38C8201D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084DA17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3AF913A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163350F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" w:type="pct"/>
          </w:tcPr>
          <w:p w14:paraId="5E97BFA9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5F77C3C" w14:textId="2DD1A445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265BFF9" w14:textId="77777777" w:rsidR="006A22E3" w:rsidRDefault="006A22E3" w:rsidP="00B042CA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14827373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14:paraId="6B93BAE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1D75FC46" w14:textId="77777777" w:rsidR="006A22E3" w:rsidRDefault="006A22E3" w:rsidP="006A22E3">
            <w:pPr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4F4DBBF" w14:textId="77777777" w:rsidR="001D3F29" w:rsidRDefault="001D3F29">
      <w:pPr>
        <w:rPr>
          <w:sz w:val="16"/>
          <w:szCs w:val="18"/>
        </w:rPr>
      </w:pPr>
    </w:p>
    <w:p w14:paraId="2CA922B7" w14:textId="77777777" w:rsidR="00E27F2F" w:rsidRDefault="00E27F2F">
      <w:pPr>
        <w:rPr>
          <w:sz w:val="16"/>
          <w:szCs w:val="18"/>
        </w:rPr>
      </w:pPr>
    </w:p>
    <w:p w14:paraId="3D217CB3" w14:textId="77777777" w:rsidR="00E27F2F" w:rsidRDefault="00E27F2F">
      <w:pPr>
        <w:rPr>
          <w:sz w:val="16"/>
          <w:szCs w:val="18"/>
        </w:rPr>
      </w:pPr>
    </w:p>
    <w:p w14:paraId="15A5C8F7" w14:textId="77777777" w:rsidR="00E27F2F" w:rsidRDefault="00E27F2F">
      <w:pPr>
        <w:rPr>
          <w:sz w:val="16"/>
          <w:szCs w:val="18"/>
        </w:rPr>
      </w:pPr>
    </w:p>
    <w:p w14:paraId="79CCBE2A" w14:textId="77777777" w:rsidR="00E27F2F" w:rsidRDefault="00E27F2F">
      <w:pPr>
        <w:rPr>
          <w:sz w:val="16"/>
          <w:szCs w:val="18"/>
        </w:rPr>
      </w:pPr>
    </w:p>
    <w:p w14:paraId="57A94BE0" w14:textId="77777777" w:rsidR="00E27F2F" w:rsidRDefault="00E27F2F">
      <w:pPr>
        <w:rPr>
          <w:sz w:val="16"/>
          <w:szCs w:val="18"/>
        </w:rPr>
      </w:pPr>
    </w:p>
    <w:p w14:paraId="25E21D5A" w14:textId="77777777" w:rsidR="00E27F2F" w:rsidRDefault="00E27F2F">
      <w:pPr>
        <w:rPr>
          <w:sz w:val="16"/>
          <w:szCs w:val="18"/>
        </w:rPr>
      </w:pPr>
    </w:p>
    <w:p w14:paraId="6EA5D61A" w14:textId="1F4DCD0F" w:rsidR="00E27F2F" w:rsidRDefault="00E27F2F">
      <w:pPr>
        <w:rPr>
          <w:sz w:val="16"/>
          <w:szCs w:val="18"/>
        </w:rPr>
      </w:pPr>
      <w:r>
        <w:rPr>
          <w:rFonts w:hint="eastAsia"/>
          <w:noProof/>
          <w:sz w:val="16"/>
          <w:szCs w:val="18"/>
        </w:rPr>
        <w:lastRenderedPageBreak/>
        <w:drawing>
          <wp:inline distT="0" distB="0" distL="0" distR="0" wp14:anchorId="06C06A35" wp14:editId="22856CC7">
            <wp:extent cx="6702425" cy="5274310"/>
            <wp:effectExtent l="0" t="0" r="3175" b="2540"/>
            <wp:docPr id="1247590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90861" name="图片 12475908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4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61C4" w14:textId="4617FF1F" w:rsidR="00E27F2F" w:rsidRDefault="00E27F2F" w:rsidP="00E27F2F">
      <w:pPr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Supplementary Figure S1</w:t>
      </w:r>
      <w:r>
        <w:rPr>
          <w:rFonts w:ascii="Times New Roman" w:eastAsia="SimSun" w:hAnsi="Times New Roman" w:cs="Times New Roman" w:hint="eastAsia"/>
          <w:b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Dynamic changes in blood lymphocyte subsets. Changes in (A) blood lymphocyte and (B-E) lymphocyte subset counts were observed in five patients with very-late-onset myasthenia gravis (VLOMG) before treatment (baseline) and at the time of the first, second, and third doses of tocilizumab, as well as at 6 months after treatment. F showed Gating method of lymphocyte and subset. </w:t>
      </w:r>
    </w:p>
    <w:p w14:paraId="638181D5" w14:textId="77777777" w:rsidR="00E27F2F" w:rsidRPr="00E27F2F" w:rsidRDefault="00E27F2F">
      <w:pPr>
        <w:rPr>
          <w:sz w:val="16"/>
          <w:szCs w:val="18"/>
        </w:rPr>
      </w:pPr>
    </w:p>
    <w:sectPr w:rsidR="00E27F2F" w:rsidRPr="00E27F2F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68A7" w14:textId="77777777" w:rsidR="0014136D" w:rsidRDefault="0014136D" w:rsidP="00463B70">
      <w:r>
        <w:separator/>
      </w:r>
    </w:p>
  </w:endnote>
  <w:endnote w:type="continuationSeparator" w:id="0">
    <w:p w14:paraId="4EE618D6" w14:textId="77777777" w:rsidR="0014136D" w:rsidRDefault="0014136D" w:rsidP="0046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DDEA" w14:textId="6BFC6F29" w:rsidR="00B042CA" w:rsidRDefault="00B042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4178B3" wp14:editId="0929FD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6947423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69A26" w14:textId="6C44534F" w:rsidR="00B042CA" w:rsidRPr="00B042CA" w:rsidRDefault="00B042CA" w:rsidP="00B042C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42C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178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4B69A26" w14:textId="6C44534F" w:rsidR="00B042CA" w:rsidRPr="00B042CA" w:rsidRDefault="00B042CA" w:rsidP="00B042C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42C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FA79" w14:textId="31D7E5C7" w:rsidR="00B042CA" w:rsidRDefault="00B042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96E1ED" wp14:editId="497CACA3">
              <wp:simplePos x="914400" y="6793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368840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C2A3E" w14:textId="3DED5D12" w:rsidR="00B042CA" w:rsidRPr="00B042CA" w:rsidRDefault="00B042CA" w:rsidP="00B042C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42C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6E1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DFC2A3E" w14:textId="3DED5D12" w:rsidR="00B042CA" w:rsidRPr="00B042CA" w:rsidRDefault="00B042CA" w:rsidP="00B042C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42C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64DC" w14:textId="3D3F7F34" w:rsidR="00B042CA" w:rsidRDefault="00B042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FFC5EE" wp14:editId="465D3F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9277598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FB563" w14:textId="0F4E6A83" w:rsidR="00B042CA" w:rsidRPr="00B042CA" w:rsidRDefault="00B042CA" w:rsidP="00B042C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042C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FC5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62FB563" w14:textId="0F4E6A83" w:rsidR="00B042CA" w:rsidRPr="00B042CA" w:rsidRDefault="00B042CA" w:rsidP="00B042C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042C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8C672" w14:textId="77777777" w:rsidR="0014136D" w:rsidRDefault="0014136D" w:rsidP="00463B70">
      <w:r>
        <w:separator/>
      </w:r>
    </w:p>
  </w:footnote>
  <w:footnote w:type="continuationSeparator" w:id="0">
    <w:p w14:paraId="064FE4E0" w14:textId="77777777" w:rsidR="0014136D" w:rsidRDefault="0014136D" w:rsidP="0046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0ZWRkNjdjMGU4OGM0NjEwYThkMDhlMDc1Y2NlYzcifQ=="/>
  </w:docVars>
  <w:rsids>
    <w:rsidRoot w:val="00C26E8E"/>
    <w:rsid w:val="0014136D"/>
    <w:rsid w:val="001D3F29"/>
    <w:rsid w:val="00463B70"/>
    <w:rsid w:val="00592756"/>
    <w:rsid w:val="006A22E3"/>
    <w:rsid w:val="00705AE5"/>
    <w:rsid w:val="00AA7225"/>
    <w:rsid w:val="00B042CA"/>
    <w:rsid w:val="00C26E8E"/>
    <w:rsid w:val="00E27F2F"/>
    <w:rsid w:val="6342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9A5E0"/>
  <w15:docId w15:val="{731A72C9-CBEA-43D0-91A7-246D1330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31">
    <w:name w:val="font31"/>
    <w:basedOn w:val="DefaultParagraphFont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rPr>
      <w:rFonts w:ascii="Microsoft YaHei" w:eastAsia="Microsoft YaHei" w:hAnsi="Microsoft YaHei" w:cs="Microsoft YaHei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DefaultParagraphFont"/>
    <w:rPr>
      <w:rFonts w:ascii="Microsoft YaHei" w:eastAsia="Microsoft YaHei" w:hAnsi="Microsoft YaHei" w:cs="Microsoft YaHei" w:hint="eastAsia"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Header">
    <w:name w:val="header"/>
    <w:basedOn w:val="Normal"/>
    <w:link w:val="HeaderChar"/>
    <w:uiPriority w:val="99"/>
    <w:unhideWhenUsed/>
    <w:rsid w:val="00463B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3B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3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3B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463B70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TableGrid">
    <w:name w:val="Table Grid"/>
    <w:basedOn w:val="TableNormal"/>
    <w:qFormat/>
    <w:rsid w:val="00E27F2F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613</Words>
  <Characters>3497</Characters>
  <Application>Microsoft Office Word</Application>
  <DocSecurity>0</DocSecurity>
  <Lines>29</Lines>
  <Paragraphs>8</Paragraphs>
  <ScaleCrop>false</ScaleCrop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官锐园</dc:creator>
  <cp:lastModifiedBy>Bartle, Claudia</cp:lastModifiedBy>
  <cp:revision>5</cp:revision>
  <dcterms:created xsi:type="dcterms:W3CDTF">2023-04-09T07:54:00Z</dcterms:created>
  <dcterms:modified xsi:type="dcterms:W3CDTF">2023-09-04T22:23:00Z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F69B9204B2E0416BA49A7A729F44A771</vt:lpwstr>
  </property>
  <property fmtid="{D5CDD505-2E9C-101B-9397-08002B2CF9AE}" pid="4" name="ClassificationContentMarkingFooterShapeIds">
    <vt:lpwstr>294aec32,39c900bc,16974d6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2023-09-04T22:23:46Z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04dacf9c-adb5-44f6-b8d9-9c9cafa8603f</vt:lpwstr>
  </property>
  <property fmtid="{D5CDD505-2E9C-101B-9397-08002B2CF9AE}" pid="13" name="MSIP_Label_2bbab825-a111-45e4-86a1-18cee0005896_ContentBits">
    <vt:lpwstr>2</vt:lpwstr>
  </property>
</Properties>
</file>