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6FAB" w14:textId="175F581C" w:rsidR="00106478" w:rsidRPr="00D04076" w:rsidRDefault="008E5488" w:rsidP="00776176">
      <w:pPr>
        <w:pStyle w:val="Heading2"/>
        <w:rPr>
          <w:color w:val="000000"/>
        </w:rPr>
      </w:pPr>
      <w:r w:rsidRPr="00D04076">
        <w:rPr>
          <w:color w:val="000000"/>
        </w:rPr>
        <w:t xml:space="preserve">Supplementary Material 1. </w:t>
      </w:r>
      <w:r w:rsidR="00E2209B" w:rsidRPr="00D04076">
        <w:rPr>
          <w:color w:val="000000"/>
        </w:rPr>
        <w:t>Sample size calculation in conventional method</w:t>
      </w:r>
    </w:p>
    <w:p w14:paraId="6D84FCF5" w14:textId="77777777" w:rsidR="00776176" w:rsidRPr="00D04076" w:rsidRDefault="00D433AB" w:rsidP="00E2209B">
      <w:pPr>
        <w:rPr>
          <w:rFonts w:cs="Times New Roman"/>
          <w:color w:val="000000"/>
        </w:rPr>
      </w:pPr>
      <w:r w:rsidRPr="00D04076">
        <w:rPr>
          <w:rFonts w:cs="Times New Roman"/>
          <w:color w:val="000000"/>
        </w:rPr>
        <w:t xml:space="preserve">Assuming a live birth rate of 30% during the CNY season and 45% during the non-CNY season, given an α (Type I error) of 0.05 and a β (Type II error) of 0.2, the required sample size for each group is 160. </w:t>
      </w:r>
    </w:p>
    <w:p w14:paraId="3888F6A4" w14:textId="06A1E42D" w:rsidR="00BF10A3" w:rsidRPr="00D04076" w:rsidRDefault="00BF10A3" w:rsidP="00BF10A3">
      <w:pPr>
        <w:pStyle w:val="Heading2"/>
        <w:rPr>
          <w:color w:val="000000"/>
        </w:rPr>
      </w:pPr>
      <w:r w:rsidRPr="00D04076">
        <w:rPr>
          <w:color w:val="000000"/>
        </w:rPr>
        <w:t>Table S</w:t>
      </w:r>
      <w:r w:rsidR="00D76F5C" w:rsidRPr="00D04076">
        <w:rPr>
          <w:color w:val="000000"/>
        </w:rPr>
        <w:t>1</w:t>
      </w:r>
      <w:r w:rsidRPr="00D04076">
        <w:rPr>
          <w:color w:val="000000"/>
        </w:rPr>
        <w:t>. D</w:t>
      </w:r>
      <w:r w:rsidRPr="00D04076">
        <w:rPr>
          <w:rFonts w:hint="eastAsia"/>
          <w:color w:val="000000"/>
        </w:rPr>
        <w:t>ata</w:t>
      </w:r>
      <w:r w:rsidRPr="00D04076">
        <w:rPr>
          <w:color w:val="000000"/>
        </w:rPr>
        <w:t xml:space="preserve"> of live birth for Non Winter Season and CNY </w:t>
      </w:r>
    </w:p>
    <w:tbl>
      <w:tblPr>
        <w:tblStyle w:val="PlainTable2"/>
        <w:tblW w:w="991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4531"/>
      </w:tblGrid>
      <w:tr w:rsidR="00BF10A3" w:rsidRPr="00D04076" w14:paraId="0A3C90B6" w14:textId="77777777" w:rsidTr="00697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6AC113" w14:textId="77777777" w:rsidR="00BF10A3" w:rsidRPr="00D04076" w:rsidRDefault="00BF10A3" w:rsidP="006977AA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7DEB65" w14:textId="77777777" w:rsidR="00BF10A3" w:rsidRPr="00D04076" w:rsidRDefault="00BF10A3" w:rsidP="006977AA">
            <w:pPr>
              <w:snapToGri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BC2DF9" w14:textId="77777777" w:rsidR="00BF10A3" w:rsidRPr="00D04076" w:rsidRDefault="00BF10A3" w:rsidP="006977AA">
            <w:pPr>
              <w:snapToGri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DengXian" w:hAnsi="Book Antiqua"/>
                <w:b w:val="0"/>
                <w:bCs w:val="0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/>
                <w:b w:val="0"/>
                <w:bCs w:val="0"/>
                <w:color w:val="000000"/>
                <w:sz w:val="20"/>
                <w:szCs w:val="20"/>
              </w:rPr>
              <w:t>n(%)</w:t>
            </w:r>
          </w:p>
        </w:tc>
      </w:tr>
      <w:tr w:rsidR="00BF10A3" w:rsidRPr="00D04076" w14:paraId="7E37C95A" w14:textId="77777777" w:rsidTr="0069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bottom w:val="none" w:sz="0" w:space="0" w:color="auto"/>
            </w:tcBorders>
            <w:noWrap/>
          </w:tcPr>
          <w:p w14:paraId="50885548" w14:textId="77777777" w:rsidR="00BF10A3" w:rsidRPr="00D04076" w:rsidRDefault="00BF10A3" w:rsidP="006977AA">
            <w:pPr>
              <w:snapToGrid w:val="0"/>
              <w:spacing w:after="0" w:line="240" w:lineRule="auto"/>
              <w:rPr>
                <w:b w:val="0"/>
                <w:bCs w:val="0"/>
                <w:color w:val="000000"/>
                <w:sz w:val="20"/>
                <w:szCs w:val="20"/>
                <w:lang w:bidi="ar"/>
              </w:rPr>
            </w:pPr>
            <w:r w:rsidRPr="00D04076">
              <w:rPr>
                <w:b w:val="0"/>
                <w:bCs w:val="0"/>
                <w:color w:val="000000"/>
                <w:sz w:val="20"/>
                <w:szCs w:val="20"/>
                <w:lang w:bidi="ar"/>
              </w:rPr>
              <w:t>Implementation season</w:t>
            </w:r>
          </w:p>
          <w:p w14:paraId="193C89B8" w14:textId="77777777" w:rsidR="00BF10A3" w:rsidRPr="00D04076" w:rsidRDefault="00BF10A3" w:rsidP="006977AA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none" w:sz="0" w:space="0" w:color="auto"/>
            </w:tcBorders>
            <w:noWrap/>
          </w:tcPr>
          <w:p w14:paraId="427C1429" w14:textId="77777777" w:rsidR="00BF10A3" w:rsidRPr="00D04076" w:rsidRDefault="00BF10A3" w:rsidP="006977AA">
            <w:pPr>
              <w:snapToGri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none" w:sz="0" w:space="0" w:color="auto"/>
            </w:tcBorders>
            <w:noWrap/>
          </w:tcPr>
          <w:p w14:paraId="2D1E4B34" w14:textId="77777777" w:rsidR="00BF10A3" w:rsidRPr="00D04076" w:rsidRDefault="00BF10A3" w:rsidP="006977AA">
            <w:pPr>
              <w:snapToGri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BF10A3" w:rsidRPr="00D04076" w14:paraId="44DA2943" w14:textId="77777777" w:rsidTr="006977A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3D347C21" w14:textId="77777777" w:rsidR="00BF10A3" w:rsidRPr="00D04076" w:rsidRDefault="00BF10A3" w:rsidP="006977AA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124" w:type="dxa"/>
            <w:noWrap/>
          </w:tcPr>
          <w:p w14:paraId="218AD056" w14:textId="77777777" w:rsidR="00BF10A3" w:rsidRPr="00D04076" w:rsidRDefault="00BF10A3" w:rsidP="006977AA">
            <w:pPr>
              <w:snapToGri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bidi="ar"/>
              </w:rPr>
            </w:pPr>
            <w:r w:rsidRPr="00D04076">
              <w:rPr>
                <w:rFonts w:hint="eastAsia"/>
                <w:i/>
                <w:iCs/>
                <w:color w:val="000000"/>
                <w:sz w:val="20"/>
                <w:szCs w:val="20"/>
                <w:lang w:bidi="ar"/>
              </w:rPr>
              <w:t>N</w:t>
            </w: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on Winter Season (Mar.-Oct.)</w:t>
            </w:r>
          </w:p>
        </w:tc>
        <w:tc>
          <w:tcPr>
            <w:tcW w:w="4531" w:type="dxa"/>
            <w:noWrap/>
          </w:tcPr>
          <w:p w14:paraId="65673E9E" w14:textId="77777777" w:rsidR="00BF10A3" w:rsidRPr="00D04076" w:rsidRDefault="00BF10A3" w:rsidP="006977AA">
            <w:pPr>
              <w:snapToGri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1605(43.51%)</w:t>
            </w:r>
          </w:p>
        </w:tc>
      </w:tr>
      <w:tr w:rsidR="00BF10A3" w:rsidRPr="00D04076" w14:paraId="3EC75801" w14:textId="77777777" w:rsidTr="0069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single" w:sz="4" w:space="0" w:color="auto"/>
            </w:tcBorders>
            <w:noWrap/>
          </w:tcPr>
          <w:p w14:paraId="006DBE78" w14:textId="77777777" w:rsidR="00BF10A3" w:rsidRPr="00D04076" w:rsidRDefault="00BF10A3" w:rsidP="006977AA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124" w:type="dxa"/>
            <w:tcBorders>
              <w:top w:val="none" w:sz="0" w:space="0" w:color="auto"/>
              <w:bottom w:val="single" w:sz="4" w:space="0" w:color="auto"/>
            </w:tcBorders>
            <w:noWrap/>
          </w:tcPr>
          <w:p w14:paraId="0D30ADE1" w14:textId="564246E1" w:rsidR="00BF10A3" w:rsidRPr="00D04076" w:rsidRDefault="00BF10A3" w:rsidP="006977AA">
            <w:pPr>
              <w:snapToGri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  <w:lang w:bidi="ar"/>
              </w:rPr>
            </w:pPr>
            <w:r w:rsidRPr="00D04076">
              <w:rPr>
                <w:rFonts w:hint="eastAsia"/>
                <w:i/>
                <w:iCs/>
                <w:color w:val="000000"/>
                <w:sz w:val="20"/>
                <w:szCs w:val="20"/>
                <w:lang w:bidi="ar"/>
              </w:rPr>
              <w:t>C</w:t>
            </w: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NY Holiday Season</w:t>
            </w:r>
            <w:r w:rsidR="00D76F5C"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 xml:space="preserve"> (Jan.-Feb.)</w:t>
            </w:r>
          </w:p>
        </w:tc>
        <w:tc>
          <w:tcPr>
            <w:tcW w:w="4531" w:type="dxa"/>
            <w:tcBorders>
              <w:top w:val="none" w:sz="0" w:space="0" w:color="auto"/>
              <w:bottom w:val="single" w:sz="4" w:space="0" w:color="auto"/>
            </w:tcBorders>
            <w:noWrap/>
          </w:tcPr>
          <w:p w14:paraId="1F8B51A1" w14:textId="77777777" w:rsidR="00BF10A3" w:rsidRPr="00D04076" w:rsidRDefault="00BF10A3" w:rsidP="006977AA">
            <w:pPr>
              <w:snapToGri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77(32.22%)</w:t>
            </w:r>
          </w:p>
        </w:tc>
      </w:tr>
    </w:tbl>
    <w:p w14:paraId="7FF522DE" w14:textId="77777777" w:rsidR="00BF10A3" w:rsidRPr="00D04076" w:rsidRDefault="00BF10A3" w:rsidP="00776176">
      <w:pPr>
        <w:pStyle w:val="Heading2"/>
        <w:rPr>
          <w:color w:val="000000"/>
        </w:rPr>
      </w:pPr>
    </w:p>
    <w:p w14:paraId="1EC50AFA" w14:textId="64970DFC" w:rsidR="00776176" w:rsidRPr="00D04076" w:rsidRDefault="00776176" w:rsidP="00776176">
      <w:pPr>
        <w:pStyle w:val="Heading2"/>
        <w:rPr>
          <w:color w:val="000000"/>
          <w:sz w:val="18"/>
          <w:szCs w:val="18"/>
        </w:rPr>
      </w:pPr>
      <w:r w:rsidRPr="00D04076">
        <w:rPr>
          <w:color w:val="000000"/>
        </w:rPr>
        <w:t>Table S</w:t>
      </w:r>
      <w:r w:rsidR="00D76F5C" w:rsidRPr="00D04076">
        <w:rPr>
          <w:color w:val="000000"/>
        </w:rPr>
        <w:t>2</w:t>
      </w:r>
      <w:r w:rsidRPr="00D04076">
        <w:rPr>
          <w:color w:val="000000"/>
        </w:rPr>
        <w:t xml:space="preserve">. Multivariate logistic analysis for participants implementation </w:t>
      </w: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2063"/>
        <w:gridCol w:w="2410"/>
      </w:tblGrid>
      <w:tr w:rsidR="00776176" w:rsidRPr="00D04076" w14:paraId="3065D60C" w14:textId="77777777" w:rsidTr="00BF10A3">
        <w:trPr>
          <w:trHeight w:val="3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DC037A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7E34F7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C2B2D0" w14:textId="77777777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color w:val="000000"/>
                <w:sz w:val="20"/>
                <w:szCs w:val="20"/>
              </w:rPr>
              <w:t>OR(95%CI)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528931" w14:textId="6A785C21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P</w:t>
            </w:r>
            <w:r w:rsidR="00C076EB" w:rsidRPr="00D04076">
              <w:rPr>
                <w:rFonts w:eastAsia="DengXian"/>
                <w:color w:val="000000"/>
                <w:sz w:val="20"/>
                <w:szCs w:val="20"/>
              </w:rPr>
              <w:t>-value</w:t>
            </w:r>
          </w:p>
        </w:tc>
      </w:tr>
      <w:tr w:rsidR="00776176" w:rsidRPr="00D04076" w14:paraId="0BC7A297" w14:textId="77777777" w:rsidTr="00BF10A3">
        <w:trPr>
          <w:trHeight w:val="460"/>
        </w:trPr>
        <w:tc>
          <w:tcPr>
            <w:tcW w:w="2263" w:type="dxa"/>
            <w:noWrap/>
            <w:vAlign w:val="center"/>
          </w:tcPr>
          <w:p w14:paraId="5B6544F6" w14:textId="70955DBA" w:rsidR="00776176" w:rsidRPr="00D04076" w:rsidRDefault="00BF10A3" w:rsidP="00BF10A3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bidi="ar"/>
              </w:rPr>
            </w:pPr>
            <w:r w:rsidRPr="00D04076">
              <w:rPr>
                <w:color w:val="000000"/>
                <w:sz w:val="20"/>
                <w:szCs w:val="20"/>
                <w:lang w:bidi="ar"/>
              </w:rPr>
              <w:t>Age</w:t>
            </w:r>
          </w:p>
        </w:tc>
        <w:tc>
          <w:tcPr>
            <w:tcW w:w="2835" w:type="dxa"/>
            <w:noWrap/>
            <w:vAlign w:val="center"/>
          </w:tcPr>
          <w:p w14:paraId="57137F83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≤35</w:t>
            </w:r>
          </w:p>
        </w:tc>
        <w:tc>
          <w:tcPr>
            <w:tcW w:w="2063" w:type="dxa"/>
            <w:noWrap/>
            <w:vAlign w:val="center"/>
          </w:tcPr>
          <w:p w14:paraId="220F9EE1" w14:textId="369696BD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2410" w:type="dxa"/>
            <w:noWrap/>
            <w:vAlign w:val="center"/>
          </w:tcPr>
          <w:p w14:paraId="4C4EF2DB" w14:textId="77777777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776176" w:rsidRPr="00D04076" w14:paraId="0E7A2BF9" w14:textId="77777777" w:rsidTr="00BF10A3">
        <w:trPr>
          <w:trHeight w:val="460"/>
        </w:trPr>
        <w:tc>
          <w:tcPr>
            <w:tcW w:w="2263" w:type="dxa"/>
            <w:noWrap/>
            <w:vAlign w:val="center"/>
          </w:tcPr>
          <w:p w14:paraId="04B524F8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noWrap/>
            <w:vAlign w:val="center"/>
          </w:tcPr>
          <w:p w14:paraId="3457F4B8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&gt;35</w:t>
            </w:r>
          </w:p>
        </w:tc>
        <w:tc>
          <w:tcPr>
            <w:tcW w:w="2063" w:type="dxa"/>
            <w:noWrap/>
            <w:vAlign w:val="center"/>
          </w:tcPr>
          <w:p w14:paraId="2D53FA48" w14:textId="079C5DF8" w:rsidR="00776176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0.46(0.37, 0.56)</w:t>
            </w:r>
          </w:p>
        </w:tc>
        <w:tc>
          <w:tcPr>
            <w:tcW w:w="2410" w:type="dxa"/>
            <w:noWrap/>
            <w:vAlign w:val="center"/>
          </w:tcPr>
          <w:p w14:paraId="09B561EB" w14:textId="2EF070E1" w:rsidR="00776176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 w:hint="eastAsia"/>
                <w:color w:val="000000"/>
                <w:sz w:val="20"/>
                <w:szCs w:val="20"/>
              </w:rPr>
              <w:t>&lt;</w:t>
            </w:r>
            <w:r w:rsidRPr="00D04076">
              <w:rPr>
                <w:rFonts w:eastAsia="DengXian"/>
                <w:color w:val="000000"/>
                <w:sz w:val="20"/>
                <w:szCs w:val="20"/>
              </w:rPr>
              <w:t>0.001</w:t>
            </w:r>
          </w:p>
        </w:tc>
      </w:tr>
      <w:tr w:rsidR="00776176" w:rsidRPr="00D04076" w14:paraId="7470BD40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675384EE" w14:textId="31E9303C" w:rsidR="00776176" w:rsidRPr="00D04076" w:rsidRDefault="00BF10A3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color w:val="000000"/>
                <w:sz w:val="20"/>
                <w:szCs w:val="20"/>
                <w:lang w:bidi="ar"/>
              </w:rPr>
              <w:t>FSH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0A1F8FFB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≤10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77E34AC6" w14:textId="2727A2A0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65B88FC7" w14:textId="77777777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776176" w:rsidRPr="00D04076" w14:paraId="5A330F9C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24193909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76ADE09D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&gt;10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078ED8C8" w14:textId="35C950C0" w:rsidR="00776176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1.00(0.83, 1.21)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0E1F19F2" w14:textId="7EAEA8CB" w:rsidR="00776176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0.979</w:t>
            </w:r>
          </w:p>
        </w:tc>
      </w:tr>
      <w:tr w:rsidR="00776176" w:rsidRPr="00D04076" w14:paraId="4E22C4EE" w14:textId="77777777" w:rsidTr="00BF10A3">
        <w:trPr>
          <w:trHeight w:val="460"/>
        </w:trPr>
        <w:tc>
          <w:tcPr>
            <w:tcW w:w="2263" w:type="dxa"/>
            <w:noWrap/>
            <w:vAlign w:val="center"/>
          </w:tcPr>
          <w:p w14:paraId="41568465" w14:textId="0E236786" w:rsidR="00776176" w:rsidRPr="00D04076" w:rsidRDefault="00BF10A3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color w:val="000000"/>
                <w:sz w:val="20"/>
                <w:szCs w:val="20"/>
                <w:lang w:bidi="ar"/>
              </w:rPr>
              <w:t>E2</w:t>
            </w:r>
          </w:p>
        </w:tc>
        <w:tc>
          <w:tcPr>
            <w:tcW w:w="2835" w:type="dxa"/>
            <w:noWrap/>
            <w:vAlign w:val="center"/>
          </w:tcPr>
          <w:p w14:paraId="2F21ED16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≤55</w:t>
            </w:r>
          </w:p>
        </w:tc>
        <w:tc>
          <w:tcPr>
            <w:tcW w:w="2063" w:type="dxa"/>
            <w:noWrap/>
            <w:vAlign w:val="center"/>
          </w:tcPr>
          <w:p w14:paraId="43912907" w14:textId="3CB281BA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2410" w:type="dxa"/>
            <w:noWrap/>
            <w:vAlign w:val="center"/>
          </w:tcPr>
          <w:p w14:paraId="32DFC8B0" w14:textId="77777777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776176" w:rsidRPr="00D04076" w14:paraId="6BEF5F20" w14:textId="77777777" w:rsidTr="00BF10A3">
        <w:trPr>
          <w:trHeight w:val="460"/>
        </w:trPr>
        <w:tc>
          <w:tcPr>
            <w:tcW w:w="2263" w:type="dxa"/>
            <w:noWrap/>
            <w:vAlign w:val="center"/>
          </w:tcPr>
          <w:p w14:paraId="26E9B2C2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6E7B7D36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&gt;55</w:t>
            </w:r>
          </w:p>
        </w:tc>
        <w:tc>
          <w:tcPr>
            <w:tcW w:w="2063" w:type="dxa"/>
            <w:noWrap/>
            <w:vAlign w:val="center"/>
          </w:tcPr>
          <w:p w14:paraId="127F7E6D" w14:textId="39FB2060" w:rsidR="00776176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0.87(0.75, 1.01)</w:t>
            </w:r>
          </w:p>
        </w:tc>
        <w:tc>
          <w:tcPr>
            <w:tcW w:w="2410" w:type="dxa"/>
            <w:noWrap/>
            <w:vAlign w:val="center"/>
          </w:tcPr>
          <w:p w14:paraId="4021CE2D" w14:textId="07CF8EB9" w:rsidR="00776176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0.065</w:t>
            </w:r>
          </w:p>
        </w:tc>
      </w:tr>
      <w:tr w:rsidR="00776176" w:rsidRPr="00D04076" w14:paraId="3D6152FF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2204A321" w14:textId="6A393362" w:rsidR="00776176" w:rsidRPr="00D04076" w:rsidRDefault="00BF10A3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color w:val="000000"/>
                <w:sz w:val="20"/>
                <w:szCs w:val="20"/>
                <w:lang w:bidi="ar"/>
              </w:rPr>
              <w:t>T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26F2EE99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≤0.45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50B8339B" w14:textId="398BA129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45A09AD9" w14:textId="77777777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776176" w:rsidRPr="00D04076" w14:paraId="6CFC0E56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59B9C425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46A6B288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&gt;0.45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041BE540" w14:textId="7EC223E8" w:rsidR="00776176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1.08(0.95, 1.23)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3D36738F" w14:textId="6B23B69D" w:rsidR="00776176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0.260</w:t>
            </w:r>
          </w:p>
        </w:tc>
      </w:tr>
      <w:tr w:rsidR="00776176" w:rsidRPr="00D04076" w14:paraId="1BA522DD" w14:textId="77777777" w:rsidTr="00BF10A3">
        <w:trPr>
          <w:trHeight w:val="460"/>
        </w:trPr>
        <w:tc>
          <w:tcPr>
            <w:tcW w:w="2263" w:type="dxa"/>
            <w:noWrap/>
            <w:vAlign w:val="center"/>
          </w:tcPr>
          <w:p w14:paraId="60ECF8EA" w14:textId="0DB4D0B7" w:rsidR="00776176" w:rsidRPr="00D04076" w:rsidRDefault="00BF10A3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color w:val="000000"/>
                <w:sz w:val="20"/>
                <w:szCs w:val="20"/>
                <w:lang w:bidi="ar"/>
              </w:rPr>
              <w:t>AMH</w:t>
            </w:r>
          </w:p>
        </w:tc>
        <w:tc>
          <w:tcPr>
            <w:tcW w:w="2835" w:type="dxa"/>
            <w:noWrap/>
            <w:vAlign w:val="center"/>
          </w:tcPr>
          <w:p w14:paraId="7E161654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≤3</w:t>
            </w:r>
          </w:p>
        </w:tc>
        <w:tc>
          <w:tcPr>
            <w:tcW w:w="2063" w:type="dxa"/>
            <w:noWrap/>
            <w:vAlign w:val="center"/>
          </w:tcPr>
          <w:p w14:paraId="306385E2" w14:textId="5C6F6BE9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2410" w:type="dxa"/>
            <w:noWrap/>
            <w:vAlign w:val="center"/>
          </w:tcPr>
          <w:p w14:paraId="75140232" w14:textId="77777777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776176" w:rsidRPr="00D04076" w14:paraId="4DF529E1" w14:textId="77777777" w:rsidTr="00BF10A3">
        <w:trPr>
          <w:trHeight w:val="460"/>
        </w:trPr>
        <w:tc>
          <w:tcPr>
            <w:tcW w:w="2263" w:type="dxa"/>
            <w:noWrap/>
            <w:vAlign w:val="center"/>
          </w:tcPr>
          <w:p w14:paraId="293744F0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485C7E0F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&gt;3</w:t>
            </w:r>
          </w:p>
        </w:tc>
        <w:tc>
          <w:tcPr>
            <w:tcW w:w="2063" w:type="dxa"/>
            <w:noWrap/>
            <w:vAlign w:val="center"/>
          </w:tcPr>
          <w:p w14:paraId="1F5CDB3F" w14:textId="3856C089" w:rsidR="00776176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1.10(0.95, 1.28)</w:t>
            </w:r>
          </w:p>
        </w:tc>
        <w:tc>
          <w:tcPr>
            <w:tcW w:w="2410" w:type="dxa"/>
            <w:noWrap/>
            <w:vAlign w:val="center"/>
          </w:tcPr>
          <w:p w14:paraId="4853B28A" w14:textId="649696FA" w:rsidR="00776176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0.185</w:t>
            </w:r>
          </w:p>
        </w:tc>
      </w:tr>
      <w:tr w:rsidR="00776176" w:rsidRPr="00D04076" w14:paraId="35D2984E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76FB28E1" w14:textId="516C01B1" w:rsidR="00776176" w:rsidRPr="00D04076" w:rsidRDefault="00BF10A3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color w:val="000000"/>
                <w:sz w:val="20"/>
                <w:szCs w:val="20"/>
                <w:lang w:bidi="ar"/>
              </w:rPr>
              <w:t>Reason of infertility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1C5C2A24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Primary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16C957DC" w14:textId="1A08BE0B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453C4FEA" w14:textId="77777777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776176" w:rsidRPr="00D04076" w14:paraId="407885B7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6B29A912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38481558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Secondary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4067A9E9" w14:textId="1149D6EA" w:rsidR="00776176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1.04(0.91, 1.19)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63EE1A6C" w14:textId="3D1B8B5A" w:rsidR="00776176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0.573</w:t>
            </w:r>
          </w:p>
        </w:tc>
      </w:tr>
      <w:tr w:rsidR="00776176" w:rsidRPr="00D04076" w14:paraId="1D369B8F" w14:textId="77777777" w:rsidTr="00BF10A3">
        <w:trPr>
          <w:trHeight w:val="460"/>
        </w:trPr>
        <w:tc>
          <w:tcPr>
            <w:tcW w:w="2263" w:type="dxa"/>
            <w:noWrap/>
            <w:vAlign w:val="center"/>
          </w:tcPr>
          <w:p w14:paraId="2D0864B9" w14:textId="77777777" w:rsidR="00BF10A3" w:rsidRPr="00D04076" w:rsidRDefault="00BF10A3" w:rsidP="00BF10A3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bidi="ar"/>
              </w:rPr>
            </w:pPr>
            <w:r w:rsidRPr="00D04076">
              <w:rPr>
                <w:color w:val="000000"/>
                <w:sz w:val="20"/>
                <w:szCs w:val="20"/>
                <w:lang w:bidi="ar"/>
              </w:rPr>
              <w:t>Implementation season</w:t>
            </w:r>
          </w:p>
          <w:p w14:paraId="3FDE5523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noWrap/>
            <w:vAlign w:val="center"/>
          </w:tcPr>
          <w:p w14:paraId="4F74F3B5" w14:textId="2960A188" w:rsidR="00776176" w:rsidRPr="00D04076" w:rsidRDefault="00776176" w:rsidP="00BF10A3">
            <w:pPr>
              <w:snapToGrid w:val="0"/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bidi="ar"/>
              </w:rPr>
            </w:pPr>
            <w:r w:rsidRPr="00D04076">
              <w:rPr>
                <w:rFonts w:hint="eastAsia"/>
                <w:i/>
                <w:iCs/>
                <w:color w:val="000000"/>
                <w:sz w:val="20"/>
                <w:szCs w:val="20"/>
                <w:lang w:bidi="ar"/>
              </w:rPr>
              <w:t>N</w:t>
            </w: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on</w:t>
            </w:r>
            <w:r w:rsidR="00BF10A3"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 xml:space="preserve"> W</w:t>
            </w: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 xml:space="preserve">inter </w:t>
            </w:r>
            <w:r w:rsidR="00BF10A3"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S</w:t>
            </w: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eason (Mar.-Oct.)</w:t>
            </w:r>
          </w:p>
        </w:tc>
        <w:tc>
          <w:tcPr>
            <w:tcW w:w="2063" w:type="dxa"/>
            <w:noWrap/>
            <w:vAlign w:val="center"/>
          </w:tcPr>
          <w:p w14:paraId="54B65858" w14:textId="5AF23C86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2410" w:type="dxa"/>
            <w:noWrap/>
            <w:vAlign w:val="center"/>
          </w:tcPr>
          <w:p w14:paraId="72680FE4" w14:textId="77777777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776176" w:rsidRPr="00D04076" w14:paraId="51C10866" w14:textId="77777777" w:rsidTr="00BF10A3">
        <w:trPr>
          <w:trHeight w:val="460"/>
        </w:trPr>
        <w:tc>
          <w:tcPr>
            <w:tcW w:w="2263" w:type="dxa"/>
            <w:noWrap/>
            <w:vAlign w:val="center"/>
          </w:tcPr>
          <w:p w14:paraId="2E80111C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noWrap/>
            <w:vAlign w:val="center"/>
          </w:tcPr>
          <w:p w14:paraId="021D21A3" w14:textId="6B56A9D6" w:rsidR="00776176" w:rsidRPr="00D04076" w:rsidRDefault="00776176" w:rsidP="00BF10A3">
            <w:pPr>
              <w:snapToGrid w:val="0"/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bidi="ar"/>
              </w:rPr>
            </w:pPr>
            <w:r w:rsidRPr="00D04076">
              <w:rPr>
                <w:rFonts w:hint="eastAsia"/>
                <w:i/>
                <w:iCs/>
                <w:color w:val="000000"/>
                <w:sz w:val="20"/>
                <w:szCs w:val="20"/>
                <w:lang w:bidi="ar"/>
              </w:rPr>
              <w:t>C</w:t>
            </w: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 xml:space="preserve">NY </w:t>
            </w:r>
            <w:r w:rsidR="00BF10A3"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H</w:t>
            </w: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 xml:space="preserve">oliday </w:t>
            </w:r>
            <w:r w:rsidR="00BF10A3"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S</w:t>
            </w: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eason</w:t>
            </w:r>
            <w:r w:rsidR="00D76F5C"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 xml:space="preserve"> (Jan.-Feb.)</w:t>
            </w:r>
          </w:p>
        </w:tc>
        <w:tc>
          <w:tcPr>
            <w:tcW w:w="2063" w:type="dxa"/>
            <w:noWrap/>
            <w:vAlign w:val="center"/>
          </w:tcPr>
          <w:p w14:paraId="32A0221D" w14:textId="6DCCFCAB" w:rsidR="00776176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0.62(0.47, 0.82)</w:t>
            </w:r>
          </w:p>
        </w:tc>
        <w:tc>
          <w:tcPr>
            <w:tcW w:w="2410" w:type="dxa"/>
            <w:noWrap/>
            <w:vAlign w:val="center"/>
          </w:tcPr>
          <w:p w14:paraId="44497958" w14:textId="6A368B3D" w:rsidR="00776176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0.001</w:t>
            </w:r>
          </w:p>
        </w:tc>
      </w:tr>
      <w:tr w:rsidR="00776176" w:rsidRPr="00D04076" w14:paraId="79D14A94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62727126" w14:textId="6D087698" w:rsidR="00776176" w:rsidRPr="00D04076" w:rsidRDefault="00BF10A3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color w:val="000000"/>
                <w:sz w:val="20"/>
                <w:szCs w:val="20"/>
                <w:lang w:bidi="ar"/>
              </w:rPr>
              <w:t>Number of oocytes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5B6B9CFD" w14:textId="77777777" w:rsidR="00776176" w:rsidRPr="00D04076" w:rsidRDefault="00776176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0-5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4A727C1D" w14:textId="685EACC1" w:rsidR="00776176" w:rsidRPr="00D04076" w:rsidRDefault="00776176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/>
                <w:color w:val="000000"/>
                <w:sz w:val="20"/>
                <w:szCs w:val="20"/>
              </w:rPr>
              <w:t>Ref.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25103516" w14:textId="77777777" w:rsidR="00776176" w:rsidRPr="00D04076" w:rsidRDefault="00776176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</w:p>
        </w:tc>
      </w:tr>
      <w:tr w:rsidR="00696EB7" w:rsidRPr="00D04076" w14:paraId="387CC690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6D271BCE" w14:textId="77777777" w:rsidR="00696EB7" w:rsidRPr="00D04076" w:rsidRDefault="00696EB7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10629A69" w14:textId="77777777" w:rsidR="00696EB7" w:rsidRPr="00D04076" w:rsidRDefault="00696EB7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6-10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31CA6944" w14:textId="10731CF3" w:rsidR="00696EB7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1.53(1.26, 1.85</w:t>
            </w:r>
            <w:r w:rsidR="00B21833"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3D35153E" w14:textId="042E58B1" w:rsidR="00696EB7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 w:hint="eastAsia"/>
                <w:color w:val="000000"/>
                <w:sz w:val="20"/>
                <w:szCs w:val="20"/>
              </w:rPr>
              <w:t>&lt;</w:t>
            </w:r>
            <w:r w:rsidRPr="00D04076">
              <w:rPr>
                <w:rFonts w:eastAsia="DengXian"/>
                <w:color w:val="000000"/>
                <w:sz w:val="20"/>
                <w:szCs w:val="20"/>
              </w:rPr>
              <w:t>0.001</w:t>
            </w:r>
          </w:p>
        </w:tc>
      </w:tr>
      <w:tr w:rsidR="00696EB7" w:rsidRPr="00D04076" w14:paraId="1269269C" w14:textId="77777777" w:rsidTr="00BF10A3">
        <w:trPr>
          <w:trHeight w:val="460"/>
        </w:trPr>
        <w:tc>
          <w:tcPr>
            <w:tcW w:w="2263" w:type="dxa"/>
            <w:shd w:val="clear" w:color="auto" w:fill="F2F2F2" w:themeFill="background1" w:themeFillShade="F2"/>
            <w:noWrap/>
            <w:vAlign w:val="center"/>
          </w:tcPr>
          <w:p w14:paraId="25DA5064" w14:textId="77777777" w:rsidR="00696EB7" w:rsidRPr="00D04076" w:rsidRDefault="00696EB7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14:paraId="434ACA25" w14:textId="77777777" w:rsidR="00696EB7" w:rsidRPr="00D04076" w:rsidRDefault="00696EB7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11-15</w:t>
            </w:r>
          </w:p>
        </w:tc>
        <w:tc>
          <w:tcPr>
            <w:tcW w:w="2063" w:type="dxa"/>
            <w:shd w:val="clear" w:color="auto" w:fill="F2F2F2" w:themeFill="background1" w:themeFillShade="F2"/>
            <w:noWrap/>
            <w:vAlign w:val="center"/>
          </w:tcPr>
          <w:p w14:paraId="2739C1AA" w14:textId="2B2A4170" w:rsidR="00696EB7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1.73(1.40, 2.13</w:t>
            </w:r>
            <w:r w:rsidR="00B21833"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</w:tcPr>
          <w:p w14:paraId="6DC75086" w14:textId="7679AF70" w:rsidR="00696EB7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 w:hint="eastAsia"/>
                <w:color w:val="000000"/>
                <w:sz w:val="20"/>
                <w:szCs w:val="20"/>
              </w:rPr>
              <w:t>&lt;</w:t>
            </w:r>
            <w:r w:rsidRPr="00D04076">
              <w:rPr>
                <w:rFonts w:eastAsia="DengXian"/>
                <w:color w:val="000000"/>
                <w:sz w:val="20"/>
                <w:szCs w:val="20"/>
              </w:rPr>
              <w:t>0.001</w:t>
            </w:r>
          </w:p>
        </w:tc>
      </w:tr>
      <w:tr w:rsidR="00696EB7" w:rsidRPr="00D04076" w14:paraId="21D6C3D2" w14:textId="77777777" w:rsidTr="00BF10A3">
        <w:trPr>
          <w:trHeight w:val="460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FAE0F2" w14:textId="77777777" w:rsidR="00696EB7" w:rsidRPr="00D04076" w:rsidRDefault="00696EB7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949F8C" w14:textId="77777777" w:rsidR="00696EB7" w:rsidRPr="00D04076" w:rsidRDefault="00696EB7" w:rsidP="00BF10A3">
            <w:pPr>
              <w:snapToGrid w:val="0"/>
              <w:spacing w:after="0" w:line="240" w:lineRule="auto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i/>
                <w:iCs/>
                <w:color w:val="000000"/>
                <w:sz w:val="20"/>
                <w:szCs w:val="20"/>
                <w:lang w:bidi="ar"/>
              </w:rPr>
              <w:t>16 and more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B98C75" w14:textId="0F1D3125" w:rsidR="00696EB7" w:rsidRPr="00D04076" w:rsidRDefault="00696EB7" w:rsidP="00BF10A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1.55(1.22, 1.97)</w:t>
            </w:r>
            <w:r w:rsidR="00B21833" w:rsidRPr="00D04076">
              <w:rPr>
                <w:rFonts w:ascii="Book Antiqua" w:eastAsia="DengXian" w:hAnsi="Book Antiqua" w:cs="SimSu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4E5319" w14:textId="354C597E" w:rsidR="00696EB7" w:rsidRPr="00D04076" w:rsidRDefault="00696EB7" w:rsidP="00B21833">
            <w:pPr>
              <w:snapToGrid w:val="0"/>
              <w:spacing w:after="0" w:line="240" w:lineRule="auto"/>
              <w:jc w:val="center"/>
              <w:rPr>
                <w:rFonts w:eastAsia="DengXian"/>
                <w:color w:val="000000"/>
                <w:sz w:val="20"/>
                <w:szCs w:val="20"/>
              </w:rPr>
            </w:pPr>
            <w:r w:rsidRPr="00D04076">
              <w:rPr>
                <w:rFonts w:eastAsia="DengXian" w:hint="eastAsia"/>
                <w:color w:val="000000"/>
                <w:sz w:val="20"/>
                <w:szCs w:val="20"/>
              </w:rPr>
              <w:t>&lt;</w:t>
            </w:r>
            <w:r w:rsidRPr="00D04076">
              <w:rPr>
                <w:rFonts w:eastAsia="DengXian"/>
                <w:color w:val="000000"/>
                <w:sz w:val="20"/>
                <w:szCs w:val="20"/>
              </w:rPr>
              <w:t>0.001</w:t>
            </w:r>
          </w:p>
        </w:tc>
      </w:tr>
    </w:tbl>
    <w:p w14:paraId="0CBE0E7D" w14:textId="77777777" w:rsidR="00D76F5C" w:rsidRPr="00D04076" w:rsidRDefault="00D76F5C" w:rsidP="00D76F5C">
      <w:pPr>
        <w:pStyle w:val="Heading2"/>
        <w:spacing w:before="100" w:after="100"/>
        <w:rPr>
          <w:rFonts w:cs="Times New Roman"/>
          <w:color w:val="000000"/>
        </w:rPr>
      </w:pPr>
      <w:r w:rsidRPr="00D04076">
        <w:rPr>
          <w:rFonts w:cs="Times New Roman"/>
          <w:color w:val="000000"/>
        </w:rPr>
        <w:br w:type="page"/>
      </w:r>
    </w:p>
    <w:p w14:paraId="5742F471" w14:textId="24558DBE" w:rsidR="00D76F5C" w:rsidRPr="00D04076" w:rsidRDefault="00D76F5C" w:rsidP="00D76F5C">
      <w:pPr>
        <w:pStyle w:val="Heading2"/>
        <w:spacing w:before="100" w:after="100"/>
        <w:rPr>
          <w:rFonts w:cs="Times New Roman"/>
          <w:color w:val="000000"/>
        </w:rPr>
      </w:pPr>
      <w:r w:rsidRPr="00D04076">
        <w:rPr>
          <w:rFonts w:cs="Times New Roman"/>
          <w:color w:val="000000"/>
        </w:rPr>
        <w:lastRenderedPageBreak/>
        <w:t xml:space="preserve">Table S3. IPTW </w:t>
      </w:r>
      <w:r w:rsidRPr="00D04076">
        <w:rPr>
          <w:rFonts w:cs="Times New Roman" w:hint="eastAsia"/>
          <w:color w:val="000000"/>
        </w:rPr>
        <w:t>data</w:t>
      </w:r>
      <w:r w:rsidRPr="00D04076">
        <w:rPr>
          <w:rFonts w:cs="Times New Roman"/>
          <w:color w:val="000000"/>
        </w:rPr>
        <w:t xml:space="preserve"> set for </w:t>
      </w:r>
      <w:r w:rsidRPr="00D04076">
        <w:rPr>
          <w:rFonts w:cs="Times New Roman" w:hint="eastAsia"/>
          <w:color w:val="000000"/>
        </w:rPr>
        <w:t>bas</w:t>
      </w:r>
      <w:r w:rsidRPr="00D04076">
        <w:rPr>
          <w:rFonts w:cs="Times New Roman"/>
          <w:color w:val="000000"/>
        </w:rPr>
        <w:t>ic characteristics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  <w:gridCol w:w="2693"/>
        <w:gridCol w:w="2268"/>
        <w:gridCol w:w="851"/>
        <w:gridCol w:w="992"/>
      </w:tblGrid>
      <w:tr w:rsidR="00D76F5C" w:rsidRPr="00D04076" w14:paraId="5151C2F8" w14:textId="77777777" w:rsidTr="006977AA">
        <w:trPr>
          <w:trHeight w:val="1093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A8694B" w14:textId="77777777" w:rsidR="00D76F5C" w:rsidRPr="00D04076" w:rsidRDefault="00D76F5C" w:rsidP="006977AA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DC3EB5" w14:textId="77777777" w:rsidR="00D76F5C" w:rsidRPr="00D04076" w:rsidRDefault="00D76F5C" w:rsidP="006977AA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5E8523" w14:textId="77777777" w:rsidR="00D76F5C" w:rsidRPr="00D04076" w:rsidRDefault="00D76F5C" w:rsidP="006977AA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Non-CNY</w:t>
            </w:r>
            <w:r w:rsidRPr="00D04076">
              <w:rPr>
                <w:rFonts w:cs="Times New Roman"/>
                <w:color w:val="000000"/>
                <w:sz w:val="20"/>
                <w:szCs w:val="20"/>
              </w:rPr>
              <w:br/>
              <w:t xml:space="preserve">Season </w:t>
            </w:r>
            <w:r w:rsidRPr="00D04076">
              <w:rPr>
                <w:rFonts w:cs="Times New Roman"/>
                <w:color w:val="000000"/>
                <w:sz w:val="20"/>
                <w:szCs w:val="20"/>
              </w:rPr>
              <w:br/>
              <w:t>(n=4688.03)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267251" w14:textId="77777777" w:rsidR="00D76F5C" w:rsidRPr="00D04076" w:rsidRDefault="00D76F5C" w:rsidP="006977AA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CNY</w:t>
            </w:r>
            <w:r w:rsidRPr="00D04076">
              <w:rPr>
                <w:rFonts w:cs="Times New Roman"/>
                <w:color w:val="000000"/>
                <w:sz w:val="20"/>
                <w:szCs w:val="20"/>
              </w:rPr>
              <w:br/>
              <w:t xml:space="preserve">Season </w:t>
            </w:r>
            <w:r w:rsidRPr="00D04076">
              <w:rPr>
                <w:rFonts w:cs="Times New Roman"/>
                <w:color w:val="000000"/>
                <w:sz w:val="20"/>
                <w:szCs w:val="20"/>
              </w:rPr>
              <w:br/>
              <w:t>(n=4614.19)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FC8F21" w14:textId="77777777" w:rsidR="00D76F5C" w:rsidRPr="00D04076" w:rsidRDefault="00D76F5C" w:rsidP="006977AA">
            <w:pPr>
              <w:snapToGri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0BA8A6" w14:textId="77777777" w:rsidR="00D76F5C" w:rsidRPr="00D04076" w:rsidRDefault="00D76F5C" w:rsidP="006977AA">
            <w:pPr>
              <w:snapToGrid w:val="0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SMD</w:t>
            </w:r>
          </w:p>
        </w:tc>
      </w:tr>
      <w:tr w:rsidR="00D76F5C" w:rsidRPr="00D04076" w14:paraId="79BAFF18" w14:textId="77777777" w:rsidTr="006977AA">
        <w:trPr>
          <w:trHeight w:val="285"/>
        </w:trPr>
        <w:tc>
          <w:tcPr>
            <w:tcW w:w="21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B175B1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FCD9B8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39608E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30.89 (4.46)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39F2F8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31.13 (4.54)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2ABD3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AA4F8F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0.052</w:t>
            </w:r>
          </w:p>
        </w:tc>
      </w:tr>
      <w:tr w:rsidR="00D76F5C" w:rsidRPr="00D04076" w14:paraId="7729F865" w14:textId="77777777" w:rsidTr="006977AA">
        <w:trPr>
          <w:trHeight w:val="285"/>
        </w:trPr>
        <w:tc>
          <w:tcPr>
            <w:tcW w:w="2122" w:type="dxa"/>
            <w:shd w:val="clear" w:color="auto" w:fill="F2F2F2" w:themeFill="background1" w:themeFillShade="F2"/>
            <w:noWrap/>
            <w:vAlign w:val="center"/>
            <w:hideMark/>
          </w:tcPr>
          <w:p w14:paraId="15D9319F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Infertility years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851603A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≤5 year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74E56523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3831.2 (81.7%)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1F65E847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3725.0 (80.7%)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38CA950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6481A68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0.099</w:t>
            </w:r>
          </w:p>
        </w:tc>
      </w:tr>
      <w:tr w:rsidR="00D76F5C" w:rsidRPr="00D04076" w14:paraId="06E99EE4" w14:textId="77777777" w:rsidTr="006977AA">
        <w:trPr>
          <w:trHeight w:val="285"/>
        </w:trPr>
        <w:tc>
          <w:tcPr>
            <w:tcW w:w="2122" w:type="dxa"/>
            <w:shd w:val="clear" w:color="auto" w:fill="F2F2F2" w:themeFill="background1" w:themeFillShade="F2"/>
            <w:noWrap/>
            <w:vAlign w:val="center"/>
            <w:hideMark/>
          </w:tcPr>
          <w:p w14:paraId="202B3B1F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587D4A0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5~10 years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36F4D917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745.5 (15.9%)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6A390E76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831.7 (18.0%)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9ECAD2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7BC1E76" w14:textId="77777777" w:rsidR="00D76F5C" w:rsidRPr="00D04076" w:rsidRDefault="00D76F5C" w:rsidP="00697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F5C" w:rsidRPr="00D04076" w14:paraId="4A48F31E" w14:textId="77777777" w:rsidTr="006977AA">
        <w:trPr>
          <w:trHeight w:val="285"/>
        </w:trPr>
        <w:tc>
          <w:tcPr>
            <w:tcW w:w="2122" w:type="dxa"/>
            <w:shd w:val="clear" w:color="auto" w:fill="F2F2F2" w:themeFill="background1" w:themeFillShade="F2"/>
            <w:noWrap/>
            <w:vAlign w:val="center"/>
            <w:hideMark/>
          </w:tcPr>
          <w:p w14:paraId="4B81346B" w14:textId="77777777" w:rsidR="00D76F5C" w:rsidRPr="00D04076" w:rsidRDefault="00D76F5C" w:rsidP="006977A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6C4D16D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&gt;10 year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37A3134C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111.3 ( 2.4%)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06281624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57.5 ( 1.2%)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4AE61A26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886110C" w14:textId="77777777" w:rsidR="00D76F5C" w:rsidRPr="00D04076" w:rsidRDefault="00D76F5C" w:rsidP="00697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F5C" w:rsidRPr="00D04076" w14:paraId="2BFF477D" w14:textId="77777777" w:rsidTr="006977AA">
        <w:trPr>
          <w:trHeight w:val="285"/>
        </w:trPr>
        <w:tc>
          <w:tcPr>
            <w:tcW w:w="2122" w:type="dxa"/>
            <w:noWrap/>
            <w:vAlign w:val="center"/>
            <w:hideMark/>
          </w:tcPr>
          <w:p w14:paraId="6BA3A62E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559" w:type="dxa"/>
            <w:noWrap/>
            <w:vAlign w:val="center"/>
            <w:hideMark/>
          </w:tcPr>
          <w:p w14:paraId="002B1C37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≤6 years</w:t>
            </w:r>
          </w:p>
        </w:tc>
        <w:tc>
          <w:tcPr>
            <w:tcW w:w="2693" w:type="dxa"/>
            <w:noWrap/>
            <w:vAlign w:val="center"/>
            <w:hideMark/>
          </w:tcPr>
          <w:p w14:paraId="10E613DE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141.0 ( 3.0%)</w:t>
            </w:r>
          </w:p>
        </w:tc>
        <w:tc>
          <w:tcPr>
            <w:tcW w:w="2268" w:type="dxa"/>
            <w:noWrap/>
            <w:vAlign w:val="center"/>
            <w:hideMark/>
          </w:tcPr>
          <w:p w14:paraId="6594F3B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120.0 ( 2.6%)</w:t>
            </w:r>
          </w:p>
        </w:tc>
        <w:tc>
          <w:tcPr>
            <w:tcW w:w="851" w:type="dxa"/>
            <w:noWrap/>
            <w:vAlign w:val="center"/>
            <w:hideMark/>
          </w:tcPr>
          <w:p w14:paraId="1E572B1A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992" w:type="dxa"/>
            <w:noWrap/>
            <w:vAlign w:val="center"/>
            <w:hideMark/>
          </w:tcPr>
          <w:p w14:paraId="111D4C28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0.067</w:t>
            </w:r>
          </w:p>
        </w:tc>
      </w:tr>
      <w:tr w:rsidR="00D76F5C" w:rsidRPr="00D04076" w14:paraId="7971CFA6" w14:textId="77777777" w:rsidTr="006977AA">
        <w:trPr>
          <w:trHeight w:val="285"/>
        </w:trPr>
        <w:tc>
          <w:tcPr>
            <w:tcW w:w="2122" w:type="dxa"/>
            <w:noWrap/>
            <w:vAlign w:val="center"/>
            <w:hideMark/>
          </w:tcPr>
          <w:p w14:paraId="7B665FA5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17049F5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6-9 years</w:t>
            </w:r>
          </w:p>
        </w:tc>
        <w:tc>
          <w:tcPr>
            <w:tcW w:w="2693" w:type="dxa"/>
            <w:noWrap/>
            <w:vAlign w:val="center"/>
            <w:hideMark/>
          </w:tcPr>
          <w:p w14:paraId="6BD21025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1484.8 (31.7%)</w:t>
            </w:r>
          </w:p>
        </w:tc>
        <w:tc>
          <w:tcPr>
            <w:tcW w:w="2268" w:type="dxa"/>
            <w:noWrap/>
            <w:vAlign w:val="center"/>
            <w:hideMark/>
          </w:tcPr>
          <w:p w14:paraId="74C25AF7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1373.1 (29.8%)</w:t>
            </w:r>
          </w:p>
        </w:tc>
        <w:tc>
          <w:tcPr>
            <w:tcW w:w="851" w:type="dxa"/>
            <w:noWrap/>
            <w:vAlign w:val="center"/>
            <w:hideMark/>
          </w:tcPr>
          <w:p w14:paraId="5F28BBED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8BE593A" w14:textId="77777777" w:rsidR="00D76F5C" w:rsidRPr="00D04076" w:rsidRDefault="00D76F5C" w:rsidP="00697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F5C" w:rsidRPr="00D04076" w14:paraId="61FD211C" w14:textId="77777777" w:rsidTr="006977AA">
        <w:trPr>
          <w:trHeight w:val="285"/>
        </w:trPr>
        <w:tc>
          <w:tcPr>
            <w:tcW w:w="2122" w:type="dxa"/>
            <w:noWrap/>
            <w:vAlign w:val="center"/>
            <w:hideMark/>
          </w:tcPr>
          <w:p w14:paraId="1E37FB62" w14:textId="77777777" w:rsidR="00D76F5C" w:rsidRPr="00D04076" w:rsidRDefault="00D76F5C" w:rsidP="006977A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4B39D9D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9~12 years</w:t>
            </w:r>
          </w:p>
        </w:tc>
        <w:tc>
          <w:tcPr>
            <w:tcW w:w="2693" w:type="dxa"/>
            <w:noWrap/>
            <w:vAlign w:val="center"/>
            <w:hideMark/>
          </w:tcPr>
          <w:p w14:paraId="59B28705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901.8 (19.2%)</w:t>
            </w:r>
          </w:p>
        </w:tc>
        <w:tc>
          <w:tcPr>
            <w:tcW w:w="2268" w:type="dxa"/>
            <w:noWrap/>
            <w:vAlign w:val="center"/>
            <w:hideMark/>
          </w:tcPr>
          <w:p w14:paraId="30F2B5BE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844.7 (18.3%)</w:t>
            </w:r>
          </w:p>
        </w:tc>
        <w:tc>
          <w:tcPr>
            <w:tcW w:w="851" w:type="dxa"/>
            <w:noWrap/>
            <w:vAlign w:val="center"/>
            <w:hideMark/>
          </w:tcPr>
          <w:p w14:paraId="6A32F537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FF62BDA" w14:textId="77777777" w:rsidR="00D76F5C" w:rsidRPr="00D04076" w:rsidRDefault="00D76F5C" w:rsidP="00697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F5C" w:rsidRPr="00D04076" w14:paraId="0B3BE159" w14:textId="77777777" w:rsidTr="006977AA">
        <w:trPr>
          <w:trHeight w:val="285"/>
        </w:trPr>
        <w:tc>
          <w:tcPr>
            <w:tcW w:w="2122" w:type="dxa"/>
            <w:noWrap/>
            <w:vAlign w:val="center"/>
            <w:hideMark/>
          </w:tcPr>
          <w:p w14:paraId="46EC23FC" w14:textId="77777777" w:rsidR="00D76F5C" w:rsidRPr="00D04076" w:rsidRDefault="00D76F5C" w:rsidP="006977A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C2D5B34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&gt;12 year</w:t>
            </w:r>
          </w:p>
        </w:tc>
        <w:tc>
          <w:tcPr>
            <w:tcW w:w="2693" w:type="dxa"/>
            <w:noWrap/>
            <w:vAlign w:val="center"/>
            <w:hideMark/>
          </w:tcPr>
          <w:p w14:paraId="2310BFDF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2160.4 (46.1%)</w:t>
            </w:r>
          </w:p>
        </w:tc>
        <w:tc>
          <w:tcPr>
            <w:tcW w:w="2268" w:type="dxa"/>
            <w:noWrap/>
            <w:vAlign w:val="center"/>
            <w:hideMark/>
          </w:tcPr>
          <w:p w14:paraId="549D89B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2276.4 (49.3%)</w:t>
            </w:r>
          </w:p>
        </w:tc>
        <w:tc>
          <w:tcPr>
            <w:tcW w:w="851" w:type="dxa"/>
            <w:noWrap/>
            <w:vAlign w:val="center"/>
            <w:hideMark/>
          </w:tcPr>
          <w:p w14:paraId="3AB99BD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D9D00FD" w14:textId="77777777" w:rsidR="00D76F5C" w:rsidRPr="00D04076" w:rsidRDefault="00D76F5C" w:rsidP="00697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F5C" w:rsidRPr="00D04076" w14:paraId="1E9BACF7" w14:textId="77777777" w:rsidTr="006977AA">
        <w:trPr>
          <w:trHeight w:val="285"/>
        </w:trPr>
        <w:tc>
          <w:tcPr>
            <w:tcW w:w="2122" w:type="dxa"/>
            <w:shd w:val="clear" w:color="auto" w:fill="F2F2F2" w:themeFill="background1" w:themeFillShade="F2"/>
            <w:noWrap/>
            <w:vAlign w:val="center"/>
            <w:hideMark/>
          </w:tcPr>
          <w:p w14:paraId="1340DB7E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FSH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31212E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Median(IQR)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09D2A23A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7.52 (6.35, 8.95)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70A64D9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7.53 (6.36, 9.21)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36FC188A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0.801#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04628E6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0.012</w:t>
            </w:r>
          </w:p>
        </w:tc>
      </w:tr>
      <w:tr w:rsidR="00D76F5C" w:rsidRPr="00D04076" w14:paraId="1E3EA01C" w14:textId="77777777" w:rsidTr="006977AA">
        <w:trPr>
          <w:trHeight w:val="285"/>
        </w:trPr>
        <w:tc>
          <w:tcPr>
            <w:tcW w:w="2122" w:type="dxa"/>
            <w:noWrap/>
            <w:vAlign w:val="center"/>
            <w:hideMark/>
          </w:tcPr>
          <w:p w14:paraId="5547360E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1559" w:type="dxa"/>
            <w:noWrap/>
            <w:vAlign w:val="center"/>
            <w:hideMark/>
          </w:tcPr>
          <w:p w14:paraId="27F19366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Median(IQR)</w:t>
            </w:r>
          </w:p>
        </w:tc>
        <w:tc>
          <w:tcPr>
            <w:tcW w:w="2693" w:type="dxa"/>
            <w:noWrap/>
            <w:vAlign w:val="center"/>
            <w:hideMark/>
          </w:tcPr>
          <w:p w14:paraId="79B08180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40.00 (27.00, 58.00)</w:t>
            </w:r>
          </w:p>
        </w:tc>
        <w:tc>
          <w:tcPr>
            <w:tcW w:w="2268" w:type="dxa"/>
            <w:noWrap/>
            <w:vAlign w:val="center"/>
            <w:hideMark/>
          </w:tcPr>
          <w:p w14:paraId="0364F65A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40.00 (25.00, 55.00)</w:t>
            </w:r>
          </w:p>
        </w:tc>
        <w:tc>
          <w:tcPr>
            <w:tcW w:w="851" w:type="dxa"/>
            <w:noWrap/>
            <w:vAlign w:val="center"/>
            <w:hideMark/>
          </w:tcPr>
          <w:p w14:paraId="534B8F12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0.343#</w:t>
            </w:r>
          </w:p>
        </w:tc>
        <w:tc>
          <w:tcPr>
            <w:tcW w:w="992" w:type="dxa"/>
            <w:noWrap/>
            <w:vAlign w:val="center"/>
            <w:hideMark/>
          </w:tcPr>
          <w:p w14:paraId="14BC7E1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D76F5C" w:rsidRPr="00D04076" w14:paraId="6D9E75DD" w14:textId="77777777" w:rsidTr="006977AA">
        <w:trPr>
          <w:trHeight w:val="285"/>
        </w:trPr>
        <w:tc>
          <w:tcPr>
            <w:tcW w:w="2122" w:type="dxa"/>
            <w:shd w:val="clear" w:color="auto" w:fill="F2F2F2" w:themeFill="background1" w:themeFillShade="F2"/>
            <w:noWrap/>
            <w:vAlign w:val="center"/>
            <w:hideMark/>
          </w:tcPr>
          <w:p w14:paraId="639124E4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2412D0C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Median(IQR)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296A069E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0.60 (0.37, 0.90)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638CAC65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0.61 (0.39, 0.91)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6BE8618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0.616#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62B13A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0.085</w:t>
            </w:r>
          </w:p>
        </w:tc>
      </w:tr>
      <w:tr w:rsidR="00D76F5C" w:rsidRPr="00D04076" w14:paraId="2C201BB8" w14:textId="77777777" w:rsidTr="006977AA">
        <w:trPr>
          <w:trHeight w:val="285"/>
        </w:trPr>
        <w:tc>
          <w:tcPr>
            <w:tcW w:w="2122" w:type="dxa"/>
            <w:noWrap/>
            <w:vAlign w:val="center"/>
            <w:hideMark/>
          </w:tcPr>
          <w:p w14:paraId="731C8B1B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PRL</w:t>
            </w:r>
          </w:p>
        </w:tc>
        <w:tc>
          <w:tcPr>
            <w:tcW w:w="1559" w:type="dxa"/>
            <w:noWrap/>
            <w:vAlign w:val="center"/>
            <w:hideMark/>
          </w:tcPr>
          <w:p w14:paraId="29117356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Median(IQR)</w:t>
            </w:r>
          </w:p>
        </w:tc>
        <w:tc>
          <w:tcPr>
            <w:tcW w:w="2693" w:type="dxa"/>
            <w:noWrap/>
            <w:vAlign w:val="center"/>
            <w:hideMark/>
          </w:tcPr>
          <w:p w14:paraId="1D826CB5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12.50 (9.23, 17.26)</w:t>
            </w:r>
          </w:p>
        </w:tc>
        <w:tc>
          <w:tcPr>
            <w:tcW w:w="2268" w:type="dxa"/>
            <w:noWrap/>
            <w:vAlign w:val="center"/>
            <w:hideMark/>
          </w:tcPr>
          <w:p w14:paraId="2F9113A7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12.38 (9.20, 16.93)</w:t>
            </w:r>
          </w:p>
        </w:tc>
        <w:tc>
          <w:tcPr>
            <w:tcW w:w="851" w:type="dxa"/>
            <w:noWrap/>
            <w:vAlign w:val="center"/>
            <w:hideMark/>
          </w:tcPr>
          <w:p w14:paraId="6BABB479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0.722#</w:t>
            </w:r>
          </w:p>
        </w:tc>
        <w:tc>
          <w:tcPr>
            <w:tcW w:w="992" w:type="dxa"/>
            <w:noWrap/>
            <w:vAlign w:val="center"/>
            <w:hideMark/>
          </w:tcPr>
          <w:p w14:paraId="353778C0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0.032</w:t>
            </w:r>
          </w:p>
        </w:tc>
      </w:tr>
      <w:tr w:rsidR="00D76F5C" w:rsidRPr="00D04076" w14:paraId="3FBB784A" w14:textId="77777777" w:rsidTr="006977AA">
        <w:trPr>
          <w:trHeight w:val="285"/>
        </w:trPr>
        <w:tc>
          <w:tcPr>
            <w:tcW w:w="2122" w:type="dxa"/>
            <w:shd w:val="clear" w:color="auto" w:fill="F2F2F2" w:themeFill="background1" w:themeFillShade="F2"/>
            <w:noWrap/>
            <w:vAlign w:val="center"/>
            <w:hideMark/>
          </w:tcPr>
          <w:p w14:paraId="66D41DA2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LH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81CE1A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Median(IQR)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78CCBE1E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4.42 (3.24, 6.21)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61A67CB5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4.45 (3.16, 5.72)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4B0B16AD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0.464#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371CC69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0.029</w:t>
            </w:r>
          </w:p>
        </w:tc>
      </w:tr>
      <w:tr w:rsidR="00D76F5C" w:rsidRPr="00D04076" w14:paraId="1BB50CB2" w14:textId="77777777" w:rsidTr="006977AA">
        <w:trPr>
          <w:trHeight w:val="285"/>
        </w:trPr>
        <w:tc>
          <w:tcPr>
            <w:tcW w:w="2122" w:type="dxa"/>
            <w:noWrap/>
            <w:vAlign w:val="center"/>
            <w:hideMark/>
          </w:tcPr>
          <w:p w14:paraId="160285CD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559" w:type="dxa"/>
            <w:noWrap/>
            <w:vAlign w:val="center"/>
            <w:hideMark/>
          </w:tcPr>
          <w:p w14:paraId="79D3D7EB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Median(IQR)</w:t>
            </w:r>
          </w:p>
        </w:tc>
        <w:tc>
          <w:tcPr>
            <w:tcW w:w="2693" w:type="dxa"/>
            <w:noWrap/>
            <w:vAlign w:val="center"/>
            <w:hideMark/>
          </w:tcPr>
          <w:p w14:paraId="4F0F5964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0.44 (0.32, 0.56)</w:t>
            </w:r>
          </w:p>
        </w:tc>
        <w:tc>
          <w:tcPr>
            <w:tcW w:w="2268" w:type="dxa"/>
            <w:noWrap/>
            <w:vAlign w:val="center"/>
            <w:hideMark/>
          </w:tcPr>
          <w:p w14:paraId="1AE53775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0.43 (0.31, 0.56)</w:t>
            </w:r>
          </w:p>
        </w:tc>
        <w:tc>
          <w:tcPr>
            <w:tcW w:w="851" w:type="dxa"/>
            <w:noWrap/>
            <w:vAlign w:val="center"/>
            <w:hideMark/>
          </w:tcPr>
          <w:p w14:paraId="668D4D15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0.979#</w:t>
            </w:r>
          </w:p>
        </w:tc>
        <w:tc>
          <w:tcPr>
            <w:tcW w:w="992" w:type="dxa"/>
            <w:noWrap/>
            <w:vAlign w:val="center"/>
            <w:hideMark/>
          </w:tcPr>
          <w:p w14:paraId="55D306B4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D76F5C" w:rsidRPr="00D04076" w14:paraId="6808D57A" w14:textId="77777777" w:rsidTr="006977AA">
        <w:trPr>
          <w:trHeight w:val="285"/>
        </w:trPr>
        <w:tc>
          <w:tcPr>
            <w:tcW w:w="2122" w:type="dxa"/>
            <w:shd w:val="clear" w:color="auto" w:fill="F2F2F2" w:themeFill="background1" w:themeFillShade="F2"/>
            <w:noWrap/>
            <w:vAlign w:val="center"/>
            <w:hideMark/>
          </w:tcPr>
          <w:p w14:paraId="0BB4D252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AMH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2F55C78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Median(IQR)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09E948C8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2.59 (1.56, 4.01)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5599C452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2.53 (1.55, 3.56)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070D6951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0.309#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88DEEA4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0.075</w:t>
            </w:r>
          </w:p>
        </w:tc>
      </w:tr>
      <w:tr w:rsidR="00D76F5C" w:rsidRPr="00D04076" w14:paraId="6FF5367C" w14:textId="77777777" w:rsidTr="006977AA">
        <w:trPr>
          <w:trHeight w:val="285"/>
        </w:trPr>
        <w:tc>
          <w:tcPr>
            <w:tcW w:w="2122" w:type="dxa"/>
            <w:noWrap/>
            <w:vAlign w:val="center"/>
            <w:hideMark/>
          </w:tcPr>
          <w:p w14:paraId="35F2A999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  <w:lang w:bidi="ar"/>
              </w:rPr>
              <w:t>Classification of infertility</w:t>
            </w:r>
          </w:p>
        </w:tc>
        <w:tc>
          <w:tcPr>
            <w:tcW w:w="1559" w:type="dxa"/>
            <w:noWrap/>
            <w:vAlign w:val="center"/>
            <w:hideMark/>
          </w:tcPr>
          <w:p w14:paraId="39612B39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693" w:type="dxa"/>
            <w:noWrap/>
            <w:vAlign w:val="center"/>
            <w:hideMark/>
          </w:tcPr>
          <w:p w14:paraId="5FC3FEF9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2359.9 (50.3%)</w:t>
            </w:r>
          </w:p>
        </w:tc>
        <w:tc>
          <w:tcPr>
            <w:tcW w:w="2268" w:type="dxa"/>
            <w:noWrap/>
            <w:vAlign w:val="center"/>
            <w:hideMark/>
          </w:tcPr>
          <w:p w14:paraId="7D198B6B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2228.7 (48.3%)</w:t>
            </w:r>
          </w:p>
        </w:tc>
        <w:tc>
          <w:tcPr>
            <w:tcW w:w="851" w:type="dxa"/>
            <w:noWrap/>
            <w:vAlign w:val="center"/>
            <w:hideMark/>
          </w:tcPr>
          <w:p w14:paraId="58067677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992" w:type="dxa"/>
            <w:noWrap/>
            <w:vAlign w:val="center"/>
            <w:hideMark/>
          </w:tcPr>
          <w:p w14:paraId="0AFB90F8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0.041</w:t>
            </w:r>
          </w:p>
        </w:tc>
      </w:tr>
      <w:tr w:rsidR="00D76F5C" w:rsidRPr="00D04076" w14:paraId="0B84695B" w14:textId="77777777" w:rsidTr="006977AA">
        <w:trPr>
          <w:trHeight w:val="285"/>
        </w:trPr>
        <w:tc>
          <w:tcPr>
            <w:tcW w:w="212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381C53" w14:textId="77777777" w:rsidR="00D76F5C" w:rsidRPr="00D04076" w:rsidRDefault="00D76F5C" w:rsidP="006977AA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A35792" w14:textId="77777777" w:rsidR="00D76F5C" w:rsidRPr="00D04076" w:rsidRDefault="00D76F5C" w:rsidP="006977AA">
            <w:pPr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Secondary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635775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2328.1 (49.7%)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1EC7B1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4076">
              <w:rPr>
                <w:rFonts w:cs="Times New Roman"/>
                <w:color w:val="000000"/>
                <w:sz w:val="20"/>
                <w:szCs w:val="20"/>
              </w:rPr>
              <w:t>2385.4 (51.7%)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DFC73D" w14:textId="77777777" w:rsidR="00D76F5C" w:rsidRPr="00D04076" w:rsidRDefault="00D76F5C" w:rsidP="006977A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EB50B8" w14:textId="77777777" w:rsidR="00D76F5C" w:rsidRPr="00D04076" w:rsidRDefault="00D76F5C" w:rsidP="00697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1CA789C" w14:textId="77777777" w:rsidR="00D76F5C" w:rsidRPr="00D04076" w:rsidRDefault="00D76F5C" w:rsidP="00D76F5C">
      <w:pPr>
        <w:rPr>
          <w:rFonts w:cs="Times New Roman"/>
          <w:color w:val="000000"/>
          <w:sz w:val="18"/>
          <w:szCs w:val="18"/>
        </w:rPr>
      </w:pPr>
      <w:r w:rsidRPr="00D04076">
        <w:rPr>
          <w:rFonts w:cs="Times New Roman"/>
          <w:color w:val="000000"/>
          <w:sz w:val="20"/>
          <w:szCs w:val="20"/>
        </w:rPr>
        <w:t>#</w:t>
      </w:r>
      <w:r w:rsidRPr="00D04076">
        <w:rPr>
          <w:rFonts w:cs="Times New Roman"/>
          <w:color w:val="000000"/>
        </w:rPr>
        <w:t xml:space="preserve"> </w:t>
      </w:r>
      <w:r w:rsidRPr="00D04076">
        <w:rPr>
          <w:rFonts w:cs="Times New Roman"/>
          <w:color w:val="000000"/>
          <w:sz w:val="18"/>
          <w:szCs w:val="18"/>
        </w:rPr>
        <w:t>Mann-Whitney test</w:t>
      </w:r>
    </w:p>
    <w:p w14:paraId="0481DF91" w14:textId="7F81ED7B" w:rsidR="00CF386A" w:rsidRPr="00D04076" w:rsidRDefault="00CF386A">
      <w:pPr>
        <w:rPr>
          <w:rFonts w:cs="Times New Roman"/>
          <w:color w:val="000000"/>
        </w:rPr>
      </w:pPr>
    </w:p>
    <w:sectPr w:rsidR="00CF386A" w:rsidRPr="00D04076" w:rsidSect="00D76F5C">
      <w:footerReference w:type="even" r:id="rId7"/>
      <w:footerReference w:type="default" r:id="rId8"/>
      <w:footerReference w:type="first" r:id="rId9"/>
      <w:pgSz w:w="12240" w:h="15840"/>
      <w:pgMar w:top="97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5D47" w14:textId="77777777" w:rsidR="003D1784" w:rsidRDefault="003D1784">
      <w:pPr>
        <w:spacing w:line="240" w:lineRule="auto"/>
      </w:pPr>
      <w:r>
        <w:separator/>
      </w:r>
    </w:p>
  </w:endnote>
  <w:endnote w:type="continuationSeparator" w:id="0">
    <w:p w14:paraId="23227F49" w14:textId="77777777" w:rsidR="003D1784" w:rsidRDefault="003D1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51D0" w14:textId="526C72F5" w:rsidR="00BF10A3" w:rsidRDefault="0097147C" w:rsidP="00701FB9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82FCF1" wp14:editId="3554F1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6240670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5A780" w14:textId="33C78F60" w:rsidR="0097147C" w:rsidRPr="0097147C" w:rsidRDefault="0097147C" w:rsidP="009714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4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F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215A780" w14:textId="33C78F60" w:rsidR="0097147C" w:rsidRPr="0097147C" w:rsidRDefault="0097147C" w:rsidP="009714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4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847560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207135" w14:textId="77777777" w:rsidR="00BF10A3" w:rsidRDefault="00BF10A3" w:rsidP="00701FB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3DACFD" w14:textId="77777777" w:rsidR="00BF10A3" w:rsidRDefault="00BF1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729F" w14:textId="3204172F" w:rsidR="00BF10A3" w:rsidRDefault="0097147C" w:rsidP="00701FB9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FA29F5" wp14:editId="721DC103">
              <wp:simplePos x="3854370" y="945072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891721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57FC3" w14:textId="198323A0" w:rsidR="0097147C" w:rsidRPr="0097147C" w:rsidRDefault="0097147C" w:rsidP="009714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4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A29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1857FC3" w14:textId="198323A0" w:rsidR="0097147C" w:rsidRPr="0097147C" w:rsidRDefault="0097147C" w:rsidP="009714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4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82993882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10A3">
          <w:rPr>
            <w:rStyle w:val="PageNumber"/>
          </w:rPr>
          <w:fldChar w:fldCharType="begin"/>
        </w:r>
        <w:r w:rsidR="00BF10A3">
          <w:rPr>
            <w:rStyle w:val="PageNumber"/>
          </w:rPr>
          <w:instrText xml:space="preserve"> PAGE </w:instrText>
        </w:r>
        <w:r w:rsidR="00BF10A3">
          <w:rPr>
            <w:rStyle w:val="PageNumber"/>
          </w:rPr>
          <w:fldChar w:fldCharType="separate"/>
        </w:r>
        <w:r w:rsidR="00BF10A3">
          <w:rPr>
            <w:rStyle w:val="PageNumber"/>
            <w:noProof/>
          </w:rPr>
          <w:t>1</w:t>
        </w:r>
        <w:r w:rsidR="00BF10A3">
          <w:rPr>
            <w:rStyle w:val="PageNumber"/>
          </w:rPr>
          <w:fldChar w:fldCharType="end"/>
        </w:r>
      </w:sdtContent>
    </w:sdt>
  </w:p>
  <w:p w14:paraId="48402738" w14:textId="77777777" w:rsidR="00BF10A3" w:rsidRDefault="00BF1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1EA1" w14:textId="62529B85" w:rsidR="0097147C" w:rsidRDefault="009714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2519A2" wp14:editId="0C333B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8864682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C4613" w14:textId="34A91188" w:rsidR="0097147C" w:rsidRPr="0097147C" w:rsidRDefault="0097147C" w:rsidP="0097147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714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519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1CC4613" w14:textId="34A91188" w:rsidR="0097147C" w:rsidRPr="0097147C" w:rsidRDefault="0097147C" w:rsidP="0097147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714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AE0B" w14:textId="77777777" w:rsidR="003D1784" w:rsidRDefault="003D1784">
      <w:pPr>
        <w:spacing w:after="0"/>
      </w:pPr>
      <w:r>
        <w:separator/>
      </w:r>
    </w:p>
  </w:footnote>
  <w:footnote w:type="continuationSeparator" w:id="0">
    <w:p w14:paraId="676C0D22" w14:textId="77777777" w:rsidR="003D1784" w:rsidRDefault="003D17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272622"/>
    <w:multiLevelType w:val="singleLevel"/>
    <w:tmpl w:val="D127262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594778"/>
    <w:multiLevelType w:val="hybridMultilevel"/>
    <w:tmpl w:val="1F60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A1A8E"/>
    <w:multiLevelType w:val="hybridMultilevel"/>
    <w:tmpl w:val="2BF0F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538457">
    <w:abstractNumId w:val="0"/>
  </w:num>
  <w:num w:numId="2" w16cid:durableId="2094469704">
    <w:abstractNumId w:val="2"/>
  </w:num>
  <w:num w:numId="3" w16cid:durableId="58118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3OTY2ODBmOTEwMTM0ZTA5NDMwYjZlY2FmZWUzZTAifQ=="/>
  </w:docVars>
  <w:rsids>
    <w:rsidRoot w:val="00FE1B15"/>
    <w:rsid w:val="00024EAC"/>
    <w:rsid w:val="0003033B"/>
    <w:rsid w:val="00081020"/>
    <w:rsid w:val="00087E8D"/>
    <w:rsid w:val="000C6B83"/>
    <w:rsid w:val="001030DA"/>
    <w:rsid w:val="00106478"/>
    <w:rsid w:val="00153FF4"/>
    <w:rsid w:val="00191914"/>
    <w:rsid w:val="001B205D"/>
    <w:rsid w:val="001E0411"/>
    <w:rsid w:val="001E1FAB"/>
    <w:rsid w:val="00226A6D"/>
    <w:rsid w:val="00230F5D"/>
    <w:rsid w:val="00255A67"/>
    <w:rsid w:val="00284B96"/>
    <w:rsid w:val="002909DF"/>
    <w:rsid w:val="00297DC6"/>
    <w:rsid w:val="002A5BF8"/>
    <w:rsid w:val="002B4529"/>
    <w:rsid w:val="002C714B"/>
    <w:rsid w:val="002D4EF1"/>
    <w:rsid w:val="00335A80"/>
    <w:rsid w:val="0035447A"/>
    <w:rsid w:val="00370BD2"/>
    <w:rsid w:val="00375344"/>
    <w:rsid w:val="003A1400"/>
    <w:rsid w:val="003D1784"/>
    <w:rsid w:val="00473FEA"/>
    <w:rsid w:val="004A6732"/>
    <w:rsid w:val="004C08F3"/>
    <w:rsid w:val="004C6203"/>
    <w:rsid w:val="004D11D7"/>
    <w:rsid w:val="0057305F"/>
    <w:rsid w:val="005A2C90"/>
    <w:rsid w:val="005A5129"/>
    <w:rsid w:val="005D20CF"/>
    <w:rsid w:val="005F2188"/>
    <w:rsid w:val="00600932"/>
    <w:rsid w:val="00642D5F"/>
    <w:rsid w:val="00696EB7"/>
    <w:rsid w:val="006D68C1"/>
    <w:rsid w:val="0074273C"/>
    <w:rsid w:val="00776176"/>
    <w:rsid w:val="00776BBE"/>
    <w:rsid w:val="00783215"/>
    <w:rsid w:val="007A7B7E"/>
    <w:rsid w:val="007C20FA"/>
    <w:rsid w:val="0081301B"/>
    <w:rsid w:val="00814654"/>
    <w:rsid w:val="00840464"/>
    <w:rsid w:val="0089108F"/>
    <w:rsid w:val="008B6B57"/>
    <w:rsid w:val="008E5488"/>
    <w:rsid w:val="009476E9"/>
    <w:rsid w:val="0097147C"/>
    <w:rsid w:val="009A2A30"/>
    <w:rsid w:val="009F5B3A"/>
    <w:rsid w:val="00A14C23"/>
    <w:rsid w:val="00A50C70"/>
    <w:rsid w:val="00A56740"/>
    <w:rsid w:val="00AA5002"/>
    <w:rsid w:val="00AE6344"/>
    <w:rsid w:val="00AF56E1"/>
    <w:rsid w:val="00AF7AC5"/>
    <w:rsid w:val="00B0424E"/>
    <w:rsid w:val="00B21833"/>
    <w:rsid w:val="00B27DD0"/>
    <w:rsid w:val="00B33A91"/>
    <w:rsid w:val="00B538A1"/>
    <w:rsid w:val="00B85B1F"/>
    <w:rsid w:val="00BA3612"/>
    <w:rsid w:val="00BF03AF"/>
    <w:rsid w:val="00BF10A3"/>
    <w:rsid w:val="00C076EB"/>
    <w:rsid w:val="00C73211"/>
    <w:rsid w:val="00CC4F0D"/>
    <w:rsid w:val="00CD1CEF"/>
    <w:rsid w:val="00CF386A"/>
    <w:rsid w:val="00D04076"/>
    <w:rsid w:val="00D17AFC"/>
    <w:rsid w:val="00D433AB"/>
    <w:rsid w:val="00D76F5C"/>
    <w:rsid w:val="00D913CF"/>
    <w:rsid w:val="00D96F91"/>
    <w:rsid w:val="00E047C3"/>
    <w:rsid w:val="00E2209B"/>
    <w:rsid w:val="00EC4177"/>
    <w:rsid w:val="00F97E41"/>
    <w:rsid w:val="00FA3C25"/>
    <w:rsid w:val="00FA6ECF"/>
    <w:rsid w:val="00FC6010"/>
    <w:rsid w:val="00FD2AF5"/>
    <w:rsid w:val="00FD437B"/>
    <w:rsid w:val="00FD6CF1"/>
    <w:rsid w:val="00FE1B15"/>
    <w:rsid w:val="274A2C99"/>
    <w:rsid w:val="27705C2F"/>
    <w:rsid w:val="2F857ABA"/>
    <w:rsid w:val="5A263D8B"/>
    <w:rsid w:val="64F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9E26"/>
  <w15:docId w15:val="{572BADDF-738A-A845-80B8-34FD468F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32"/>
    <w:pPr>
      <w:spacing w:after="160" w:line="360" w:lineRule="auto"/>
    </w:pPr>
    <w:rPr>
      <w:rFonts w:eastAsiaTheme="minorEastAsia" w:cstheme="minorBidi"/>
      <w:sz w:val="22"/>
      <w:szCs w:val="22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4A6732"/>
    <w:pPr>
      <w:jc w:val="center"/>
      <w:outlineLvl w:val="0"/>
    </w:pPr>
    <w:rPr>
      <w:b/>
      <w:i w:val="0"/>
      <w:sz w:val="24"/>
      <w:szCs w:val="24"/>
      <w:u w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4A6732"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C6203"/>
    <w:pPr>
      <w:outlineLvl w:val="2"/>
    </w:pPr>
    <w:rPr>
      <w:b w:val="0"/>
      <w:bCs w:val="0"/>
      <w:i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6732"/>
    <w:rPr>
      <w:rFonts w:eastAsiaTheme="minorEastAsia" w:cstheme="min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C6203"/>
    <w:rPr>
      <w:rFonts w:eastAsiaTheme="minorEastAsia" w:cstheme="minorBidi"/>
      <w:i/>
      <w:iCs/>
      <w:sz w:val="22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6732"/>
    <w:rPr>
      <w:rFonts w:eastAsiaTheme="minorEastAsia" w:cstheme="minorBidi"/>
      <w:b/>
      <w:iCs/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7A7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88"/>
    <w:rPr>
      <w:rFonts w:eastAsiaTheme="minorEastAsia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88"/>
    <w:rPr>
      <w:rFonts w:eastAsiaTheme="minorEastAsia" w:cstheme="minorBidi"/>
      <w:sz w:val="22"/>
      <w:szCs w:val="22"/>
    </w:rPr>
  </w:style>
  <w:style w:type="paragraph" w:styleId="Revision">
    <w:name w:val="Revision"/>
    <w:hidden/>
    <w:uiPriority w:val="99"/>
    <w:unhideWhenUsed/>
    <w:rsid w:val="00600932"/>
    <w:rPr>
      <w:rFonts w:eastAsiaTheme="minorEastAsia" w:cstheme="minorBidi"/>
      <w:sz w:val="22"/>
      <w:szCs w:val="22"/>
    </w:rPr>
  </w:style>
  <w:style w:type="table" w:styleId="TableGrid">
    <w:name w:val="Table Grid"/>
    <w:basedOn w:val="TableNormal"/>
    <w:qFormat/>
    <w:rsid w:val="00776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14C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F10A3"/>
  </w:style>
  <w:style w:type="character" w:styleId="CommentReference">
    <w:name w:val="annotation reference"/>
    <w:basedOn w:val="DefaultParagraphFont"/>
    <w:uiPriority w:val="99"/>
    <w:semiHidden/>
    <w:unhideWhenUsed/>
    <w:rsid w:val="00971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47C"/>
    <w:rPr>
      <w:rFonts w:eastAsiaTheme="minorEastAsia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47C"/>
    <w:rPr>
      <w:rFonts w:eastAsiaTheme="minorEastAsia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BEB102-0076-9F4E-AF84-BBE69A5290F8}">
  <we:reference id="wa200001011" version="1.2.0.0" store="zh-CN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 JIAJIA</dc:creator>
  <cp:lastModifiedBy>Hardgrave, Melissa</cp:lastModifiedBy>
  <cp:revision>2</cp:revision>
  <dcterms:created xsi:type="dcterms:W3CDTF">2023-08-24T02:40:00Z</dcterms:created>
  <dcterms:modified xsi:type="dcterms:W3CDTF">2023-08-24T02:40:00Z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698CDD08AE1A4AA6832243AD6D71732C_12</vt:lpwstr>
  </property>
  <property fmtid="{D5CDD505-2E9C-101B-9397-08002B2CF9AE}" pid="4" name="grammarly_documentId">
    <vt:lpwstr>documentId_5893</vt:lpwstr>
  </property>
  <property fmtid="{D5CDD505-2E9C-101B-9397-08002B2CF9AE}" pid="5" name="grammarly_documentContext">
    <vt:lpwstr>{"goals":[],"domain":"general","emotions":[],"dialect":"american"}</vt:lpwstr>
  </property>
  <property fmtid="{D5CDD505-2E9C-101B-9397-08002B2CF9AE}" pid="6" name="ClassificationContentMarkingFooterShapeIds">
    <vt:lpwstr>113466a6,690c3132,709a7a90</vt:lpwstr>
  </property>
  <property fmtid="{D5CDD505-2E9C-101B-9397-08002B2CF9AE}" pid="7" name="ClassificationContentMarkingFooterFontProps">
    <vt:lpwstr>#0078d7,9,Rockwell</vt:lpwstr>
  </property>
  <property fmtid="{D5CDD505-2E9C-101B-9397-08002B2CF9AE}" pid="8" name="ClassificationContentMarkingFooterText">
    <vt:lpwstr>Information Classification: General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2023-08-16T00:00:18Z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1ce4ef74-cbcf-42dc-abe7-974cfff0952f</vt:lpwstr>
  </property>
  <property fmtid="{D5CDD505-2E9C-101B-9397-08002B2CF9AE}" pid="15" name="MSIP_Label_2bbab825-a111-45e4-86a1-18cee0005896_ContentBits">
    <vt:lpwstr>2</vt:lpwstr>
  </property>
</Properties>
</file>