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31BE" w14:textId="4587D853" w:rsidR="00726D76" w:rsidRPr="008D1366" w:rsidRDefault="00536DF5" w:rsidP="00351AF7">
      <w:pPr>
        <w:jc w:val="both"/>
        <w:rPr>
          <w:rFonts w:ascii="Arial" w:eastAsiaTheme="majorEastAsia" w:hAnsi="Arial" w:cs="Arial"/>
          <w:b/>
          <w:bCs/>
          <w:color w:val="000000"/>
          <w:szCs w:val="20"/>
          <w:lang w:val="en-US"/>
        </w:rPr>
      </w:pPr>
      <w:r w:rsidRPr="008D1366">
        <w:rPr>
          <w:rFonts w:ascii="Arial" w:eastAsiaTheme="majorEastAsia" w:hAnsi="Arial" w:cs="Arial"/>
          <w:b/>
          <w:bCs/>
          <w:color w:val="000000"/>
          <w:szCs w:val="20"/>
          <w:lang w:val="en-US"/>
        </w:rPr>
        <w:t xml:space="preserve">Supplementary Table 1: </w:t>
      </w:r>
      <w:r w:rsidR="00726D76" w:rsidRPr="008D1366">
        <w:rPr>
          <w:rFonts w:ascii="Arial" w:eastAsiaTheme="majorEastAsia" w:hAnsi="Arial" w:cs="Arial"/>
          <w:b/>
          <w:bCs/>
          <w:color w:val="000000"/>
          <w:szCs w:val="20"/>
          <w:lang w:val="en-US"/>
        </w:rPr>
        <w:t>Preferred Reporting Items for Systematic reviews and Meta-Analyses extension for Scoping Reviews (PRISMA-</w:t>
      </w:r>
      <w:proofErr w:type="spellStart"/>
      <w:r w:rsidR="00726D76" w:rsidRPr="008D1366">
        <w:rPr>
          <w:rFonts w:ascii="Arial" w:eastAsiaTheme="majorEastAsia" w:hAnsi="Arial" w:cs="Arial"/>
          <w:b/>
          <w:bCs/>
          <w:color w:val="000000"/>
          <w:szCs w:val="20"/>
          <w:lang w:val="en-US"/>
        </w:rPr>
        <w:t>ScR</w:t>
      </w:r>
      <w:proofErr w:type="spellEnd"/>
      <w:r w:rsidR="00726D76" w:rsidRPr="008D1366">
        <w:rPr>
          <w:rFonts w:ascii="Arial" w:eastAsiaTheme="majorEastAsia" w:hAnsi="Arial" w:cs="Arial"/>
          <w:b/>
          <w:bCs/>
          <w:color w:val="000000"/>
          <w:szCs w:val="20"/>
          <w:lang w:val="en-US"/>
        </w:rPr>
        <w:t>) Checklist</w:t>
      </w:r>
    </w:p>
    <w:tbl>
      <w:tblPr>
        <w:tblStyle w:val="TableGridLight1"/>
        <w:tblW w:w="0" w:type="auto"/>
        <w:tblLook w:val="04A0" w:firstRow="1" w:lastRow="0" w:firstColumn="1" w:lastColumn="0" w:noHBand="0" w:noVBand="1"/>
      </w:tblPr>
      <w:tblGrid>
        <w:gridCol w:w="2116"/>
        <w:gridCol w:w="694"/>
        <w:gridCol w:w="5071"/>
        <w:gridCol w:w="1469"/>
      </w:tblGrid>
      <w:tr w:rsidR="00726D76" w:rsidRPr="008D1366" w14:paraId="1B79177F" w14:textId="77777777" w:rsidTr="000408FA">
        <w:trPr>
          <w:tblHeader/>
        </w:trPr>
        <w:tc>
          <w:tcPr>
            <w:tcW w:w="0" w:type="auto"/>
            <w:shd w:val="clear" w:color="auto" w:fill="4472C4" w:themeFill="accent1"/>
            <w:vAlign w:val="center"/>
          </w:tcPr>
          <w:p w14:paraId="18FC0BA2" w14:textId="77777777" w:rsidR="00726D76" w:rsidRPr="008D1366" w:rsidRDefault="00726D76" w:rsidP="000408FA">
            <w:pPr>
              <w:rPr>
                <w:rFonts w:ascii="Arial" w:hAnsi="Arial" w:cs="Arial"/>
                <w:b/>
                <w:color w:val="000000"/>
                <w:sz w:val="20"/>
                <w:szCs w:val="20"/>
                <w:lang w:val="en-US"/>
              </w:rPr>
            </w:pPr>
            <w:r w:rsidRPr="008D1366">
              <w:rPr>
                <w:rFonts w:ascii="Arial" w:hAnsi="Arial" w:cs="Arial"/>
                <w:b/>
                <w:bCs/>
                <w:color w:val="000000"/>
                <w:sz w:val="20"/>
                <w:szCs w:val="20"/>
                <w:lang w:val="en-US"/>
              </w:rPr>
              <w:t>SECTION</w:t>
            </w:r>
          </w:p>
        </w:tc>
        <w:tc>
          <w:tcPr>
            <w:tcW w:w="0" w:type="auto"/>
            <w:shd w:val="clear" w:color="auto" w:fill="4472C4" w:themeFill="accent1"/>
            <w:vAlign w:val="center"/>
          </w:tcPr>
          <w:p w14:paraId="185715E1" w14:textId="77777777" w:rsidR="00726D76" w:rsidRPr="008D1366" w:rsidRDefault="00726D76" w:rsidP="000408FA">
            <w:pPr>
              <w:autoSpaceDE w:val="0"/>
              <w:autoSpaceDN w:val="0"/>
              <w:adjustRightInd w:val="0"/>
              <w:jc w:val="center"/>
              <w:rPr>
                <w:rFonts w:ascii="Arial" w:hAnsi="Arial" w:cs="Arial"/>
                <w:b/>
                <w:color w:val="000000"/>
                <w:sz w:val="20"/>
                <w:szCs w:val="20"/>
                <w:lang w:val="en-US"/>
              </w:rPr>
            </w:pPr>
            <w:r w:rsidRPr="008D1366">
              <w:rPr>
                <w:rFonts w:ascii="Arial" w:hAnsi="Arial" w:cs="Arial"/>
                <w:b/>
                <w:bCs/>
                <w:color w:val="000000"/>
                <w:sz w:val="20"/>
                <w:szCs w:val="20"/>
                <w:lang w:val="en-US"/>
              </w:rPr>
              <w:t>ITEM</w:t>
            </w:r>
          </w:p>
        </w:tc>
        <w:tc>
          <w:tcPr>
            <w:tcW w:w="0" w:type="auto"/>
            <w:shd w:val="clear" w:color="auto" w:fill="4472C4" w:themeFill="accent1"/>
            <w:vAlign w:val="center"/>
          </w:tcPr>
          <w:p w14:paraId="5FEF0BEA" w14:textId="77777777" w:rsidR="00726D76" w:rsidRPr="008D1366" w:rsidRDefault="00726D76" w:rsidP="000408FA">
            <w:pPr>
              <w:rPr>
                <w:rFonts w:ascii="Arial" w:hAnsi="Arial" w:cs="Arial"/>
                <w:b/>
                <w:color w:val="000000"/>
                <w:sz w:val="20"/>
                <w:szCs w:val="20"/>
                <w:lang w:val="en-US"/>
              </w:rPr>
            </w:pPr>
            <w:r w:rsidRPr="008D1366">
              <w:rPr>
                <w:rFonts w:ascii="Arial" w:hAnsi="Arial" w:cs="Arial"/>
                <w:b/>
                <w:color w:val="000000"/>
                <w:sz w:val="20"/>
                <w:szCs w:val="20"/>
                <w:lang w:val="en-US"/>
              </w:rPr>
              <w:t>PRISMA-</w:t>
            </w:r>
            <w:proofErr w:type="spellStart"/>
            <w:r w:rsidRPr="008D1366">
              <w:rPr>
                <w:rFonts w:ascii="Arial" w:hAnsi="Arial" w:cs="Arial"/>
                <w:b/>
                <w:color w:val="000000"/>
                <w:sz w:val="20"/>
                <w:szCs w:val="20"/>
                <w:lang w:val="en-US"/>
              </w:rPr>
              <w:t>ScR</w:t>
            </w:r>
            <w:proofErr w:type="spellEnd"/>
            <w:r w:rsidRPr="008D1366">
              <w:rPr>
                <w:rFonts w:ascii="Arial" w:hAnsi="Arial" w:cs="Arial"/>
                <w:b/>
                <w:color w:val="000000"/>
                <w:sz w:val="20"/>
                <w:szCs w:val="20"/>
                <w:lang w:val="en-US"/>
              </w:rPr>
              <w:t xml:space="preserve"> CHECKLIST ITEM</w:t>
            </w:r>
          </w:p>
        </w:tc>
        <w:tc>
          <w:tcPr>
            <w:tcW w:w="0" w:type="auto"/>
            <w:shd w:val="clear" w:color="auto" w:fill="4472C4" w:themeFill="accent1"/>
            <w:vAlign w:val="center"/>
          </w:tcPr>
          <w:p w14:paraId="70A8EC2B" w14:textId="77777777" w:rsidR="00726D76" w:rsidRPr="008D1366" w:rsidRDefault="00726D76" w:rsidP="000408FA">
            <w:pPr>
              <w:rPr>
                <w:rFonts w:ascii="Arial" w:hAnsi="Arial" w:cs="Arial"/>
                <w:b/>
                <w:color w:val="000000"/>
                <w:sz w:val="20"/>
                <w:szCs w:val="20"/>
                <w:lang w:val="en-US"/>
              </w:rPr>
            </w:pPr>
            <w:r w:rsidRPr="008D1366">
              <w:rPr>
                <w:rFonts w:ascii="Arial" w:hAnsi="Arial" w:cs="Arial"/>
                <w:b/>
                <w:color w:val="000000"/>
                <w:sz w:val="20"/>
                <w:szCs w:val="20"/>
                <w:lang w:val="en-US"/>
              </w:rPr>
              <w:t>REPORTED ON PAGE #</w:t>
            </w:r>
          </w:p>
        </w:tc>
      </w:tr>
      <w:tr w:rsidR="00726D76" w:rsidRPr="008D1366" w14:paraId="5046EAFF" w14:textId="77777777" w:rsidTr="000408FA">
        <w:tc>
          <w:tcPr>
            <w:tcW w:w="0" w:type="auto"/>
            <w:gridSpan w:val="4"/>
            <w:shd w:val="clear" w:color="auto" w:fill="D9E2F3" w:themeFill="accent1" w:themeFillTint="33"/>
            <w:vAlign w:val="center"/>
          </w:tcPr>
          <w:p w14:paraId="0F872FF1" w14:textId="77777777" w:rsidR="00726D76" w:rsidRPr="008D1366" w:rsidRDefault="00726D76" w:rsidP="000408FA">
            <w:pPr>
              <w:rPr>
                <w:rFonts w:ascii="Arial" w:hAnsi="Arial" w:cs="Arial"/>
                <w:b/>
                <w:color w:val="000000"/>
                <w:sz w:val="20"/>
                <w:szCs w:val="20"/>
                <w:lang w:val="en-US"/>
              </w:rPr>
            </w:pPr>
            <w:r w:rsidRPr="008D1366">
              <w:rPr>
                <w:rFonts w:ascii="Arial" w:hAnsi="Arial" w:cs="Arial"/>
                <w:b/>
                <w:color w:val="000000"/>
                <w:sz w:val="20"/>
                <w:szCs w:val="20"/>
                <w:lang w:val="en-US"/>
              </w:rPr>
              <w:t>TITLE</w:t>
            </w:r>
          </w:p>
        </w:tc>
      </w:tr>
      <w:tr w:rsidR="00726D76" w:rsidRPr="008D1366" w14:paraId="4F5A81C9" w14:textId="77777777" w:rsidTr="000408FA">
        <w:tc>
          <w:tcPr>
            <w:tcW w:w="0" w:type="auto"/>
            <w:vAlign w:val="center"/>
          </w:tcPr>
          <w:p w14:paraId="4BB20630"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Title</w:t>
            </w:r>
          </w:p>
        </w:tc>
        <w:tc>
          <w:tcPr>
            <w:tcW w:w="0" w:type="auto"/>
            <w:vAlign w:val="center"/>
          </w:tcPr>
          <w:p w14:paraId="07A43935"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w:t>
            </w:r>
          </w:p>
        </w:tc>
        <w:tc>
          <w:tcPr>
            <w:tcW w:w="0" w:type="auto"/>
            <w:vAlign w:val="center"/>
          </w:tcPr>
          <w:p w14:paraId="42334A98"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Identify the report as a scoping review.</w:t>
            </w:r>
          </w:p>
        </w:tc>
        <w:sdt>
          <w:sdtPr>
            <w:rPr>
              <w:rFonts w:ascii="Arial" w:hAnsi="Arial" w:cs="Arial"/>
              <w:color w:val="000000"/>
              <w:sz w:val="20"/>
              <w:szCs w:val="20"/>
              <w:lang w:val="en-US"/>
            </w:rPr>
            <w:id w:val="-1886790070"/>
            <w:placeholder>
              <w:docPart w:val="E52BD6C10A7948799221860950A88BBB"/>
            </w:placeholder>
          </w:sdtPr>
          <w:sdtEndPr/>
          <w:sdtContent>
            <w:tc>
              <w:tcPr>
                <w:tcW w:w="0" w:type="auto"/>
                <w:vAlign w:val="center"/>
              </w:tcPr>
              <w:p w14:paraId="44C186BB"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1</w:t>
                </w:r>
              </w:p>
            </w:tc>
          </w:sdtContent>
        </w:sdt>
      </w:tr>
      <w:tr w:rsidR="00726D76" w:rsidRPr="008D1366" w14:paraId="3750DCD4" w14:textId="77777777" w:rsidTr="000408FA">
        <w:tc>
          <w:tcPr>
            <w:tcW w:w="0" w:type="auto"/>
            <w:gridSpan w:val="4"/>
            <w:shd w:val="clear" w:color="auto" w:fill="D9E2F3" w:themeFill="accent1" w:themeFillTint="33"/>
            <w:vAlign w:val="center"/>
          </w:tcPr>
          <w:p w14:paraId="5E31CB4B" w14:textId="77777777" w:rsidR="00726D76" w:rsidRPr="008D1366" w:rsidRDefault="00726D76" w:rsidP="000408FA">
            <w:pPr>
              <w:rPr>
                <w:rFonts w:ascii="Arial" w:hAnsi="Arial" w:cs="Arial"/>
                <w:b/>
                <w:color w:val="000000"/>
                <w:sz w:val="20"/>
                <w:szCs w:val="20"/>
                <w:lang w:val="en-US"/>
              </w:rPr>
            </w:pPr>
            <w:r w:rsidRPr="008D1366">
              <w:rPr>
                <w:rFonts w:ascii="Arial" w:hAnsi="Arial" w:cs="Arial"/>
                <w:b/>
                <w:color w:val="000000"/>
                <w:sz w:val="20"/>
                <w:szCs w:val="20"/>
                <w:lang w:val="en-US"/>
              </w:rPr>
              <w:t>ABSTRACT</w:t>
            </w:r>
          </w:p>
        </w:tc>
      </w:tr>
      <w:tr w:rsidR="00726D76" w:rsidRPr="008D1366" w14:paraId="7D51D4F3" w14:textId="77777777" w:rsidTr="000408FA">
        <w:tc>
          <w:tcPr>
            <w:tcW w:w="0" w:type="auto"/>
            <w:vAlign w:val="center"/>
          </w:tcPr>
          <w:p w14:paraId="34349007"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Structured summary</w:t>
            </w:r>
          </w:p>
        </w:tc>
        <w:tc>
          <w:tcPr>
            <w:tcW w:w="0" w:type="auto"/>
            <w:vAlign w:val="center"/>
          </w:tcPr>
          <w:p w14:paraId="5F861C4E"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2</w:t>
            </w:r>
          </w:p>
        </w:tc>
        <w:tc>
          <w:tcPr>
            <w:tcW w:w="0" w:type="auto"/>
            <w:vAlign w:val="center"/>
          </w:tcPr>
          <w:p w14:paraId="36F8CC48"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Provide a structured summary that includes (as applicable): background, objectives, eligibility criteria, sources of evidence, charting methods, results, and conclusions that relate to the review questions and objectives.</w:t>
            </w:r>
          </w:p>
        </w:tc>
        <w:sdt>
          <w:sdtPr>
            <w:rPr>
              <w:rFonts w:ascii="Arial" w:hAnsi="Arial" w:cs="Arial"/>
              <w:color w:val="000000"/>
              <w:sz w:val="20"/>
              <w:szCs w:val="20"/>
              <w:lang w:val="en-US"/>
            </w:rPr>
            <w:id w:val="1190178197"/>
            <w:placeholder>
              <w:docPart w:val="E52BD6C10A7948799221860950A88BBB"/>
            </w:placeholder>
          </w:sdtPr>
          <w:sdtEndPr/>
          <w:sdtContent>
            <w:tc>
              <w:tcPr>
                <w:tcW w:w="0" w:type="auto"/>
                <w:vAlign w:val="center"/>
              </w:tcPr>
              <w:p w14:paraId="01C1A7DF" w14:textId="7C13FAD5"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1,</w:t>
                </w:r>
                <w:r w:rsidR="00726D76" w:rsidRPr="008D1366">
                  <w:rPr>
                    <w:rFonts w:ascii="Arial" w:hAnsi="Arial" w:cs="Arial"/>
                    <w:color w:val="000000"/>
                    <w:sz w:val="20"/>
                    <w:szCs w:val="20"/>
                    <w:lang w:val="en-US"/>
                  </w:rPr>
                  <w:t>2</w:t>
                </w:r>
              </w:p>
            </w:tc>
          </w:sdtContent>
        </w:sdt>
      </w:tr>
      <w:tr w:rsidR="00726D76" w:rsidRPr="008D1366" w14:paraId="4A25694B" w14:textId="77777777" w:rsidTr="000408FA">
        <w:tc>
          <w:tcPr>
            <w:tcW w:w="0" w:type="auto"/>
            <w:gridSpan w:val="4"/>
            <w:shd w:val="clear" w:color="auto" w:fill="D9E2F3" w:themeFill="accent1" w:themeFillTint="33"/>
            <w:vAlign w:val="center"/>
          </w:tcPr>
          <w:p w14:paraId="47635E4C" w14:textId="77777777" w:rsidR="00726D76" w:rsidRPr="008D1366" w:rsidRDefault="00726D76" w:rsidP="000408FA">
            <w:pPr>
              <w:tabs>
                <w:tab w:val="left" w:pos="1774"/>
              </w:tabs>
              <w:rPr>
                <w:rFonts w:ascii="Arial" w:hAnsi="Arial" w:cs="Arial"/>
                <w:b/>
                <w:color w:val="000000"/>
                <w:sz w:val="20"/>
                <w:szCs w:val="20"/>
                <w:lang w:val="en-US"/>
              </w:rPr>
            </w:pPr>
            <w:r w:rsidRPr="008D1366">
              <w:rPr>
                <w:rFonts w:ascii="Arial" w:hAnsi="Arial" w:cs="Arial"/>
                <w:b/>
                <w:color w:val="000000"/>
                <w:sz w:val="20"/>
                <w:szCs w:val="20"/>
                <w:lang w:val="en-US"/>
              </w:rPr>
              <w:t>INTRODUCTION</w:t>
            </w:r>
          </w:p>
        </w:tc>
      </w:tr>
      <w:tr w:rsidR="00726D76" w:rsidRPr="008D1366" w14:paraId="5153DD2C" w14:textId="77777777" w:rsidTr="000408FA">
        <w:trPr>
          <w:trHeight w:val="530"/>
        </w:trPr>
        <w:tc>
          <w:tcPr>
            <w:tcW w:w="0" w:type="auto"/>
            <w:vAlign w:val="center"/>
          </w:tcPr>
          <w:p w14:paraId="18453A5D"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Rationale</w:t>
            </w:r>
          </w:p>
        </w:tc>
        <w:tc>
          <w:tcPr>
            <w:tcW w:w="0" w:type="auto"/>
            <w:vAlign w:val="center"/>
          </w:tcPr>
          <w:p w14:paraId="32DCCCA4"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3</w:t>
            </w:r>
          </w:p>
        </w:tc>
        <w:tc>
          <w:tcPr>
            <w:tcW w:w="0" w:type="auto"/>
            <w:vAlign w:val="center"/>
          </w:tcPr>
          <w:p w14:paraId="5BA374A9"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Describe the rationale for the review in the context of what is already known. Explain why the review questions/objectives lend themselves to a scoping review approach.</w:t>
            </w:r>
          </w:p>
        </w:tc>
        <w:sdt>
          <w:sdtPr>
            <w:rPr>
              <w:rFonts w:ascii="Arial" w:hAnsi="Arial" w:cs="Arial"/>
              <w:color w:val="000000"/>
              <w:sz w:val="20"/>
              <w:szCs w:val="20"/>
              <w:lang w:val="en-US"/>
            </w:rPr>
            <w:id w:val="56057269"/>
            <w:placeholder>
              <w:docPart w:val="E52BD6C10A7948799221860950A88BBB"/>
            </w:placeholder>
          </w:sdtPr>
          <w:sdtEndPr/>
          <w:sdtContent>
            <w:tc>
              <w:tcPr>
                <w:tcW w:w="0" w:type="auto"/>
                <w:vAlign w:val="center"/>
              </w:tcPr>
              <w:p w14:paraId="28BF635E" w14:textId="6435F7D8"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2</w:t>
                </w:r>
              </w:p>
            </w:tc>
          </w:sdtContent>
        </w:sdt>
      </w:tr>
      <w:tr w:rsidR="00726D76" w:rsidRPr="008D1366" w14:paraId="764F3C5A" w14:textId="77777777" w:rsidTr="000408FA">
        <w:trPr>
          <w:trHeight w:val="800"/>
        </w:trPr>
        <w:tc>
          <w:tcPr>
            <w:tcW w:w="0" w:type="auto"/>
            <w:vAlign w:val="center"/>
          </w:tcPr>
          <w:p w14:paraId="1958BA87"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Objectives</w:t>
            </w:r>
          </w:p>
        </w:tc>
        <w:tc>
          <w:tcPr>
            <w:tcW w:w="0" w:type="auto"/>
            <w:vAlign w:val="center"/>
          </w:tcPr>
          <w:p w14:paraId="7BF882D7"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4</w:t>
            </w:r>
          </w:p>
        </w:tc>
        <w:tc>
          <w:tcPr>
            <w:tcW w:w="0" w:type="auto"/>
            <w:vAlign w:val="center"/>
          </w:tcPr>
          <w:p w14:paraId="07C05BFC"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color w:val="000000"/>
              <w:sz w:val="20"/>
              <w:szCs w:val="20"/>
              <w:lang w:val="en-US"/>
            </w:rPr>
            <w:id w:val="-1797599034"/>
            <w:placeholder>
              <w:docPart w:val="E52BD6C10A7948799221860950A88BBB"/>
            </w:placeholder>
          </w:sdtPr>
          <w:sdtEndPr/>
          <w:sdtContent>
            <w:tc>
              <w:tcPr>
                <w:tcW w:w="0" w:type="auto"/>
                <w:vAlign w:val="center"/>
              </w:tcPr>
              <w:p w14:paraId="799578FB" w14:textId="1DB047A9"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2</w:t>
                </w:r>
              </w:p>
            </w:tc>
          </w:sdtContent>
        </w:sdt>
      </w:tr>
      <w:tr w:rsidR="00726D76" w:rsidRPr="008D1366" w14:paraId="07E10684" w14:textId="77777777" w:rsidTr="000408FA">
        <w:tc>
          <w:tcPr>
            <w:tcW w:w="0" w:type="auto"/>
            <w:gridSpan w:val="4"/>
            <w:shd w:val="clear" w:color="auto" w:fill="D9E2F3" w:themeFill="accent1" w:themeFillTint="33"/>
            <w:vAlign w:val="center"/>
          </w:tcPr>
          <w:p w14:paraId="58CB3C9C" w14:textId="77777777" w:rsidR="00726D76" w:rsidRPr="008D1366" w:rsidRDefault="00726D76" w:rsidP="000408FA">
            <w:pPr>
              <w:rPr>
                <w:rFonts w:ascii="Arial" w:hAnsi="Arial" w:cs="Arial"/>
                <w:b/>
                <w:color w:val="000000"/>
                <w:sz w:val="20"/>
                <w:szCs w:val="20"/>
                <w:lang w:val="en-US"/>
              </w:rPr>
            </w:pPr>
            <w:r w:rsidRPr="008D1366">
              <w:rPr>
                <w:rFonts w:ascii="Arial" w:hAnsi="Arial" w:cs="Arial"/>
                <w:b/>
                <w:color w:val="000000"/>
                <w:sz w:val="20"/>
                <w:szCs w:val="20"/>
                <w:lang w:val="en-US"/>
              </w:rPr>
              <w:t>METHODS</w:t>
            </w:r>
          </w:p>
        </w:tc>
      </w:tr>
      <w:tr w:rsidR="00726D76" w:rsidRPr="008D1366" w14:paraId="19813049" w14:textId="77777777" w:rsidTr="000408FA">
        <w:tc>
          <w:tcPr>
            <w:tcW w:w="0" w:type="auto"/>
            <w:vAlign w:val="center"/>
          </w:tcPr>
          <w:p w14:paraId="5EC3A143"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Protocol and registration</w:t>
            </w:r>
          </w:p>
        </w:tc>
        <w:tc>
          <w:tcPr>
            <w:tcW w:w="0" w:type="auto"/>
            <w:vAlign w:val="center"/>
          </w:tcPr>
          <w:p w14:paraId="120E60BC"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5</w:t>
            </w:r>
          </w:p>
        </w:tc>
        <w:tc>
          <w:tcPr>
            <w:tcW w:w="0" w:type="auto"/>
            <w:vAlign w:val="center"/>
          </w:tcPr>
          <w:p w14:paraId="4CA1B429"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Indicate whether a review protocol exists; state if and where it can be accessed (e.g., a Web address); and if available, provide registration information, including the registration number.</w:t>
            </w:r>
          </w:p>
        </w:tc>
        <w:sdt>
          <w:sdtPr>
            <w:rPr>
              <w:rFonts w:ascii="Arial" w:hAnsi="Arial" w:cs="Arial"/>
              <w:color w:val="000000"/>
              <w:sz w:val="20"/>
              <w:szCs w:val="20"/>
              <w:lang w:val="en-US"/>
            </w:rPr>
            <w:id w:val="-1888323895"/>
            <w:placeholder>
              <w:docPart w:val="E52BD6C10A7948799221860950A88BBB"/>
            </w:placeholder>
          </w:sdtPr>
          <w:sdtEndPr/>
          <w:sdtContent>
            <w:tc>
              <w:tcPr>
                <w:tcW w:w="0" w:type="auto"/>
                <w:vAlign w:val="center"/>
              </w:tcPr>
              <w:p w14:paraId="728954A5"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w:t>
                </w:r>
              </w:p>
            </w:tc>
          </w:sdtContent>
        </w:sdt>
      </w:tr>
      <w:tr w:rsidR="00726D76" w:rsidRPr="008D1366" w14:paraId="4126FE4E" w14:textId="77777777" w:rsidTr="000408FA">
        <w:tc>
          <w:tcPr>
            <w:tcW w:w="0" w:type="auto"/>
            <w:vAlign w:val="center"/>
          </w:tcPr>
          <w:p w14:paraId="0C261B31"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Eligibility criteria</w:t>
            </w:r>
          </w:p>
        </w:tc>
        <w:tc>
          <w:tcPr>
            <w:tcW w:w="0" w:type="auto"/>
            <w:vAlign w:val="center"/>
          </w:tcPr>
          <w:p w14:paraId="2CEDE2E5"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6</w:t>
            </w:r>
          </w:p>
        </w:tc>
        <w:tc>
          <w:tcPr>
            <w:tcW w:w="0" w:type="auto"/>
            <w:vAlign w:val="center"/>
          </w:tcPr>
          <w:p w14:paraId="3D263898"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Specify characteristics of the sources of evidence used as eligibility criteria (e.g., years considered, language, and publication status), and provide a rationale.</w:t>
            </w:r>
          </w:p>
        </w:tc>
        <w:tc>
          <w:tcPr>
            <w:tcW w:w="0" w:type="auto"/>
            <w:vAlign w:val="center"/>
          </w:tcPr>
          <w:p w14:paraId="7E55EB0B" w14:textId="59D8F5DF"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2-3</w:t>
            </w:r>
          </w:p>
        </w:tc>
      </w:tr>
      <w:tr w:rsidR="00726D76" w:rsidRPr="008D1366" w14:paraId="53D80532" w14:textId="77777777" w:rsidTr="000408FA">
        <w:trPr>
          <w:trHeight w:val="260"/>
        </w:trPr>
        <w:tc>
          <w:tcPr>
            <w:tcW w:w="0" w:type="auto"/>
            <w:vAlign w:val="center"/>
          </w:tcPr>
          <w:p w14:paraId="0FF6D32D"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Information sources*</w:t>
            </w:r>
          </w:p>
        </w:tc>
        <w:tc>
          <w:tcPr>
            <w:tcW w:w="0" w:type="auto"/>
            <w:vAlign w:val="center"/>
          </w:tcPr>
          <w:p w14:paraId="0B101ADA"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7</w:t>
            </w:r>
          </w:p>
        </w:tc>
        <w:tc>
          <w:tcPr>
            <w:tcW w:w="0" w:type="auto"/>
            <w:vAlign w:val="center"/>
          </w:tcPr>
          <w:p w14:paraId="03E2C4D6"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Describe all information sources in the search (e.g., databases with dates of coverage and contact with authors to identify additional sources), as well as the date the most recent search was executed.</w:t>
            </w:r>
          </w:p>
        </w:tc>
        <w:sdt>
          <w:sdtPr>
            <w:rPr>
              <w:rFonts w:ascii="Arial" w:hAnsi="Arial" w:cs="Arial"/>
              <w:color w:val="000000"/>
              <w:sz w:val="20"/>
              <w:szCs w:val="20"/>
              <w:lang w:val="en-US"/>
            </w:rPr>
            <w:id w:val="1510949160"/>
            <w:placeholder>
              <w:docPart w:val="E52BD6C10A7948799221860950A88BBB"/>
            </w:placeholder>
          </w:sdtPr>
          <w:sdtEndPr/>
          <w:sdtContent>
            <w:tc>
              <w:tcPr>
                <w:tcW w:w="0" w:type="auto"/>
                <w:vAlign w:val="center"/>
              </w:tcPr>
              <w:p w14:paraId="2DA5FC97" w14:textId="41B006EE"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3</w:t>
                </w:r>
              </w:p>
            </w:tc>
          </w:sdtContent>
        </w:sdt>
      </w:tr>
      <w:tr w:rsidR="00726D76" w:rsidRPr="008D1366" w14:paraId="3843BCAB" w14:textId="77777777" w:rsidTr="000408FA">
        <w:tc>
          <w:tcPr>
            <w:tcW w:w="0" w:type="auto"/>
            <w:vAlign w:val="center"/>
          </w:tcPr>
          <w:p w14:paraId="214C2EED"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Search</w:t>
            </w:r>
          </w:p>
        </w:tc>
        <w:tc>
          <w:tcPr>
            <w:tcW w:w="0" w:type="auto"/>
            <w:vAlign w:val="center"/>
          </w:tcPr>
          <w:p w14:paraId="02B0F2D3"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8</w:t>
            </w:r>
          </w:p>
        </w:tc>
        <w:tc>
          <w:tcPr>
            <w:tcW w:w="0" w:type="auto"/>
            <w:vAlign w:val="center"/>
          </w:tcPr>
          <w:p w14:paraId="59602905"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Present the full electronic search strategy for at least 1 database, including any limits used, such that it could be repeated.</w:t>
            </w:r>
          </w:p>
        </w:tc>
        <w:sdt>
          <w:sdtPr>
            <w:rPr>
              <w:rFonts w:ascii="Arial" w:hAnsi="Arial" w:cs="Arial"/>
              <w:color w:val="000000"/>
              <w:sz w:val="20"/>
              <w:szCs w:val="20"/>
              <w:lang w:val="en-US"/>
            </w:rPr>
            <w:id w:val="964171142"/>
            <w:placeholder>
              <w:docPart w:val="E52BD6C10A7948799221860950A88BBB"/>
            </w:placeholder>
          </w:sdtPr>
          <w:sdtEndPr/>
          <w:sdtContent>
            <w:tc>
              <w:tcPr>
                <w:tcW w:w="0" w:type="auto"/>
                <w:vAlign w:val="center"/>
              </w:tcPr>
              <w:p w14:paraId="591290A4" w14:textId="060428F6"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3-4</w:t>
                </w:r>
              </w:p>
            </w:tc>
          </w:sdtContent>
        </w:sdt>
      </w:tr>
      <w:tr w:rsidR="00726D76" w:rsidRPr="008D1366" w14:paraId="48E84800" w14:textId="77777777" w:rsidTr="000408FA">
        <w:tc>
          <w:tcPr>
            <w:tcW w:w="0" w:type="auto"/>
            <w:vAlign w:val="center"/>
          </w:tcPr>
          <w:p w14:paraId="19A9C4D7"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Selection of sources of evidence†</w:t>
            </w:r>
          </w:p>
        </w:tc>
        <w:tc>
          <w:tcPr>
            <w:tcW w:w="0" w:type="auto"/>
            <w:vAlign w:val="center"/>
          </w:tcPr>
          <w:p w14:paraId="20F121FB"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9</w:t>
            </w:r>
          </w:p>
        </w:tc>
        <w:tc>
          <w:tcPr>
            <w:tcW w:w="0" w:type="auto"/>
            <w:vAlign w:val="center"/>
          </w:tcPr>
          <w:p w14:paraId="5DB164A9"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State the process for selecting sources of evidence (i.e., screening and eligibility) included in the scoping review.</w:t>
            </w:r>
          </w:p>
        </w:tc>
        <w:tc>
          <w:tcPr>
            <w:tcW w:w="0" w:type="auto"/>
            <w:vAlign w:val="center"/>
          </w:tcPr>
          <w:p w14:paraId="796F965C" w14:textId="6A6A632F"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3-4</w:t>
            </w:r>
          </w:p>
        </w:tc>
      </w:tr>
      <w:tr w:rsidR="00726D76" w:rsidRPr="008D1366" w14:paraId="29BF12AA" w14:textId="77777777" w:rsidTr="000408FA">
        <w:tc>
          <w:tcPr>
            <w:tcW w:w="0" w:type="auto"/>
            <w:vAlign w:val="center"/>
          </w:tcPr>
          <w:p w14:paraId="121EF627"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Data charting process‡</w:t>
            </w:r>
          </w:p>
        </w:tc>
        <w:tc>
          <w:tcPr>
            <w:tcW w:w="0" w:type="auto"/>
            <w:vAlign w:val="center"/>
          </w:tcPr>
          <w:p w14:paraId="48D5FAF4"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10</w:t>
            </w:r>
          </w:p>
        </w:tc>
        <w:tc>
          <w:tcPr>
            <w:tcW w:w="0" w:type="auto"/>
            <w:vAlign w:val="center"/>
          </w:tcPr>
          <w:p w14:paraId="540932BD"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tc>
          <w:tcPr>
            <w:tcW w:w="0" w:type="auto"/>
            <w:vAlign w:val="center"/>
          </w:tcPr>
          <w:p w14:paraId="7FEC5D2A" w14:textId="79D0BC6C"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3-4</w:t>
            </w:r>
          </w:p>
        </w:tc>
      </w:tr>
      <w:tr w:rsidR="00726D76" w:rsidRPr="008D1366" w14:paraId="71871FDC" w14:textId="77777777" w:rsidTr="000408FA">
        <w:trPr>
          <w:trHeight w:val="260"/>
        </w:trPr>
        <w:tc>
          <w:tcPr>
            <w:tcW w:w="0" w:type="auto"/>
            <w:vAlign w:val="center"/>
          </w:tcPr>
          <w:p w14:paraId="223BC7B8"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Data items</w:t>
            </w:r>
          </w:p>
        </w:tc>
        <w:tc>
          <w:tcPr>
            <w:tcW w:w="0" w:type="auto"/>
            <w:vAlign w:val="center"/>
          </w:tcPr>
          <w:p w14:paraId="6A69AE04"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11</w:t>
            </w:r>
          </w:p>
        </w:tc>
        <w:tc>
          <w:tcPr>
            <w:tcW w:w="0" w:type="auto"/>
            <w:vAlign w:val="center"/>
          </w:tcPr>
          <w:p w14:paraId="7345B6ED"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List and define all variables for which data were sought and any assumptions and simplifications made.</w:t>
            </w:r>
          </w:p>
        </w:tc>
        <w:sdt>
          <w:sdtPr>
            <w:rPr>
              <w:rFonts w:ascii="Arial" w:hAnsi="Arial" w:cs="Arial"/>
              <w:color w:val="000000"/>
              <w:sz w:val="20"/>
              <w:szCs w:val="20"/>
              <w:lang w:val="en-US"/>
            </w:rPr>
            <w:id w:val="667444934"/>
            <w:placeholder>
              <w:docPart w:val="E52BD6C10A7948799221860950A88BBB"/>
            </w:placeholder>
          </w:sdtPr>
          <w:sdtEndPr/>
          <w:sdtContent>
            <w:tc>
              <w:tcPr>
                <w:tcW w:w="0" w:type="auto"/>
                <w:vAlign w:val="center"/>
              </w:tcPr>
              <w:p w14:paraId="54879C61" w14:textId="3E947DB6"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3</w:t>
                </w:r>
              </w:p>
            </w:tc>
          </w:sdtContent>
        </w:sdt>
      </w:tr>
      <w:tr w:rsidR="00726D76" w:rsidRPr="008D1366" w14:paraId="5A22C5F8" w14:textId="77777777" w:rsidTr="000408FA">
        <w:tc>
          <w:tcPr>
            <w:tcW w:w="0" w:type="auto"/>
            <w:vAlign w:val="center"/>
          </w:tcPr>
          <w:p w14:paraId="67DE26F7"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Critical appraisal of individual sources of evidence§</w:t>
            </w:r>
          </w:p>
        </w:tc>
        <w:tc>
          <w:tcPr>
            <w:tcW w:w="0" w:type="auto"/>
            <w:vAlign w:val="center"/>
          </w:tcPr>
          <w:p w14:paraId="5089CF3C"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12</w:t>
            </w:r>
          </w:p>
        </w:tc>
        <w:tc>
          <w:tcPr>
            <w:tcW w:w="0" w:type="auto"/>
            <w:vAlign w:val="center"/>
          </w:tcPr>
          <w:p w14:paraId="51E01427"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If done, provide a rationale for conducting a critical appraisal of included sources of evidence; describe the methods used and how this information was used in any data synthesis (if appropriate).</w:t>
            </w:r>
          </w:p>
        </w:tc>
        <w:sdt>
          <w:sdtPr>
            <w:rPr>
              <w:rFonts w:ascii="Arial" w:hAnsi="Arial" w:cs="Arial"/>
              <w:color w:val="000000"/>
              <w:sz w:val="20"/>
              <w:szCs w:val="20"/>
              <w:lang w:val="en-US"/>
            </w:rPr>
            <w:id w:val="-336618198"/>
            <w:placeholder>
              <w:docPart w:val="E52BD6C10A7948799221860950A88BBB"/>
            </w:placeholder>
          </w:sdtPr>
          <w:sdtEndPr/>
          <w:sdtContent>
            <w:tc>
              <w:tcPr>
                <w:tcW w:w="0" w:type="auto"/>
                <w:vAlign w:val="center"/>
              </w:tcPr>
              <w:p w14:paraId="1C71F077" w14:textId="770A0AF6"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8</w:t>
                </w:r>
              </w:p>
            </w:tc>
          </w:sdtContent>
        </w:sdt>
      </w:tr>
      <w:tr w:rsidR="00726D76" w:rsidRPr="008D1366" w14:paraId="61529B4E" w14:textId="77777777" w:rsidTr="000408FA">
        <w:tc>
          <w:tcPr>
            <w:tcW w:w="0" w:type="auto"/>
            <w:vAlign w:val="center"/>
          </w:tcPr>
          <w:p w14:paraId="0311928A"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lastRenderedPageBreak/>
              <w:t>Synthesis of results</w:t>
            </w:r>
          </w:p>
        </w:tc>
        <w:tc>
          <w:tcPr>
            <w:tcW w:w="0" w:type="auto"/>
            <w:vAlign w:val="center"/>
          </w:tcPr>
          <w:p w14:paraId="542F6AA2"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13</w:t>
            </w:r>
          </w:p>
        </w:tc>
        <w:tc>
          <w:tcPr>
            <w:tcW w:w="0" w:type="auto"/>
            <w:vAlign w:val="center"/>
          </w:tcPr>
          <w:p w14:paraId="3A1AB307"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Describe the methods of handling and summarizing the data that were charted.</w:t>
            </w:r>
          </w:p>
        </w:tc>
        <w:tc>
          <w:tcPr>
            <w:tcW w:w="0" w:type="auto"/>
            <w:vAlign w:val="center"/>
          </w:tcPr>
          <w:p w14:paraId="2D52ECC9"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4-5</w:t>
            </w:r>
          </w:p>
        </w:tc>
      </w:tr>
      <w:tr w:rsidR="00726D76" w:rsidRPr="008D1366" w14:paraId="27A3ECE5" w14:textId="77777777" w:rsidTr="000408FA">
        <w:tc>
          <w:tcPr>
            <w:tcW w:w="0" w:type="auto"/>
            <w:gridSpan w:val="4"/>
            <w:shd w:val="clear" w:color="auto" w:fill="D9E2F3" w:themeFill="accent1" w:themeFillTint="33"/>
            <w:vAlign w:val="center"/>
          </w:tcPr>
          <w:p w14:paraId="391CF9B2" w14:textId="77777777" w:rsidR="00726D76" w:rsidRPr="008D1366" w:rsidRDefault="00726D76" w:rsidP="000408FA">
            <w:pPr>
              <w:rPr>
                <w:rFonts w:ascii="Arial" w:hAnsi="Arial" w:cs="Arial"/>
                <w:b/>
                <w:color w:val="000000"/>
                <w:sz w:val="20"/>
                <w:szCs w:val="20"/>
                <w:lang w:val="en-US"/>
              </w:rPr>
            </w:pPr>
            <w:r w:rsidRPr="008D1366">
              <w:rPr>
                <w:rFonts w:ascii="Arial" w:hAnsi="Arial" w:cs="Arial"/>
                <w:b/>
                <w:color w:val="000000"/>
                <w:sz w:val="20"/>
                <w:szCs w:val="20"/>
                <w:lang w:val="en-US"/>
              </w:rPr>
              <w:t>RESULTS</w:t>
            </w:r>
          </w:p>
        </w:tc>
      </w:tr>
      <w:tr w:rsidR="00726D76" w:rsidRPr="008D1366" w14:paraId="09A790AE" w14:textId="77777777" w:rsidTr="000408FA">
        <w:tc>
          <w:tcPr>
            <w:tcW w:w="0" w:type="auto"/>
            <w:vAlign w:val="center"/>
          </w:tcPr>
          <w:p w14:paraId="56C3CEC1"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Selection of sources of evidence</w:t>
            </w:r>
          </w:p>
        </w:tc>
        <w:tc>
          <w:tcPr>
            <w:tcW w:w="0" w:type="auto"/>
            <w:vAlign w:val="center"/>
          </w:tcPr>
          <w:p w14:paraId="30DF997B"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14</w:t>
            </w:r>
          </w:p>
        </w:tc>
        <w:tc>
          <w:tcPr>
            <w:tcW w:w="0" w:type="auto"/>
            <w:vAlign w:val="center"/>
          </w:tcPr>
          <w:p w14:paraId="0D0FD595"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Give numbers of sources of evidence screened, assessed for eligibility, and included in the review, with reasons for exclusions at each stage, ideally using a flow diagram.</w:t>
            </w:r>
          </w:p>
        </w:tc>
        <w:tc>
          <w:tcPr>
            <w:tcW w:w="0" w:type="auto"/>
            <w:vAlign w:val="center"/>
          </w:tcPr>
          <w:p w14:paraId="33817D10" w14:textId="7F818BF1"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4</w:t>
            </w:r>
          </w:p>
        </w:tc>
      </w:tr>
      <w:tr w:rsidR="00726D76" w:rsidRPr="008D1366" w14:paraId="6465634F" w14:textId="77777777" w:rsidTr="000408FA">
        <w:tc>
          <w:tcPr>
            <w:tcW w:w="0" w:type="auto"/>
            <w:vAlign w:val="center"/>
          </w:tcPr>
          <w:p w14:paraId="7C6609B9"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Characteristics of sources of evidence</w:t>
            </w:r>
          </w:p>
        </w:tc>
        <w:tc>
          <w:tcPr>
            <w:tcW w:w="0" w:type="auto"/>
            <w:vAlign w:val="center"/>
          </w:tcPr>
          <w:p w14:paraId="718FE5FB"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15</w:t>
            </w:r>
          </w:p>
        </w:tc>
        <w:tc>
          <w:tcPr>
            <w:tcW w:w="0" w:type="auto"/>
            <w:vAlign w:val="center"/>
          </w:tcPr>
          <w:p w14:paraId="3876BE0D"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For each source of evidence, present characteristics for which data were charted and provide the citations.</w:t>
            </w:r>
          </w:p>
        </w:tc>
        <w:sdt>
          <w:sdtPr>
            <w:rPr>
              <w:rFonts w:ascii="Arial" w:hAnsi="Arial" w:cs="Arial"/>
              <w:color w:val="000000"/>
              <w:sz w:val="20"/>
              <w:szCs w:val="20"/>
              <w:lang w:val="en-US"/>
            </w:rPr>
            <w:id w:val="-137040765"/>
            <w:placeholder>
              <w:docPart w:val="E52BD6C10A7948799221860950A88BBB"/>
            </w:placeholder>
          </w:sdtPr>
          <w:sdtEndPr/>
          <w:sdtContent>
            <w:tc>
              <w:tcPr>
                <w:tcW w:w="0" w:type="auto"/>
                <w:vAlign w:val="center"/>
              </w:tcPr>
              <w:p w14:paraId="3E65D9E8" w14:textId="5CCCD9D1"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5-8</w:t>
                </w:r>
              </w:p>
            </w:tc>
          </w:sdtContent>
        </w:sdt>
      </w:tr>
      <w:tr w:rsidR="00726D76" w:rsidRPr="008D1366" w14:paraId="419B2772" w14:textId="77777777" w:rsidTr="000408FA">
        <w:tc>
          <w:tcPr>
            <w:tcW w:w="0" w:type="auto"/>
            <w:vAlign w:val="center"/>
          </w:tcPr>
          <w:p w14:paraId="209FB939"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Critical appraisal within sources of evidence</w:t>
            </w:r>
          </w:p>
        </w:tc>
        <w:tc>
          <w:tcPr>
            <w:tcW w:w="0" w:type="auto"/>
            <w:vAlign w:val="center"/>
          </w:tcPr>
          <w:p w14:paraId="2A918C49"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16</w:t>
            </w:r>
          </w:p>
        </w:tc>
        <w:tc>
          <w:tcPr>
            <w:tcW w:w="0" w:type="auto"/>
            <w:vAlign w:val="center"/>
          </w:tcPr>
          <w:p w14:paraId="2CBF986C"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If done, present data on critical appraisal of included sources of evidence (see item 12).</w:t>
            </w:r>
          </w:p>
        </w:tc>
        <w:sdt>
          <w:sdtPr>
            <w:rPr>
              <w:rFonts w:ascii="Arial" w:hAnsi="Arial" w:cs="Arial"/>
              <w:color w:val="000000"/>
              <w:sz w:val="20"/>
              <w:szCs w:val="20"/>
              <w:lang w:val="en-US"/>
            </w:rPr>
            <w:id w:val="945268124"/>
            <w:placeholder>
              <w:docPart w:val="E52BD6C10A7948799221860950A88BBB"/>
            </w:placeholder>
          </w:sdtPr>
          <w:sdtEndPr/>
          <w:sdtContent>
            <w:tc>
              <w:tcPr>
                <w:tcW w:w="0" w:type="auto"/>
                <w:vAlign w:val="center"/>
              </w:tcPr>
              <w:p w14:paraId="4D474126" w14:textId="6A00142C"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1</w:t>
                </w:r>
                <w:r w:rsidR="00E53D55">
                  <w:rPr>
                    <w:rFonts w:ascii="Arial" w:hAnsi="Arial" w:cs="Arial"/>
                    <w:color w:val="000000"/>
                    <w:sz w:val="20"/>
                    <w:szCs w:val="20"/>
                    <w:lang w:val="en-US"/>
                  </w:rPr>
                  <w:t>0</w:t>
                </w:r>
              </w:p>
            </w:tc>
          </w:sdtContent>
        </w:sdt>
      </w:tr>
      <w:tr w:rsidR="00726D76" w:rsidRPr="008D1366" w14:paraId="78E1FD25" w14:textId="77777777" w:rsidTr="000408FA">
        <w:tc>
          <w:tcPr>
            <w:tcW w:w="0" w:type="auto"/>
            <w:vAlign w:val="center"/>
          </w:tcPr>
          <w:p w14:paraId="784515AE"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Results of individual sources of evidence</w:t>
            </w:r>
          </w:p>
        </w:tc>
        <w:tc>
          <w:tcPr>
            <w:tcW w:w="0" w:type="auto"/>
            <w:vAlign w:val="center"/>
          </w:tcPr>
          <w:p w14:paraId="0D5DA92D"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17</w:t>
            </w:r>
          </w:p>
        </w:tc>
        <w:tc>
          <w:tcPr>
            <w:tcW w:w="0" w:type="auto"/>
            <w:vAlign w:val="center"/>
          </w:tcPr>
          <w:p w14:paraId="5D2FEBA7"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For each included source of evidence, present the relevant data that were charted that relate to the review questions and objectives.</w:t>
            </w:r>
          </w:p>
        </w:tc>
        <w:tc>
          <w:tcPr>
            <w:tcW w:w="0" w:type="auto"/>
            <w:vAlign w:val="center"/>
          </w:tcPr>
          <w:p w14:paraId="12704A60" w14:textId="5199B474"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6-</w:t>
            </w:r>
            <w:r w:rsidR="00E53D55">
              <w:rPr>
                <w:rFonts w:ascii="Arial" w:hAnsi="Arial" w:cs="Arial"/>
                <w:color w:val="000000"/>
                <w:sz w:val="20"/>
                <w:szCs w:val="20"/>
                <w:lang w:val="en-US"/>
              </w:rPr>
              <w:t>8</w:t>
            </w:r>
          </w:p>
        </w:tc>
      </w:tr>
      <w:tr w:rsidR="00726D76" w:rsidRPr="008D1366" w14:paraId="004652D2" w14:textId="77777777" w:rsidTr="000408FA">
        <w:tc>
          <w:tcPr>
            <w:tcW w:w="0" w:type="auto"/>
            <w:vAlign w:val="center"/>
          </w:tcPr>
          <w:p w14:paraId="10B95E18"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Synthesis of results</w:t>
            </w:r>
          </w:p>
        </w:tc>
        <w:tc>
          <w:tcPr>
            <w:tcW w:w="0" w:type="auto"/>
            <w:vAlign w:val="center"/>
          </w:tcPr>
          <w:p w14:paraId="325B76B1"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18</w:t>
            </w:r>
          </w:p>
        </w:tc>
        <w:tc>
          <w:tcPr>
            <w:tcW w:w="0" w:type="auto"/>
            <w:vAlign w:val="center"/>
          </w:tcPr>
          <w:p w14:paraId="79E53213"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Summarize and/or present the charting results as they relate to the review questions and objectives.</w:t>
            </w:r>
          </w:p>
        </w:tc>
        <w:tc>
          <w:tcPr>
            <w:tcW w:w="0" w:type="auto"/>
            <w:vAlign w:val="center"/>
          </w:tcPr>
          <w:p w14:paraId="68BEF192" w14:textId="3E4A1C78"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4</w:t>
            </w:r>
          </w:p>
        </w:tc>
      </w:tr>
      <w:tr w:rsidR="00726D76" w:rsidRPr="008D1366" w14:paraId="5A1B7D92" w14:textId="77777777" w:rsidTr="000408FA">
        <w:tc>
          <w:tcPr>
            <w:tcW w:w="0" w:type="auto"/>
            <w:gridSpan w:val="4"/>
            <w:shd w:val="clear" w:color="auto" w:fill="D9E2F3" w:themeFill="accent1" w:themeFillTint="33"/>
            <w:vAlign w:val="center"/>
          </w:tcPr>
          <w:p w14:paraId="24E40188" w14:textId="77777777" w:rsidR="00726D76" w:rsidRPr="008D1366" w:rsidRDefault="00726D76" w:rsidP="000408FA">
            <w:pPr>
              <w:rPr>
                <w:rFonts w:ascii="Arial" w:hAnsi="Arial" w:cs="Arial"/>
                <w:b/>
                <w:color w:val="000000"/>
                <w:sz w:val="20"/>
                <w:szCs w:val="20"/>
                <w:lang w:val="en-US"/>
              </w:rPr>
            </w:pPr>
            <w:r w:rsidRPr="008D1366">
              <w:rPr>
                <w:rFonts w:ascii="Arial" w:hAnsi="Arial" w:cs="Arial"/>
                <w:b/>
                <w:color w:val="000000"/>
                <w:sz w:val="20"/>
                <w:szCs w:val="20"/>
                <w:lang w:val="en-US"/>
              </w:rPr>
              <w:t>DISCUSSION</w:t>
            </w:r>
          </w:p>
        </w:tc>
      </w:tr>
      <w:tr w:rsidR="00726D76" w:rsidRPr="008D1366" w14:paraId="3F3DF13F" w14:textId="77777777" w:rsidTr="000408FA">
        <w:tc>
          <w:tcPr>
            <w:tcW w:w="0" w:type="auto"/>
            <w:vAlign w:val="center"/>
          </w:tcPr>
          <w:p w14:paraId="6BAD36FC"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Summary of evidence</w:t>
            </w:r>
          </w:p>
        </w:tc>
        <w:tc>
          <w:tcPr>
            <w:tcW w:w="0" w:type="auto"/>
            <w:vAlign w:val="center"/>
          </w:tcPr>
          <w:p w14:paraId="6F233F6E"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19</w:t>
            </w:r>
          </w:p>
        </w:tc>
        <w:tc>
          <w:tcPr>
            <w:tcW w:w="0" w:type="auto"/>
            <w:vAlign w:val="center"/>
          </w:tcPr>
          <w:p w14:paraId="36454FBB"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Summarize the main results (including an overview of concepts, themes, and types of evidence available), link to the review questions and objectives, and consider the relevance to key groups.</w:t>
            </w:r>
          </w:p>
        </w:tc>
        <w:sdt>
          <w:sdtPr>
            <w:rPr>
              <w:rFonts w:ascii="Arial" w:hAnsi="Arial" w:cs="Arial"/>
              <w:color w:val="000000"/>
              <w:sz w:val="20"/>
              <w:szCs w:val="20"/>
              <w:lang w:val="en-US"/>
            </w:rPr>
            <w:id w:val="1890606668"/>
            <w:placeholder>
              <w:docPart w:val="E52BD6C10A7948799221860950A88BBB"/>
            </w:placeholder>
          </w:sdtPr>
          <w:sdtEndPr/>
          <w:sdtContent>
            <w:tc>
              <w:tcPr>
                <w:tcW w:w="0" w:type="auto"/>
                <w:vAlign w:val="center"/>
              </w:tcPr>
              <w:p w14:paraId="1C107AA6" w14:textId="613CBACD" w:rsidR="00726D76" w:rsidRPr="008D1366" w:rsidRDefault="00E53D55" w:rsidP="000408FA">
                <w:pPr>
                  <w:rPr>
                    <w:rFonts w:ascii="Arial" w:hAnsi="Arial" w:cs="Arial"/>
                    <w:color w:val="000000"/>
                    <w:sz w:val="20"/>
                    <w:szCs w:val="20"/>
                    <w:lang w:val="en-US"/>
                  </w:rPr>
                </w:pPr>
                <w:r>
                  <w:rPr>
                    <w:rFonts w:ascii="Arial" w:hAnsi="Arial" w:cs="Arial"/>
                    <w:color w:val="000000"/>
                    <w:sz w:val="20"/>
                    <w:szCs w:val="20"/>
                    <w:lang w:val="en-US"/>
                  </w:rPr>
                  <w:t>8-9</w:t>
                </w:r>
              </w:p>
            </w:tc>
          </w:sdtContent>
        </w:sdt>
      </w:tr>
      <w:tr w:rsidR="00726D76" w:rsidRPr="008D1366" w14:paraId="19796BB8" w14:textId="77777777" w:rsidTr="000408FA">
        <w:tc>
          <w:tcPr>
            <w:tcW w:w="0" w:type="auto"/>
            <w:vAlign w:val="center"/>
          </w:tcPr>
          <w:p w14:paraId="465CC78B"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Limitations</w:t>
            </w:r>
          </w:p>
        </w:tc>
        <w:tc>
          <w:tcPr>
            <w:tcW w:w="0" w:type="auto"/>
            <w:vAlign w:val="center"/>
          </w:tcPr>
          <w:p w14:paraId="705FE82D"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20</w:t>
            </w:r>
          </w:p>
        </w:tc>
        <w:tc>
          <w:tcPr>
            <w:tcW w:w="0" w:type="auto"/>
            <w:vAlign w:val="center"/>
          </w:tcPr>
          <w:p w14:paraId="2A5AE788" w14:textId="77777777" w:rsidR="00726D76" w:rsidRPr="008D1366" w:rsidRDefault="00726D76" w:rsidP="000408FA">
            <w:pPr>
              <w:rPr>
                <w:rFonts w:ascii="Arial" w:hAnsi="Arial" w:cs="Arial"/>
                <w:b/>
                <w:i/>
                <w:color w:val="000000"/>
                <w:sz w:val="20"/>
                <w:szCs w:val="20"/>
                <w:lang w:val="en-US"/>
              </w:rPr>
            </w:pPr>
            <w:r w:rsidRPr="008D1366">
              <w:rPr>
                <w:rFonts w:ascii="Arial" w:hAnsi="Arial" w:cs="Arial"/>
                <w:color w:val="000000"/>
                <w:sz w:val="20"/>
                <w:szCs w:val="20"/>
                <w:lang w:val="en-US"/>
              </w:rPr>
              <w:t>Discuss the limitations of the scoping review process.</w:t>
            </w:r>
          </w:p>
        </w:tc>
        <w:sdt>
          <w:sdtPr>
            <w:rPr>
              <w:rFonts w:ascii="Arial" w:hAnsi="Arial" w:cs="Arial"/>
              <w:color w:val="000000"/>
              <w:sz w:val="20"/>
              <w:szCs w:val="20"/>
              <w:lang w:val="en-US"/>
            </w:rPr>
            <w:id w:val="-1476291050"/>
            <w:placeholder>
              <w:docPart w:val="E52BD6C10A7948799221860950A88BBB"/>
            </w:placeholder>
          </w:sdtPr>
          <w:sdtEndPr/>
          <w:sdtContent>
            <w:tc>
              <w:tcPr>
                <w:tcW w:w="0" w:type="auto"/>
                <w:vAlign w:val="center"/>
              </w:tcPr>
              <w:p w14:paraId="7C711682" w14:textId="7A06CEAF"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1</w:t>
                </w:r>
                <w:r w:rsidR="00E53D55">
                  <w:rPr>
                    <w:rFonts w:ascii="Arial" w:hAnsi="Arial" w:cs="Arial"/>
                    <w:color w:val="000000"/>
                    <w:sz w:val="20"/>
                    <w:szCs w:val="20"/>
                    <w:lang w:val="en-US"/>
                  </w:rPr>
                  <w:t>0</w:t>
                </w:r>
              </w:p>
            </w:tc>
          </w:sdtContent>
        </w:sdt>
      </w:tr>
      <w:tr w:rsidR="00726D76" w:rsidRPr="008D1366" w14:paraId="5DAB33D5" w14:textId="77777777" w:rsidTr="000408FA">
        <w:tc>
          <w:tcPr>
            <w:tcW w:w="0" w:type="auto"/>
            <w:vAlign w:val="center"/>
          </w:tcPr>
          <w:p w14:paraId="62263A4C"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Conclusions</w:t>
            </w:r>
          </w:p>
        </w:tc>
        <w:tc>
          <w:tcPr>
            <w:tcW w:w="0" w:type="auto"/>
            <w:vAlign w:val="center"/>
          </w:tcPr>
          <w:p w14:paraId="6F97683F"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21</w:t>
            </w:r>
          </w:p>
        </w:tc>
        <w:tc>
          <w:tcPr>
            <w:tcW w:w="0" w:type="auto"/>
            <w:vAlign w:val="center"/>
          </w:tcPr>
          <w:p w14:paraId="1E8735A5"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Provide a general interpretation of the results with respect to the review questions and objectives, as well as potential implications and/or next steps.</w:t>
            </w:r>
          </w:p>
        </w:tc>
        <w:sdt>
          <w:sdtPr>
            <w:rPr>
              <w:rFonts w:ascii="Arial" w:hAnsi="Arial" w:cs="Arial"/>
              <w:color w:val="000000"/>
              <w:sz w:val="20"/>
              <w:szCs w:val="20"/>
              <w:lang w:val="en-US"/>
            </w:rPr>
            <w:id w:val="-1052302124"/>
            <w:placeholder>
              <w:docPart w:val="E52BD6C10A7948799221860950A88BBB"/>
            </w:placeholder>
          </w:sdtPr>
          <w:sdtEndPr/>
          <w:sdtContent>
            <w:tc>
              <w:tcPr>
                <w:tcW w:w="0" w:type="auto"/>
                <w:vAlign w:val="center"/>
              </w:tcPr>
              <w:p w14:paraId="4421BF0D" w14:textId="20A8AAE0"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1</w:t>
                </w:r>
                <w:r w:rsidR="00E53D55">
                  <w:rPr>
                    <w:rFonts w:ascii="Arial" w:hAnsi="Arial" w:cs="Arial"/>
                    <w:color w:val="000000"/>
                    <w:sz w:val="20"/>
                    <w:szCs w:val="20"/>
                    <w:lang w:val="en-US"/>
                  </w:rPr>
                  <w:t>0-11</w:t>
                </w:r>
              </w:p>
            </w:tc>
          </w:sdtContent>
        </w:sdt>
      </w:tr>
      <w:tr w:rsidR="00726D76" w:rsidRPr="008D1366" w14:paraId="1D77C8B5" w14:textId="77777777" w:rsidTr="000408FA">
        <w:tc>
          <w:tcPr>
            <w:tcW w:w="0" w:type="auto"/>
            <w:gridSpan w:val="4"/>
            <w:shd w:val="clear" w:color="auto" w:fill="D9E2F3" w:themeFill="accent1" w:themeFillTint="33"/>
            <w:vAlign w:val="center"/>
          </w:tcPr>
          <w:p w14:paraId="0BF0519E" w14:textId="77777777" w:rsidR="00726D76" w:rsidRPr="008D1366" w:rsidRDefault="00726D76" w:rsidP="000408FA">
            <w:pPr>
              <w:rPr>
                <w:rFonts w:ascii="Arial" w:hAnsi="Arial" w:cs="Arial"/>
                <w:b/>
                <w:color w:val="000000"/>
                <w:sz w:val="20"/>
                <w:szCs w:val="20"/>
                <w:lang w:val="en-US"/>
              </w:rPr>
            </w:pPr>
            <w:r w:rsidRPr="008D1366">
              <w:rPr>
                <w:rFonts w:ascii="Arial" w:hAnsi="Arial" w:cs="Arial"/>
                <w:b/>
                <w:color w:val="000000"/>
                <w:sz w:val="20"/>
                <w:szCs w:val="20"/>
                <w:lang w:val="en-US"/>
              </w:rPr>
              <w:t>FUNDING</w:t>
            </w:r>
          </w:p>
        </w:tc>
      </w:tr>
      <w:tr w:rsidR="00726D76" w:rsidRPr="008D1366" w14:paraId="6B2604D5" w14:textId="77777777" w:rsidTr="000408FA">
        <w:tc>
          <w:tcPr>
            <w:tcW w:w="0" w:type="auto"/>
            <w:vAlign w:val="center"/>
          </w:tcPr>
          <w:p w14:paraId="175B84F9" w14:textId="77777777" w:rsidR="00726D76" w:rsidRPr="008D1366" w:rsidRDefault="00726D76" w:rsidP="000408FA">
            <w:pPr>
              <w:ind w:left="180"/>
              <w:rPr>
                <w:rFonts w:ascii="Arial" w:hAnsi="Arial" w:cs="Arial"/>
                <w:color w:val="000000"/>
                <w:sz w:val="20"/>
                <w:szCs w:val="20"/>
                <w:lang w:val="en-US"/>
              </w:rPr>
            </w:pPr>
            <w:r w:rsidRPr="008D1366">
              <w:rPr>
                <w:rFonts w:ascii="Arial" w:hAnsi="Arial" w:cs="Arial"/>
                <w:color w:val="000000"/>
                <w:sz w:val="20"/>
                <w:szCs w:val="20"/>
                <w:lang w:val="en-US"/>
              </w:rPr>
              <w:t>Funding</w:t>
            </w:r>
          </w:p>
        </w:tc>
        <w:tc>
          <w:tcPr>
            <w:tcW w:w="0" w:type="auto"/>
            <w:vAlign w:val="center"/>
          </w:tcPr>
          <w:p w14:paraId="2D09074B" w14:textId="77777777" w:rsidR="00726D76" w:rsidRPr="008D1366" w:rsidRDefault="00726D76" w:rsidP="000408FA">
            <w:pPr>
              <w:jc w:val="center"/>
              <w:rPr>
                <w:rFonts w:ascii="Arial" w:hAnsi="Arial" w:cs="Arial"/>
                <w:color w:val="000000"/>
                <w:sz w:val="20"/>
                <w:szCs w:val="20"/>
                <w:lang w:val="en-US"/>
              </w:rPr>
            </w:pPr>
            <w:r w:rsidRPr="008D1366">
              <w:rPr>
                <w:rFonts w:ascii="Arial" w:hAnsi="Arial" w:cs="Arial"/>
                <w:color w:val="000000"/>
                <w:sz w:val="20"/>
                <w:szCs w:val="20"/>
                <w:lang w:val="en-US"/>
              </w:rPr>
              <w:t>22</w:t>
            </w:r>
          </w:p>
        </w:tc>
        <w:tc>
          <w:tcPr>
            <w:tcW w:w="0" w:type="auto"/>
            <w:vAlign w:val="center"/>
          </w:tcPr>
          <w:p w14:paraId="4E69A2FC" w14:textId="77777777"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Describe sources of funding for the included sources of evidence, as well as sources of funding for the scoping review. Describe the role of the funders of the scoping review.</w:t>
            </w:r>
          </w:p>
        </w:tc>
        <w:sdt>
          <w:sdtPr>
            <w:rPr>
              <w:rFonts w:ascii="Arial" w:hAnsi="Arial" w:cs="Arial"/>
              <w:color w:val="000000"/>
              <w:sz w:val="20"/>
              <w:szCs w:val="20"/>
              <w:lang w:val="en-US"/>
            </w:rPr>
            <w:id w:val="-1660921886"/>
            <w:placeholder>
              <w:docPart w:val="E52BD6C10A7948799221860950A88BBB"/>
            </w:placeholder>
          </w:sdtPr>
          <w:sdtEndPr/>
          <w:sdtContent>
            <w:tc>
              <w:tcPr>
                <w:tcW w:w="0" w:type="auto"/>
                <w:vAlign w:val="center"/>
              </w:tcPr>
              <w:p w14:paraId="459E761D" w14:textId="5BEF093E" w:rsidR="00726D76" w:rsidRPr="008D1366" w:rsidRDefault="00726D76" w:rsidP="000408FA">
                <w:pPr>
                  <w:rPr>
                    <w:rFonts w:ascii="Arial" w:hAnsi="Arial" w:cs="Arial"/>
                    <w:color w:val="000000"/>
                    <w:sz w:val="20"/>
                    <w:szCs w:val="20"/>
                    <w:lang w:val="en-US"/>
                  </w:rPr>
                </w:pPr>
                <w:r w:rsidRPr="008D1366">
                  <w:rPr>
                    <w:rFonts w:ascii="Arial" w:hAnsi="Arial" w:cs="Arial"/>
                    <w:color w:val="000000"/>
                    <w:sz w:val="20"/>
                    <w:szCs w:val="20"/>
                    <w:lang w:val="en-US"/>
                  </w:rPr>
                  <w:t>1</w:t>
                </w:r>
                <w:r w:rsidR="00E53D55">
                  <w:rPr>
                    <w:rFonts w:ascii="Arial" w:hAnsi="Arial" w:cs="Arial"/>
                    <w:color w:val="000000"/>
                    <w:sz w:val="20"/>
                    <w:szCs w:val="20"/>
                    <w:lang w:val="en-US"/>
                  </w:rPr>
                  <w:t>1</w:t>
                </w:r>
              </w:p>
            </w:tc>
          </w:sdtContent>
        </w:sdt>
      </w:tr>
    </w:tbl>
    <w:p w14:paraId="2C945877" w14:textId="77777777" w:rsidR="00726D76" w:rsidRPr="008D1366" w:rsidRDefault="00726D76" w:rsidP="00726D76">
      <w:pPr>
        <w:spacing w:after="0" w:line="240" w:lineRule="auto"/>
        <w:rPr>
          <w:rFonts w:ascii="Arial" w:hAnsi="Arial" w:cs="Arial"/>
          <w:color w:val="000000"/>
          <w:sz w:val="18"/>
          <w:szCs w:val="20"/>
          <w:lang w:val="en-US"/>
        </w:rPr>
      </w:pPr>
      <w:r w:rsidRPr="008D1366">
        <w:rPr>
          <w:rFonts w:ascii="Arial" w:hAnsi="Arial" w:cs="Arial"/>
          <w:color w:val="000000"/>
          <w:sz w:val="18"/>
          <w:szCs w:val="20"/>
          <w:lang w:val="en-US"/>
        </w:rPr>
        <w:t>JBI = Joanna Briggs Institute; PRISMA-</w:t>
      </w:r>
      <w:proofErr w:type="spellStart"/>
      <w:r w:rsidRPr="008D1366">
        <w:rPr>
          <w:rFonts w:ascii="Arial" w:hAnsi="Arial" w:cs="Arial"/>
          <w:color w:val="000000"/>
          <w:sz w:val="18"/>
          <w:szCs w:val="20"/>
          <w:lang w:val="en-US"/>
        </w:rPr>
        <w:t>ScR</w:t>
      </w:r>
      <w:proofErr w:type="spellEnd"/>
      <w:r w:rsidRPr="008D1366">
        <w:rPr>
          <w:rFonts w:ascii="Arial" w:hAnsi="Arial" w:cs="Arial"/>
          <w:color w:val="000000"/>
          <w:sz w:val="18"/>
          <w:szCs w:val="20"/>
          <w:lang w:val="en-US"/>
        </w:rPr>
        <w:t xml:space="preserve"> = Preferred Reporting Items for Systematic reviews and Meta-Analyses extension for Scoping Reviews.</w:t>
      </w:r>
    </w:p>
    <w:p w14:paraId="52129516" w14:textId="77777777" w:rsidR="00726D76" w:rsidRPr="008D1366" w:rsidRDefault="00726D76" w:rsidP="00726D76">
      <w:pPr>
        <w:spacing w:after="0" w:line="240" w:lineRule="auto"/>
        <w:rPr>
          <w:rFonts w:ascii="Arial" w:hAnsi="Arial" w:cs="Arial"/>
          <w:color w:val="000000"/>
          <w:sz w:val="18"/>
          <w:szCs w:val="20"/>
          <w:lang w:val="en-US"/>
        </w:rPr>
      </w:pPr>
      <w:r w:rsidRPr="008D1366">
        <w:rPr>
          <w:rFonts w:ascii="Arial" w:hAnsi="Arial" w:cs="Arial"/>
          <w:color w:val="000000"/>
          <w:sz w:val="18"/>
          <w:szCs w:val="20"/>
          <w:lang w:val="en-US"/>
        </w:rPr>
        <w:t xml:space="preserve">* Where </w:t>
      </w:r>
      <w:r w:rsidRPr="008D1366">
        <w:rPr>
          <w:rFonts w:ascii="Arial" w:hAnsi="Arial" w:cs="Arial"/>
          <w:i/>
          <w:color w:val="000000"/>
          <w:sz w:val="18"/>
          <w:szCs w:val="20"/>
          <w:lang w:val="en-US"/>
        </w:rPr>
        <w:t>sources of evidence</w:t>
      </w:r>
      <w:r w:rsidRPr="008D1366">
        <w:rPr>
          <w:rFonts w:ascii="Arial" w:hAnsi="Arial" w:cs="Arial"/>
          <w:color w:val="000000"/>
          <w:sz w:val="18"/>
          <w:szCs w:val="20"/>
          <w:lang w:val="en-US"/>
        </w:rPr>
        <w:t xml:space="preserve"> (see second footnote) are compiled from, such as bibliographic databases, social media platforms, and Web sites.</w:t>
      </w:r>
    </w:p>
    <w:p w14:paraId="2DEE4E40" w14:textId="77777777" w:rsidR="00726D76" w:rsidRPr="008D1366" w:rsidRDefault="00726D76" w:rsidP="00726D76">
      <w:pPr>
        <w:spacing w:after="0" w:line="240" w:lineRule="auto"/>
        <w:rPr>
          <w:rFonts w:ascii="Arial" w:hAnsi="Arial" w:cs="Arial"/>
          <w:color w:val="000000"/>
          <w:sz w:val="18"/>
          <w:szCs w:val="20"/>
          <w:lang w:val="en-US"/>
        </w:rPr>
      </w:pPr>
      <w:r w:rsidRPr="008D1366">
        <w:rPr>
          <w:rFonts w:ascii="Arial" w:hAnsi="Arial" w:cs="Arial"/>
          <w:color w:val="000000"/>
          <w:sz w:val="18"/>
          <w:szCs w:val="20"/>
          <w:lang w:val="en-US"/>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8D1366">
        <w:rPr>
          <w:rFonts w:ascii="Arial" w:hAnsi="Arial" w:cs="Arial"/>
          <w:i/>
          <w:color w:val="000000"/>
          <w:sz w:val="18"/>
          <w:szCs w:val="20"/>
          <w:lang w:val="en-US"/>
        </w:rPr>
        <w:t>information sources</w:t>
      </w:r>
      <w:r w:rsidRPr="008D1366">
        <w:rPr>
          <w:rFonts w:ascii="Arial" w:hAnsi="Arial" w:cs="Arial"/>
          <w:color w:val="000000"/>
          <w:sz w:val="18"/>
          <w:szCs w:val="20"/>
          <w:lang w:val="en-US"/>
        </w:rPr>
        <w:t xml:space="preserve"> (see first footnote).</w:t>
      </w:r>
    </w:p>
    <w:p w14:paraId="2A3CBE40" w14:textId="77777777" w:rsidR="00726D76" w:rsidRPr="008D1366" w:rsidRDefault="00726D76" w:rsidP="00726D76">
      <w:pPr>
        <w:spacing w:after="0" w:line="240" w:lineRule="auto"/>
        <w:rPr>
          <w:rFonts w:ascii="Arial" w:hAnsi="Arial" w:cs="Arial"/>
          <w:color w:val="000000"/>
          <w:sz w:val="18"/>
          <w:szCs w:val="20"/>
          <w:lang w:val="en-US"/>
        </w:rPr>
      </w:pPr>
      <w:r w:rsidRPr="008D1366">
        <w:rPr>
          <w:rFonts w:ascii="Arial" w:hAnsi="Arial" w:cs="Arial"/>
          <w:color w:val="000000"/>
          <w:sz w:val="18"/>
          <w:szCs w:val="20"/>
          <w:lang w:val="en-US"/>
        </w:rPr>
        <w:t>‡ The frameworks by Arksey and O’Malley (6) and Levac and colleagues (7) and the JBI guidance (4, 5) refer to the process of data extraction in a scoping review as data charting</w:t>
      </w:r>
      <w:r w:rsidRPr="008D1366">
        <w:rPr>
          <w:rFonts w:ascii="Arial" w:hAnsi="Arial" w:cs="Arial"/>
          <w:i/>
          <w:color w:val="000000"/>
          <w:sz w:val="18"/>
          <w:szCs w:val="20"/>
          <w:lang w:val="en-US"/>
        </w:rPr>
        <w:t>.</w:t>
      </w:r>
    </w:p>
    <w:p w14:paraId="775B5E49" w14:textId="77777777" w:rsidR="00726D76" w:rsidRPr="008D1366" w:rsidRDefault="00726D76" w:rsidP="00726D76">
      <w:pPr>
        <w:spacing w:after="0" w:line="240" w:lineRule="auto"/>
        <w:rPr>
          <w:rFonts w:ascii="Arial" w:hAnsi="Arial" w:cs="Arial"/>
          <w:color w:val="000000"/>
          <w:sz w:val="18"/>
          <w:szCs w:val="20"/>
          <w:lang w:val="en-US"/>
        </w:rPr>
      </w:pPr>
      <w:r w:rsidRPr="008D1366">
        <w:rPr>
          <w:rFonts w:ascii="Arial" w:hAnsi="Arial" w:cs="Arial"/>
          <w:color w:val="000000"/>
          <w:sz w:val="18"/>
          <w:szCs w:val="20"/>
          <w:lang w:val="en-US"/>
        </w:rPr>
        <w:t>§</w:t>
      </w:r>
      <w:r w:rsidRPr="008D1366">
        <w:rPr>
          <w:rFonts w:ascii="Arial" w:hAnsi="Arial" w:cs="Arial"/>
          <w:i/>
          <w:color w:val="000000"/>
          <w:sz w:val="18"/>
          <w:szCs w:val="20"/>
          <w:lang w:val="en-US"/>
        </w:rPr>
        <w:t xml:space="preserve"> </w:t>
      </w:r>
      <w:r w:rsidRPr="008D1366">
        <w:rPr>
          <w:rFonts w:ascii="Arial" w:hAnsi="Arial" w:cs="Arial"/>
          <w:color w:val="000000"/>
          <w:sz w:val="18"/>
          <w:szCs w:val="20"/>
          <w:lang w:val="en-US"/>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073D09D7" w14:textId="77777777" w:rsidR="00726D76" w:rsidRPr="008D1366" w:rsidRDefault="00726D76" w:rsidP="00726D76">
      <w:pPr>
        <w:spacing w:after="0" w:line="240" w:lineRule="auto"/>
        <w:rPr>
          <w:rFonts w:ascii="Arial" w:hAnsi="Arial" w:cs="Arial"/>
          <w:color w:val="000000"/>
          <w:sz w:val="18"/>
          <w:szCs w:val="20"/>
          <w:lang w:val="en-US"/>
        </w:rPr>
      </w:pPr>
    </w:p>
    <w:p w14:paraId="4BAF1F33" w14:textId="77777777" w:rsidR="00726D76" w:rsidRPr="008D1366" w:rsidRDefault="00726D76" w:rsidP="00726D76">
      <w:pPr>
        <w:spacing w:after="0" w:line="240" w:lineRule="auto"/>
        <w:rPr>
          <w:rFonts w:ascii="Arial" w:hAnsi="Arial" w:cs="Arial"/>
          <w:color w:val="000000"/>
          <w:sz w:val="18"/>
          <w:szCs w:val="20"/>
          <w:lang w:val="en-US"/>
        </w:rPr>
      </w:pPr>
    </w:p>
    <w:p w14:paraId="135A3EC0" w14:textId="50A47121" w:rsidR="00DE625C" w:rsidRPr="008D1366" w:rsidRDefault="64E5C9B3" w:rsidP="004F52A3">
      <w:pPr>
        <w:spacing w:before="240" w:line="240" w:lineRule="auto"/>
        <w:rPr>
          <w:color w:val="000000"/>
          <w:sz w:val="16"/>
          <w:szCs w:val="16"/>
          <w:vertAlign w:val="superscript"/>
          <w:lang w:val="en-US"/>
        </w:rPr>
        <w:sectPr w:rsidR="00DE625C" w:rsidRPr="008D1366" w:rsidSect="000408FA">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pPr>
      <w:r w:rsidRPr="008D1366">
        <w:rPr>
          <w:i/>
          <w:iCs/>
          <w:color w:val="000000"/>
          <w:sz w:val="16"/>
          <w:szCs w:val="16"/>
          <w:lang w:val="en-US"/>
        </w:rPr>
        <w:t>From:</w:t>
      </w:r>
      <w:r w:rsidRPr="008D1366">
        <w:rPr>
          <w:color w:val="000000"/>
          <w:sz w:val="16"/>
          <w:szCs w:val="16"/>
          <w:lang w:val="en-US"/>
        </w:rPr>
        <w:t xml:space="preserve"> PRISMA Extension for Scoping Reviews (</w:t>
      </w:r>
      <w:proofErr w:type="spellStart"/>
      <w:r w:rsidRPr="008D1366">
        <w:rPr>
          <w:color w:val="000000"/>
          <w:sz w:val="16"/>
          <w:szCs w:val="16"/>
          <w:lang w:val="en-US"/>
        </w:rPr>
        <w:t>PRISMAScR</w:t>
      </w:r>
      <w:proofErr w:type="spellEnd"/>
      <w:r w:rsidRPr="008D1366">
        <w:rPr>
          <w:color w:val="000000"/>
          <w:sz w:val="16"/>
          <w:szCs w:val="16"/>
          <w:lang w:val="en-US"/>
        </w:rPr>
        <w:t>): Checklist and Explanation.</w:t>
      </w:r>
      <w:sdt>
        <w:sdtPr>
          <w:rPr>
            <w:color w:val="000000"/>
            <w:sz w:val="16"/>
            <w:szCs w:val="16"/>
            <w:vertAlign w:val="superscript"/>
            <w:lang w:val="en-US"/>
          </w:rPr>
          <w:tag w:val="MENDELEY_CITATION_v3_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"/>
          <w:id w:val="918677083"/>
          <w:placeholder>
            <w:docPart w:val="DefaultPlaceholder_-1854013440"/>
          </w:placeholder>
        </w:sdtPr>
        <w:sdtEndPr/>
        <w:sdtContent>
          <w:r w:rsidR="004F52A3" w:rsidRPr="008D1366">
            <w:rPr>
              <w:color w:val="000000"/>
              <w:sz w:val="16"/>
              <w:szCs w:val="16"/>
              <w:vertAlign w:val="superscript"/>
              <w:lang w:val="en-US"/>
            </w:rPr>
            <w:t>20</w:t>
          </w:r>
        </w:sdtContent>
      </w:sdt>
    </w:p>
    <w:p w14:paraId="7C480F49" w14:textId="77777777" w:rsidR="00BE1ED6" w:rsidRPr="008D1366" w:rsidRDefault="00BE1ED6" w:rsidP="00BE1ED6">
      <w:pPr>
        <w:rPr>
          <w:color w:val="000000"/>
          <w:lang w:val="en-US"/>
        </w:rPr>
      </w:pPr>
      <w:bookmarkStart w:id="0" w:name="_Hlk143578823"/>
      <w:r w:rsidRPr="008D1366">
        <w:rPr>
          <w:color w:val="000000"/>
          <w:lang w:val="en-US"/>
        </w:rPr>
        <w:lastRenderedPageBreak/>
        <w:t>Supplementary Table 2: SYRCLE's risk of bias tool</w:t>
      </w:r>
    </w:p>
    <w:tbl>
      <w:tblPr>
        <w:tblStyle w:val="TableGridLight"/>
        <w:tblW w:w="12435" w:type="dxa"/>
        <w:tblLayout w:type="fixed"/>
        <w:tblLook w:val="0400" w:firstRow="0" w:lastRow="0" w:firstColumn="0" w:lastColumn="0" w:noHBand="0" w:noVBand="1"/>
      </w:tblPr>
      <w:tblGrid>
        <w:gridCol w:w="1125"/>
        <w:gridCol w:w="1230"/>
        <w:gridCol w:w="1500"/>
        <w:gridCol w:w="1380"/>
        <w:gridCol w:w="1185"/>
        <w:gridCol w:w="1170"/>
        <w:gridCol w:w="1336"/>
        <w:gridCol w:w="1079"/>
        <w:gridCol w:w="1230"/>
        <w:gridCol w:w="1200"/>
      </w:tblGrid>
      <w:tr w:rsidR="00BE1ED6" w:rsidRPr="008D1366" w14:paraId="7FE9F505" w14:textId="77777777" w:rsidTr="008E4437">
        <w:trPr>
          <w:trHeight w:val="300"/>
        </w:trPr>
        <w:tc>
          <w:tcPr>
            <w:tcW w:w="1125" w:type="dxa"/>
            <w:vMerge w:val="restart"/>
          </w:tcPr>
          <w:bookmarkEnd w:id="0"/>
          <w:p w14:paraId="737F5D0D" w14:textId="77777777" w:rsidR="00BE1ED6" w:rsidRPr="008D1366" w:rsidRDefault="00BE1ED6" w:rsidP="00BE1ED6">
            <w:pPr>
              <w:spacing w:after="160" w:line="259" w:lineRule="auto"/>
              <w:rPr>
                <w:color w:val="000000"/>
                <w:lang w:val="en-US"/>
              </w:rPr>
            </w:pPr>
            <w:r w:rsidRPr="008D1366">
              <w:rPr>
                <w:color w:val="000000"/>
                <w:lang w:val="en-US"/>
              </w:rPr>
              <w:t>Study</w:t>
            </w:r>
          </w:p>
        </w:tc>
        <w:tc>
          <w:tcPr>
            <w:tcW w:w="4110" w:type="dxa"/>
            <w:gridSpan w:val="3"/>
          </w:tcPr>
          <w:p w14:paraId="7821AD89" w14:textId="77777777" w:rsidR="00BE1ED6" w:rsidRPr="008D1366" w:rsidRDefault="00BE1ED6" w:rsidP="00BE1ED6">
            <w:pPr>
              <w:spacing w:after="160" w:line="259" w:lineRule="auto"/>
              <w:rPr>
                <w:color w:val="000000"/>
                <w:lang w:val="en-US"/>
              </w:rPr>
            </w:pPr>
            <w:r w:rsidRPr="008D1366">
              <w:rPr>
                <w:color w:val="000000"/>
                <w:lang w:val="en-US"/>
              </w:rPr>
              <w:t>Selection bias</w:t>
            </w:r>
          </w:p>
        </w:tc>
        <w:tc>
          <w:tcPr>
            <w:tcW w:w="2355" w:type="dxa"/>
            <w:gridSpan w:val="2"/>
          </w:tcPr>
          <w:p w14:paraId="3F0B5DAD" w14:textId="77777777" w:rsidR="00BE1ED6" w:rsidRPr="008D1366" w:rsidRDefault="00BE1ED6" w:rsidP="00BE1ED6">
            <w:pPr>
              <w:spacing w:after="160" w:line="259" w:lineRule="auto"/>
              <w:rPr>
                <w:color w:val="000000"/>
                <w:lang w:val="en-US"/>
              </w:rPr>
            </w:pPr>
            <w:r w:rsidRPr="008D1366">
              <w:rPr>
                <w:color w:val="000000"/>
                <w:lang w:val="en-US"/>
              </w:rPr>
              <w:t>Performance bias</w:t>
            </w:r>
          </w:p>
        </w:tc>
        <w:tc>
          <w:tcPr>
            <w:tcW w:w="2415" w:type="dxa"/>
            <w:gridSpan w:val="2"/>
          </w:tcPr>
          <w:p w14:paraId="321587E5" w14:textId="77777777" w:rsidR="00BE1ED6" w:rsidRPr="008D1366" w:rsidRDefault="00BE1ED6" w:rsidP="00BE1ED6">
            <w:pPr>
              <w:spacing w:after="160" w:line="259" w:lineRule="auto"/>
              <w:rPr>
                <w:color w:val="000000"/>
                <w:lang w:val="en-US"/>
              </w:rPr>
            </w:pPr>
            <w:r w:rsidRPr="008D1366">
              <w:rPr>
                <w:color w:val="000000"/>
                <w:lang w:val="en-US"/>
              </w:rPr>
              <w:t>Detection bias</w:t>
            </w:r>
          </w:p>
        </w:tc>
        <w:tc>
          <w:tcPr>
            <w:tcW w:w="1230" w:type="dxa"/>
          </w:tcPr>
          <w:p w14:paraId="7F0B320E" w14:textId="77777777" w:rsidR="00BE1ED6" w:rsidRPr="008D1366" w:rsidRDefault="00BE1ED6" w:rsidP="00BE1ED6">
            <w:pPr>
              <w:spacing w:after="160" w:line="259" w:lineRule="auto"/>
              <w:rPr>
                <w:color w:val="000000"/>
                <w:lang w:val="en-US"/>
              </w:rPr>
            </w:pPr>
            <w:r w:rsidRPr="008D1366">
              <w:rPr>
                <w:color w:val="000000"/>
                <w:lang w:val="en-US"/>
              </w:rPr>
              <w:t>Attrition bias</w:t>
            </w:r>
          </w:p>
        </w:tc>
        <w:tc>
          <w:tcPr>
            <w:tcW w:w="1200" w:type="dxa"/>
          </w:tcPr>
          <w:p w14:paraId="6B8C496E" w14:textId="77777777" w:rsidR="00BE1ED6" w:rsidRPr="008D1366" w:rsidRDefault="00BE1ED6" w:rsidP="00BE1ED6">
            <w:pPr>
              <w:spacing w:after="160" w:line="259" w:lineRule="auto"/>
              <w:rPr>
                <w:color w:val="000000"/>
                <w:lang w:val="en-US"/>
              </w:rPr>
            </w:pPr>
            <w:r w:rsidRPr="008D1366">
              <w:rPr>
                <w:color w:val="000000"/>
                <w:lang w:val="en-US"/>
              </w:rPr>
              <w:t>Reporting bias</w:t>
            </w:r>
          </w:p>
        </w:tc>
      </w:tr>
      <w:tr w:rsidR="00BE1ED6" w:rsidRPr="008D1366" w14:paraId="47726CA9" w14:textId="77777777" w:rsidTr="008E4437">
        <w:trPr>
          <w:trHeight w:val="300"/>
        </w:trPr>
        <w:tc>
          <w:tcPr>
            <w:tcW w:w="1125" w:type="dxa"/>
            <w:vMerge/>
          </w:tcPr>
          <w:p w14:paraId="4D69CEF4" w14:textId="77777777" w:rsidR="00BE1ED6" w:rsidRPr="008D1366" w:rsidRDefault="00BE1ED6" w:rsidP="00BE1ED6">
            <w:pPr>
              <w:spacing w:after="160" w:line="259" w:lineRule="auto"/>
              <w:rPr>
                <w:color w:val="000000"/>
                <w:lang w:val="en-US"/>
              </w:rPr>
            </w:pPr>
          </w:p>
        </w:tc>
        <w:tc>
          <w:tcPr>
            <w:tcW w:w="1230" w:type="dxa"/>
          </w:tcPr>
          <w:p w14:paraId="6F355682" w14:textId="77777777" w:rsidR="00BE1ED6" w:rsidRPr="008D1366" w:rsidRDefault="00BE1ED6" w:rsidP="00BE1ED6">
            <w:pPr>
              <w:spacing w:after="160" w:line="259" w:lineRule="auto"/>
              <w:rPr>
                <w:color w:val="000000"/>
                <w:lang w:val="en-US"/>
              </w:rPr>
            </w:pPr>
            <w:r w:rsidRPr="008D1366">
              <w:rPr>
                <w:color w:val="000000"/>
                <w:lang w:val="en-US"/>
              </w:rPr>
              <w:t>Sequence generation</w:t>
            </w:r>
          </w:p>
        </w:tc>
        <w:tc>
          <w:tcPr>
            <w:tcW w:w="1500" w:type="dxa"/>
          </w:tcPr>
          <w:p w14:paraId="6C449A55" w14:textId="77777777" w:rsidR="00BE1ED6" w:rsidRPr="008D1366" w:rsidRDefault="00BE1ED6" w:rsidP="00BE1ED6">
            <w:pPr>
              <w:spacing w:after="160" w:line="259" w:lineRule="auto"/>
              <w:rPr>
                <w:color w:val="000000"/>
                <w:lang w:val="en-US"/>
              </w:rPr>
            </w:pPr>
            <w:r w:rsidRPr="008D1366">
              <w:rPr>
                <w:color w:val="000000"/>
                <w:lang w:val="en-US"/>
              </w:rPr>
              <w:t>Baseline characteristics</w:t>
            </w:r>
          </w:p>
        </w:tc>
        <w:tc>
          <w:tcPr>
            <w:tcW w:w="1380" w:type="dxa"/>
          </w:tcPr>
          <w:p w14:paraId="1EE1984E" w14:textId="77777777" w:rsidR="00BE1ED6" w:rsidRPr="008D1366" w:rsidRDefault="00BE1ED6" w:rsidP="00BE1ED6">
            <w:pPr>
              <w:spacing w:after="160" w:line="259" w:lineRule="auto"/>
              <w:rPr>
                <w:color w:val="000000"/>
                <w:lang w:val="en-US"/>
              </w:rPr>
            </w:pPr>
            <w:r w:rsidRPr="008D1366">
              <w:rPr>
                <w:color w:val="000000"/>
                <w:lang w:val="en-US"/>
              </w:rPr>
              <w:t>Allocation concealment</w:t>
            </w:r>
          </w:p>
        </w:tc>
        <w:tc>
          <w:tcPr>
            <w:tcW w:w="1185" w:type="dxa"/>
          </w:tcPr>
          <w:p w14:paraId="4F9CB1B1" w14:textId="77777777" w:rsidR="00BE1ED6" w:rsidRPr="008D1366" w:rsidRDefault="00BE1ED6" w:rsidP="00BE1ED6">
            <w:pPr>
              <w:spacing w:after="160" w:line="259" w:lineRule="auto"/>
              <w:rPr>
                <w:color w:val="000000"/>
                <w:lang w:val="en-US"/>
              </w:rPr>
            </w:pPr>
            <w:r w:rsidRPr="008D1366">
              <w:rPr>
                <w:color w:val="000000"/>
                <w:lang w:val="en-US"/>
              </w:rPr>
              <w:t>Random housing</w:t>
            </w:r>
          </w:p>
        </w:tc>
        <w:tc>
          <w:tcPr>
            <w:tcW w:w="1170" w:type="dxa"/>
          </w:tcPr>
          <w:p w14:paraId="4959A679" w14:textId="77777777" w:rsidR="00BE1ED6" w:rsidRPr="008D1366" w:rsidRDefault="00BE1ED6" w:rsidP="00BE1ED6">
            <w:pPr>
              <w:spacing w:after="160" w:line="259" w:lineRule="auto"/>
              <w:rPr>
                <w:color w:val="000000"/>
                <w:lang w:val="en-US"/>
              </w:rPr>
            </w:pPr>
            <w:r w:rsidRPr="008D1366">
              <w:rPr>
                <w:color w:val="000000"/>
                <w:lang w:val="en-US"/>
              </w:rPr>
              <w:t>Blinding</w:t>
            </w:r>
          </w:p>
        </w:tc>
        <w:tc>
          <w:tcPr>
            <w:tcW w:w="1336" w:type="dxa"/>
          </w:tcPr>
          <w:p w14:paraId="0F543B43" w14:textId="77777777" w:rsidR="00BE1ED6" w:rsidRPr="008D1366" w:rsidRDefault="00BE1ED6" w:rsidP="00BE1ED6">
            <w:pPr>
              <w:spacing w:after="160" w:line="259" w:lineRule="auto"/>
              <w:rPr>
                <w:color w:val="000000"/>
                <w:lang w:val="en-US"/>
              </w:rPr>
            </w:pPr>
            <w:r w:rsidRPr="008D1366">
              <w:rPr>
                <w:color w:val="000000"/>
                <w:lang w:val="en-US"/>
              </w:rPr>
              <w:t>Random outcome assessment</w:t>
            </w:r>
          </w:p>
        </w:tc>
        <w:tc>
          <w:tcPr>
            <w:tcW w:w="1079" w:type="dxa"/>
          </w:tcPr>
          <w:p w14:paraId="2D7241DF" w14:textId="77777777" w:rsidR="00BE1ED6" w:rsidRPr="008D1366" w:rsidRDefault="00BE1ED6" w:rsidP="00BE1ED6">
            <w:pPr>
              <w:spacing w:after="160" w:line="259" w:lineRule="auto"/>
              <w:rPr>
                <w:color w:val="000000"/>
                <w:lang w:val="en-US"/>
              </w:rPr>
            </w:pPr>
            <w:r w:rsidRPr="008D1366">
              <w:rPr>
                <w:color w:val="000000"/>
                <w:lang w:val="en-US"/>
              </w:rPr>
              <w:t>Blinding</w:t>
            </w:r>
          </w:p>
        </w:tc>
        <w:tc>
          <w:tcPr>
            <w:tcW w:w="1230" w:type="dxa"/>
          </w:tcPr>
          <w:p w14:paraId="1355DB43" w14:textId="77777777" w:rsidR="00BE1ED6" w:rsidRPr="008D1366" w:rsidRDefault="00BE1ED6" w:rsidP="00BE1ED6">
            <w:pPr>
              <w:spacing w:after="160" w:line="259" w:lineRule="auto"/>
              <w:rPr>
                <w:color w:val="000000"/>
                <w:lang w:val="en-US"/>
              </w:rPr>
            </w:pPr>
            <w:r w:rsidRPr="008D1366">
              <w:rPr>
                <w:color w:val="000000"/>
                <w:lang w:val="en-US"/>
              </w:rPr>
              <w:t>Incomplete outcome data</w:t>
            </w:r>
          </w:p>
        </w:tc>
        <w:tc>
          <w:tcPr>
            <w:tcW w:w="1200" w:type="dxa"/>
          </w:tcPr>
          <w:p w14:paraId="5FC9453F" w14:textId="77777777" w:rsidR="00BE1ED6" w:rsidRPr="008D1366" w:rsidRDefault="00BE1ED6" w:rsidP="00BE1ED6">
            <w:pPr>
              <w:spacing w:after="160" w:line="259" w:lineRule="auto"/>
              <w:rPr>
                <w:color w:val="000000"/>
                <w:lang w:val="en-US"/>
              </w:rPr>
            </w:pPr>
            <w:r w:rsidRPr="008D1366">
              <w:rPr>
                <w:color w:val="000000"/>
                <w:lang w:val="en-US"/>
              </w:rPr>
              <w:t>Free of Selective outcome reporting</w:t>
            </w:r>
          </w:p>
        </w:tc>
      </w:tr>
      <w:tr w:rsidR="00BE1ED6" w:rsidRPr="008D1366" w14:paraId="6C313816" w14:textId="77777777" w:rsidTr="008E4437">
        <w:trPr>
          <w:trHeight w:val="795"/>
        </w:trPr>
        <w:tc>
          <w:tcPr>
            <w:tcW w:w="1125" w:type="dxa"/>
          </w:tcPr>
          <w:p w14:paraId="0BBF6305" w14:textId="050E9163" w:rsidR="00BE1ED6" w:rsidRPr="008D1366" w:rsidRDefault="00BE1ED6" w:rsidP="00BE1ED6">
            <w:pPr>
              <w:spacing w:after="160" w:line="259" w:lineRule="auto"/>
              <w:rPr>
                <w:color w:val="000000"/>
                <w:lang w:val="en-US"/>
              </w:rPr>
            </w:pPr>
            <w:r w:rsidRPr="008D1366">
              <w:rPr>
                <w:color w:val="000000"/>
                <w:lang w:val="en-US"/>
              </w:rPr>
              <w:t>Hankerd et al.</w:t>
            </w:r>
            <w:sdt>
              <w:sdtPr>
                <w:rPr>
                  <w:color w:val="000000"/>
                  <w:vertAlign w:val="superscript"/>
                  <w:lang w:val="en-US"/>
                </w:rPr>
                <w:tag w:val="MENDELEY_CITATION_v3_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"/>
                <w:id w:val="1913665356"/>
                <w:placeholder>
                  <w:docPart w:val="DefaultPlaceholder_-1854013440"/>
                </w:placeholder>
              </w:sdtPr>
              <w:sdtEndPr/>
              <w:sdtContent>
                <w:r w:rsidR="008168FC" w:rsidRPr="008D1366">
                  <w:rPr>
                    <w:color w:val="000000"/>
                    <w:vertAlign w:val="superscript"/>
                    <w:lang w:val="en-US"/>
                  </w:rPr>
                  <w:t>25</w:t>
                </w:r>
              </w:sdtContent>
            </w:sdt>
            <w:r w:rsidRPr="008D1366">
              <w:rPr>
                <w:color w:val="000000"/>
                <w:lang w:val="en-US"/>
              </w:rPr>
              <w:t xml:space="preserve"> </w:t>
            </w:r>
          </w:p>
        </w:tc>
        <w:tc>
          <w:tcPr>
            <w:tcW w:w="1230" w:type="dxa"/>
          </w:tcPr>
          <w:p w14:paraId="48465F34"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500" w:type="dxa"/>
          </w:tcPr>
          <w:p w14:paraId="4EBF240F"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380" w:type="dxa"/>
          </w:tcPr>
          <w:p w14:paraId="15D728F2"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185" w:type="dxa"/>
          </w:tcPr>
          <w:p w14:paraId="7A4A890D"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170" w:type="dxa"/>
          </w:tcPr>
          <w:p w14:paraId="1878C052"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336" w:type="dxa"/>
          </w:tcPr>
          <w:p w14:paraId="6B76C25C"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079" w:type="dxa"/>
          </w:tcPr>
          <w:p w14:paraId="460B2295"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230" w:type="dxa"/>
          </w:tcPr>
          <w:p w14:paraId="343A7BFB"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200" w:type="dxa"/>
          </w:tcPr>
          <w:p w14:paraId="42B31B75" w14:textId="77777777" w:rsidR="00BE1ED6" w:rsidRPr="008D1366" w:rsidRDefault="00BE1ED6" w:rsidP="00BE1ED6">
            <w:pPr>
              <w:spacing w:after="160" w:line="259" w:lineRule="auto"/>
              <w:rPr>
                <w:color w:val="000000"/>
                <w:lang w:val="en-US"/>
              </w:rPr>
            </w:pPr>
            <w:r w:rsidRPr="008D1366">
              <w:rPr>
                <w:color w:val="000000"/>
                <w:lang w:val="en-US"/>
              </w:rPr>
              <w:t>Unclear</w:t>
            </w:r>
          </w:p>
        </w:tc>
      </w:tr>
      <w:tr w:rsidR="00BE1ED6" w:rsidRPr="008D1366" w14:paraId="41E0EAFE" w14:textId="77777777" w:rsidTr="008E4437">
        <w:trPr>
          <w:trHeight w:val="795"/>
        </w:trPr>
        <w:tc>
          <w:tcPr>
            <w:tcW w:w="1125" w:type="dxa"/>
          </w:tcPr>
          <w:p w14:paraId="37418301" w14:textId="1AEC2DE7" w:rsidR="00BE1ED6" w:rsidRPr="008D1366" w:rsidRDefault="00BE1ED6" w:rsidP="00BE1ED6">
            <w:pPr>
              <w:spacing w:after="160" w:line="259" w:lineRule="auto"/>
              <w:rPr>
                <w:color w:val="000000"/>
                <w:lang w:val="en-US"/>
              </w:rPr>
            </w:pPr>
            <w:r w:rsidRPr="008D1366">
              <w:rPr>
                <w:color w:val="000000"/>
                <w:lang w:val="en-US"/>
              </w:rPr>
              <w:t>Sugimoto et al.</w:t>
            </w:r>
            <w:sdt>
              <w:sdtPr>
                <w:rPr>
                  <w:color w:val="000000"/>
                  <w:vertAlign w:val="superscript"/>
                  <w:lang w:val="en-US"/>
                </w:rPr>
                <w:tag w:val="MENDELEY_CITATION_v3_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"/>
                <w:id w:val="1908648407"/>
                <w:placeholder>
                  <w:docPart w:val="DefaultPlaceholder_-1854013440"/>
                </w:placeholder>
              </w:sdtPr>
              <w:sdtEndPr/>
              <w:sdtContent>
                <w:r w:rsidR="008168FC" w:rsidRPr="008D1366">
                  <w:rPr>
                    <w:color w:val="000000"/>
                    <w:vertAlign w:val="superscript"/>
                    <w:lang w:val="en-US"/>
                  </w:rPr>
                  <w:t>2</w:t>
                </w:r>
                <w:r w:rsidR="004F52A3" w:rsidRPr="008D1366">
                  <w:rPr>
                    <w:color w:val="000000"/>
                    <w:vertAlign w:val="superscript"/>
                    <w:lang w:val="en-US"/>
                  </w:rPr>
                  <w:t>2</w:t>
                </w:r>
              </w:sdtContent>
            </w:sdt>
          </w:p>
        </w:tc>
        <w:tc>
          <w:tcPr>
            <w:tcW w:w="1230" w:type="dxa"/>
          </w:tcPr>
          <w:p w14:paraId="674B7D20"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500" w:type="dxa"/>
          </w:tcPr>
          <w:p w14:paraId="560C2491"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380" w:type="dxa"/>
          </w:tcPr>
          <w:p w14:paraId="2AE3B6C1"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185" w:type="dxa"/>
          </w:tcPr>
          <w:p w14:paraId="7CE6C90D"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170" w:type="dxa"/>
          </w:tcPr>
          <w:p w14:paraId="3CBBE7BE"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336" w:type="dxa"/>
          </w:tcPr>
          <w:p w14:paraId="0FB62CC8"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079" w:type="dxa"/>
          </w:tcPr>
          <w:p w14:paraId="5AE0B671"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230" w:type="dxa"/>
          </w:tcPr>
          <w:p w14:paraId="79C3F952"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200" w:type="dxa"/>
          </w:tcPr>
          <w:p w14:paraId="6E40AAAF" w14:textId="77777777" w:rsidR="00BE1ED6" w:rsidRPr="008D1366" w:rsidRDefault="00BE1ED6" w:rsidP="00BE1ED6">
            <w:pPr>
              <w:spacing w:after="160" w:line="259" w:lineRule="auto"/>
              <w:rPr>
                <w:color w:val="000000"/>
                <w:lang w:val="en-US"/>
              </w:rPr>
            </w:pPr>
            <w:r w:rsidRPr="008D1366">
              <w:rPr>
                <w:color w:val="000000"/>
                <w:lang w:val="en-US"/>
              </w:rPr>
              <w:t>Yes</w:t>
            </w:r>
          </w:p>
        </w:tc>
      </w:tr>
      <w:tr w:rsidR="00BE1ED6" w:rsidRPr="008D1366" w14:paraId="185E89A6" w14:textId="77777777" w:rsidTr="008E4437">
        <w:trPr>
          <w:trHeight w:val="795"/>
        </w:trPr>
        <w:tc>
          <w:tcPr>
            <w:tcW w:w="1125" w:type="dxa"/>
          </w:tcPr>
          <w:p w14:paraId="6CA3F002" w14:textId="1A79DCC5" w:rsidR="00BE1ED6" w:rsidRPr="008D1366" w:rsidRDefault="00BE1ED6" w:rsidP="00BE1ED6">
            <w:pPr>
              <w:spacing w:after="160" w:line="259" w:lineRule="auto"/>
              <w:rPr>
                <w:color w:val="000000"/>
                <w:lang w:val="en-US"/>
              </w:rPr>
            </w:pPr>
            <w:r w:rsidRPr="008D1366">
              <w:rPr>
                <w:color w:val="000000"/>
                <w:lang w:val="en-US"/>
              </w:rPr>
              <w:t>Álvarez</w:t>
            </w:r>
            <w:r w:rsidRPr="008D1366">
              <w:rPr>
                <w:rFonts w:ascii="Cambria Math" w:hAnsi="Cambria Math" w:cs="Cambria Math"/>
                <w:color w:val="000000"/>
                <w:lang w:val="en-US"/>
              </w:rPr>
              <w:t>‑</w:t>
            </w:r>
            <w:r w:rsidRPr="008D1366">
              <w:rPr>
                <w:color w:val="000000"/>
                <w:lang w:val="en-US"/>
              </w:rPr>
              <w:t>Pérez et al.</w:t>
            </w:r>
            <w:sdt>
              <w:sdtPr>
                <w:rPr>
                  <w:color w:val="000000"/>
                  <w:vertAlign w:val="superscript"/>
                  <w:lang w:val="en-US"/>
                </w:rPr>
                <w:tag w:val="MENDELEY_CITATION_v3_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"/>
                <w:id w:val="-1637862382"/>
                <w:placeholder>
                  <w:docPart w:val="DefaultPlaceholder_-1854013440"/>
                </w:placeholder>
              </w:sdtPr>
              <w:sdtEndPr/>
              <w:sdtContent>
                <w:r w:rsidR="008168FC" w:rsidRPr="008D1366">
                  <w:rPr>
                    <w:color w:val="000000"/>
                    <w:vertAlign w:val="superscript"/>
                    <w:lang w:val="en-US"/>
                  </w:rPr>
                  <w:t>26</w:t>
                </w:r>
              </w:sdtContent>
            </w:sdt>
            <w:r w:rsidRPr="008D1366">
              <w:rPr>
                <w:color w:val="000000"/>
                <w:lang w:val="en-US"/>
              </w:rPr>
              <w:t xml:space="preserve"> </w:t>
            </w:r>
          </w:p>
        </w:tc>
        <w:tc>
          <w:tcPr>
            <w:tcW w:w="1230" w:type="dxa"/>
          </w:tcPr>
          <w:p w14:paraId="683B5F7B"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500" w:type="dxa"/>
          </w:tcPr>
          <w:p w14:paraId="48CADB1C"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380" w:type="dxa"/>
          </w:tcPr>
          <w:p w14:paraId="29448A74"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185" w:type="dxa"/>
          </w:tcPr>
          <w:p w14:paraId="45805058"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170" w:type="dxa"/>
          </w:tcPr>
          <w:p w14:paraId="66970F64"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336" w:type="dxa"/>
          </w:tcPr>
          <w:p w14:paraId="4C365DD9"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079" w:type="dxa"/>
          </w:tcPr>
          <w:p w14:paraId="5CBB2499"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230" w:type="dxa"/>
          </w:tcPr>
          <w:p w14:paraId="1277E876"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200" w:type="dxa"/>
          </w:tcPr>
          <w:p w14:paraId="1D1DB968" w14:textId="77777777" w:rsidR="00BE1ED6" w:rsidRPr="008D1366" w:rsidRDefault="00BE1ED6" w:rsidP="00BE1ED6">
            <w:pPr>
              <w:spacing w:after="160" w:line="259" w:lineRule="auto"/>
              <w:rPr>
                <w:color w:val="000000"/>
                <w:lang w:val="en-US"/>
              </w:rPr>
            </w:pPr>
            <w:r w:rsidRPr="008D1366">
              <w:rPr>
                <w:color w:val="000000"/>
                <w:lang w:val="en-US"/>
              </w:rPr>
              <w:t>Yes</w:t>
            </w:r>
          </w:p>
        </w:tc>
      </w:tr>
      <w:tr w:rsidR="00BE1ED6" w:rsidRPr="008D1366" w14:paraId="726D06E9" w14:textId="77777777" w:rsidTr="008E4437">
        <w:trPr>
          <w:trHeight w:val="795"/>
        </w:trPr>
        <w:tc>
          <w:tcPr>
            <w:tcW w:w="1125" w:type="dxa"/>
          </w:tcPr>
          <w:p w14:paraId="7DD367FD" w14:textId="41E3E7E0" w:rsidR="00BE1ED6" w:rsidRPr="008D1366" w:rsidRDefault="00BE1ED6" w:rsidP="00BE1ED6">
            <w:pPr>
              <w:spacing w:after="160" w:line="259" w:lineRule="auto"/>
              <w:rPr>
                <w:color w:val="000000"/>
                <w:lang w:val="en-US"/>
              </w:rPr>
            </w:pPr>
            <w:r w:rsidRPr="008D1366">
              <w:rPr>
                <w:color w:val="000000"/>
                <w:lang w:val="en-US"/>
              </w:rPr>
              <w:t>Hsieh et al.</w:t>
            </w:r>
            <w:sdt>
              <w:sdtPr>
                <w:rPr>
                  <w:color w:val="000000"/>
                  <w:vertAlign w:val="superscript"/>
                  <w:lang w:val="en-US"/>
                </w:rPr>
                <w:tag w:val="MENDELEY_CITATION_v3_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"/>
                <w:id w:val="-2120365603"/>
                <w:placeholder>
                  <w:docPart w:val="DefaultPlaceholder_-1854013440"/>
                </w:placeholder>
              </w:sdtPr>
              <w:sdtEndPr/>
              <w:sdtContent>
                <w:r w:rsidR="008168FC" w:rsidRPr="008D1366">
                  <w:rPr>
                    <w:color w:val="000000"/>
                    <w:vertAlign w:val="superscript"/>
                    <w:lang w:val="en-US"/>
                  </w:rPr>
                  <w:t>23</w:t>
                </w:r>
              </w:sdtContent>
            </w:sdt>
            <w:r w:rsidRPr="008D1366">
              <w:rPr>
                <w:color w:val="000000"/>
                <w:lang w:val="en-US"/>
              </w:rPr>
              <w:t xml:space="preserve"> </w:t>
            </w:r>
          </w:p>
        </w:tc>
        <w:tc>
          <w:tcPr>
            <w:tcW w:w="1230" w:type="dxa"/>
          </w:tcPr>
          <w:p w14:paraId="32494813" w14:textId="77777777" w:rsidR="00BE1ED6" w:rsidRPr="008D1366" w:rsidRDefault="00BE1ED6" w:rsidP="00BE1ED6">
            <w:pPr>
              <w:spacing w:after="160" w:line="259" w:lineRule="auto"/>
              <w:rPr>
                <w:color w:val="000000"/>
                <w:lang w:val="en-US"/>
              </w:rPr>
            </w:pPr>
            <w:r w:rsidRPr="008D1366">
              <w:rPr>
                <w:color w:val="000000"/>
                <w:lang w:val="en-US"/>
              </w:rPr>
              <w:t xml:space="preserve"> Unclear</w:t>
            </w:r>
          </w:p>
        </w:tc>
        <w:tc>
          <w:tcPr>
            <w:tcW w:w="1500" w:type="dxa"/>
          </w:tcPr>
          <w:p w14:paraId="405EE1C9"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380" w:type="dxa"/>
          </w:tcPr>
          <w:p w14:paraId="1308B08B" w14:textId="77777777" w:rsidR="00BE1ED6" w:rsidRPr="008D1366" w:rsidRDefault="00BE1ED6" w:rsidP="00BE1ED6">
            <w:pPr>
              <w:spacing w:after="160" w:line="259" w:lineRule="auto"/>
              <w:rPr>
                <w:color w:val="000000"/>
                <w:lang w:val="en-US"/>
              </w:rPr>
            </w:pPr>
            <w:r w:rsidRPr="008D1366">
              <w:rPr>
                <w:color w:val="000000"/>
                <w:lang w:val="en-US"/>
              </w:rPr>
              <w:t>No</w:t>
            </w:r>
          </w:p>
        </w:tc>
        <w:tc>
          <w:tcPr>
            <w:tcW w:w="1185" w:type="dxa"/>
          </w:tcPr>
          <w:p w14:paraId="4F6973C6"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170" w:type="dxa"/>
          </w:tcPr>
          <w:p w14:paraId="1B8B6460"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336" w:type="dxa"/>
          </w:tcPr>
          <w:p w14:paraId="4D966A80" w14:textId="77777777" w:rsidR="00BE1ED6" w:rsidRPr="008D1366" w:rsidRDefault="00BE1ED6" w:rsidP="00BE1ED6">
            <w:pPr>
              <w:spacing w:after="160" w:line="259" w:lineRule="auto"/>
              <w:rPr>
                <w:color w:val="000000"/>
                <w:lang w:val="en-US"/>
              </w:rPr>
            </w:pPr>
            <w:r w:rsidRPr="008D1366">
              <w:rPr>
                <w:color w:val="000000"/>
                <w:lang w:val="en-US"/>
              </w:rPr>
              <w:t>No</w:t>
            </w:r>
          </w:p>
        </w:tc>
        <w:tc>
          <w:tcPr>
            <w:tcW w:w="1079" w:type="dxa"/>
          </w:tcPr>
          <w:p w14:paraId="1E80901C"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230" w:type="dxa"/>
          </w:tcPr>
          <w:p w14:paraId="45255352"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200" w:type="dxa"/>
          </w:tcPr>
          <w:p w14:paraId="43FA3FC3" w14:textId="77777777" w:rsidR="00BE1ED6" w:rsidRPr="008D1366" w:rsidRDefault="00BE1ED6" w:rsidP="00BE1ED6">
            <w:pPr>
              <w:spacing w:after="160" w:line="259" w:lineRule="auto"/>
              <w:rPr>
                <w:color w:val="000000"/>
                <w:lang w:val="en-US"/>
              </w:rPr>
            </w:pPr>
            <w:r w:rsidRPr="008D1366">
              <w:rPr>
                <w:color w:val="000000"/>
                <w:lang w:val="en-US"/>
              </w:rPr>
              <w:t>Yes</w:t>
            </w:r>
          </w:p>
        </w:tc>
      </w:tr>
      <w:tr w:rsidR="00BE1ED6" w:rsidRPr="008D1366" w14:paraId="699A66C4" w14:textId="77777777" w:rsidTr="008E4437">
        <w:trPr>
          <w:trHeight w:val="795"/>
        </w:trPr>
        <w:tc>
          <w:tcPr>
            <w:tcW w:w="1125" w:type="dxa"/>
          </w:tcPr>
          <w:p w14:paraId="5BAF0823" w14:textId="6B96B3CF" w:rsidR="00BE1ED6" w:rsidRPr="008D1366" w:rsidRDefault="00BE1ED6" w:rsidP="00BE1ED6">
            <w:pPr>
              <w:spacing w:after="160" w:line="259" w:lineRule="auto"/>
              <w:rPr>
                <w:color w:val="000000"/>
                <w:lang w:val="en-US"/>
              </w:rPr>
            </w:pPr>
            <w:proofErr w:type="spellStart"/>
            <w:r w:rsidRPr="008D1366">
              <w:rPr>
                <w:color w:val="000000"/>
                <w:lang w:val="en-US"/>
              </w:rPr>
              <w:t>Margalef</w:t>
            </w:r>
            <w:proofErr w:type="spellEnd"/>
            <w:r w:rsidRPr="008D1366">
              <w:rPr>
                <w:color w:val="000000"/>
                <w:lang w:val="en-US"/>
              </w:rPr>
              <w:t xml:space="preserve"> et al.</w:t>
            </w:r>
            <w:sdt>
              <w:sdtPr>
                <w:rPr>
                  <w:color w:val="000000"/>
                  <w:vertAlign w:val="superscript"/>
                  <w:lang w:val="en-US"/>
                </w:rPr>
                <w:tag w:val="MENDELEY_CITATION_v3_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"/>
                <w:id w:val="250020464"/>
                <w:placeholder>
                  <w:docPart w:val="DefaultPlaceholder_-1854013440"/>
                </w:placeholder>
              </w:sdtPr>
              <w:sdtEndPr/>
              <w:sdtContent>
                <w:r w:rsidR="008168FC" w:rsidRPr="008D1366">
                  <w:rPr>
                    <w:color w:val="000000"/>
                    <w:vertAlign w:val="superscript"/>
                    <w:lang w:val="en-US"/>
                  </w:rPr>
                  <w:t>24</w:t>
                </w:r>
              </w:sdtContent>
            </w:sdt>
            <w:r w:rsidRPr="008D1366">
              <w:rPr>
                <w:color w:val="000000"/>
                <w:lang w:val="en-US"/>
              </w:rPr>
              <w:t xml:space="preserve"> </w:t>
            </w:r>
          </w:p>
        </w:tc>
        <w:tc>
          <w:tcPr>
            <w:tcW w:w="1230" w:type="dxa"/>
          </w:tcPr>
          <w:p w14:paraId="64D80B57"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500" w:type="dxa"/>
          </w:tcPr>
          <w:p w14:paraId="4F3806A2"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380" w:type="dxa"/>
          </w:tcPr>
          <w:p w14:paraId="3363629F"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185" w:type="dxa"/>
          </w:tcPr>
          <w:p w14:paraId="06CB4B93" w14:textId="77777777" w:rsidR="00BE1ED6" w:rsidRPr="008D1366" w:rsidRDefault="00BE1ED6" w:rsidP="00BE1ED6">
            <w:pPr>
              <w:spacing w:after="160" w:line="259" w:lineRule="auto"/>
              <w:rPr>
                <w:color w:val="000000"/>
                <w:lang w:val="en-US"/>
              </w:rPr>
            </w:pPr>
            <w:r w:rsidRPr="008D1366">
              <w:rPr>
                <w:color w:val="000000"/>
                <w:lang w:val="en-US"/>
              </w:rPr>
              <w:t>Yes</w:t>
            </w:r>
          </w:p>
        </w:tc>
        <w:tc>
          <w:tcPr>
            <w:tcW w:w="1170" w:type="dxa"/>
          </w:tcPr>
          <w:p w14:paraId="401F09C3" w14:textId="77777777" w:rsidR="00BE1ED6" w:rsidRPr="008D1366" w:rsidRDefault="00BE1ED6" w:rsidP="00BE1ED6">
            <w:pPr>
              <w:spacing w:after="160" w:line="259" w:lineRule="auto"/>
              <w:rPr>
                <w:color w:val="000000"/>
                <w:lang w:val="en-US"/>
              </w:rPr>
            </w:pPr>
            <w:r w:rsidRPr="008D1366">
              <w:rPr>
                <w:color w:val="000000"/>
                <w:lang w:val="en-US"/>
              </w:rPr>
              <w:t>No</w:t>
            </w:r>
          </w:p>
        </w:tc>
        <w:tc>
          <w:tcPr>
            <w:tcW w:w="1336" w:type="dxa"/>
          </w:tcPr>
          <w:p w14:paraId="01C662FF" w14:textId="77777777" w:rsidR="00BE1ED6" w:rsidRPr="008D1366" w:rsidRDefault="00BE1ED6" w:rsidP="00BE1ED6">
            <w:pPr>
              <w:spacing w:after="160" w:line="259" w:lineRule="auto"/>
              <w:rPr>
                <w:color w:val="000000"/>
                <w:lang w:val="en-US"/>
              </w:rPr>
            </w:pPr>
            <w:r w:rsidRPr="008D1366">
              <w:rPr>
                <w:color w:val="000000"/>
                <w:lang w:val="en-US"/>
              </w:rPr>
              <w:t>No</w:t>
            </w:r>
          </w:p>
        </w:tc>
        <w:tc>
          <w:tcPr>
            <w:tcW w:w="1079" w:type="dxa"/>
          </w:tcPr>
          <w:p w14:paraId="32D08C5B"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230" w:type="dxa"/>
          </w:tcPr>
          <w:p w14:paraId="05A54FFD" w14:textId="77777777" w:rsidR="00BE1ED6" w:rsidRPr="008D1366" w:rsidRDefault="00BE1ED6" w:rsidP="00BE1ED6">
            <w:pPr>
              <w:spacing w:after="160" w:line="259" w:lineRule="auto"/>
              <w:rPr>
                <w:color w:val="000000"/>
                <w:lang w:val="en-US"/>
              </w:rPr>
            </w:pPr>
            <w:r w:rsidRPr="008D1366">
              <w:rPr>
                <w:color w:val="000000"/>
                <w:lang w:val="en-US"/>
              </w:rPr>
              <w:t>No</w:t>
            </w:r>
          </w:p>
        </w:tc>
        <w:tc>
          <w:tcPr>
            <w:tcW w:w="1200" w:type="dxa"/>
          </w:tcPr>
          <w:p w14:paraId="31FA479F" w14:textId="77777777" w:rsidR="00BE1ED6" w:rsidRPr="008D1366" w:rsidRDefault="00BE1ED6" w:rsidP="00BE1ED6">
            <w:pPr>
              <w:spacing w:after="160" w:line="259" w:lineRule="auto"/>
              <w:rPr>
                <w:color w:val="000000"/>
                <w:lang w:val="en-US"/>
              </w:rPr>
            </w:pPr>
            <w:r w:rsidRPr="008D1366">
              <w:rPr>
                <w:color w:val="000000"/>
                <w:lang w:val="en-US"/>
              </w:rPr>
              <w:t>Yes</w:t>
            </w:r>
          </w:p>
        </w:tc>
      </w:tr>
      <w:tr w:rsidR="00BE1ED6" w:rsidRPr="008D1366" w14:paraId="79E79680" w14:textId="77777777" w:rsidTr="008E4437">
        <w:trPr>
          <w:trHeight w:val="795"/>
        </w:trPr>
        <w:tc>
          <w:tcPr>
            <w:tcW w:w="1125" w:type="dxa"/>
          </w:tcPr>
          <w:p w14:paraId="63655C65" w14:textId="2591B56F" w:rsidR="00BE1ED6" w:rsidRPr="008D1366" w:rsidRDefault="00BE1ED6" w:rsidP="00BE1ED6">
            <w:pPr>
              <w:spacing w:after="160" w:line="259" w:lineRule="auto"/>
              <w:rPr>
                <w:color w:val="000000"/>
                <w:lang w:val="en-US"/>
              </w:rPr>
            </w:pPr>
            <w:r w:rsidRPr="008D1366">
              <w:rPr>
                <w:color w:val="000000"/>
                <w:lang w:val="en-US"/>
              </w:rPr>
              <w:t>Huang et al.</w:t>
            </w:r>
            <w:sdt>
              <w:sdtPr>
                <w:rPr>
                  <w:color w:val="000000"/>
                  <w:vertAlign w:val="superscript"/>
                  <w:lang w:val="en-US"/>
                </w:rPr>
                <w:tag w:val="MENDELEY_CITATION_v3_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"/>
                <w:id w:val="-986551630"/>
                <w:placeholder>
                  <w:docPart w:val="DefaultPlaceholder_-1854013440"/>
                </w:placeholder>
              </w:sdtPr>
              <w:sdtEndPr/>
              <w:sdtContent>
                <w:r w:rsidR="008168FC" w:rsidRPr="008D1366">
                  <w:rPr>
                    <w:color w:val="000000"/>
                    <w:vertAlign w:val="superscript"/>
                    <w:lang w:val="en-US"/>
                  </w:rPr>
                  <w:t>29</w:t>
                </w:r>
              </w:sdtContent>
            </w:sdt>
            <w:r w:rsidRPr="008D1366">
              <w:rPr>
                <w:color w:val="000000"/>
                <w:lang w:val="en-US"/>
              </w:rPr>
              <w:t xml:space="preserve"> </w:t>
            </w:r>
          </w:p>
        </w:tc>
        <w:tc>
          <w:tcPr>
            <w:tcW w:w="1230" w:type="dxa"/>
          </w:tcPr>
          <w:p w14:paraId="42967DCF" w14:textId="77777777" w:rsidR="00BE1ED6" w:rsidRPr="008D1366" w:rsidRDefault="00BE1ED6" w:rsidP="00BE1ED6">
            <w:pPr>
              <w:spacing w:after="160" w:line="259" w:lineRule="auto"/>
              <w:rPr>
                <w:color w:val="000000"/>
                <w:lang w:val="en-US"/>
              </w:rPr>
            </w:pPr>
            <w:r w:rsidRPr="008D1366">
              <w:rPr>
                <w:color w:val="000000"/>
                <w:lang w:val="en-US"/>
              </w:rPr>
              <w:t xml:space="preserve"> Unclear</w:t>
            </w:r>
          </w:p>
        </w:tc>
        <w:tc>
          <w:tcPr>
            <w:tcW w:w="1500" w:type="dxa"/>
          </w:tcPr>
          <w:p w14:paraId="2265565A"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380" w:type="dxa"/>
          </w:tcPr>
          <w:p w14:paraId="24AE809B"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185" w:type="dxa"/>
          </w:tcPr>
          <w:p w14:paraId="55887FD7"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170" w:type="dxa"/>
          </w:tcPr>
          <w:p w14:paraId="709D4A85" w14:textId="77777777" w:rsidR="00BE1ED6" w:rsidRPr="008D1366" w:rsidRDefault="00BE1ED6" w:rsidP="00BE1ED6">
            <w:pPr>
              <w:spacing w:after="160" w:line="259" w:lineRule="auto"/>
              <w:rPr>
                <w:color w:val="000000"/>
                <w:lang w:val="en-US"/>
              </w:rPr>
            </w:pPr>
            <w:r w:rsidRPr="008D1366">
              <w:rPr>
                <w:color w:val="000000"/>
                <w:lang w:val="en-US"/>
              </w:rPr>
              <w:t>No</w:t>
            </w:r>
          </w:p>
        </w:tc>
        <w:tc>
          <w:tcPr>
            <w:tcW w:w="1336" w:type="dxa"/>
          </w:tcPr>
          <w:p w14:paraId="5D40D457" w14:textId="77777777" w:rsidR="00BE1ED6" w:rsidRPr="008D1366" w:rsidRDefault="00BE1ED6" w:rsidP="00BE1ED6">
            <w:pPr>
              <w:spacing w:after="160" w:line="259" w:lineRule="auto"/>
              <w:rPr>
                <w:color w:val="000000"/>
                <w:lang w:val="en-US"/>
              </w:rPr>
            </w:pPr>
            <w:r w:rsidRPr="008D1366">
              <w:rPr>
                <w:color w:val="000000"/>
                <w:lang w:val="en-US"/>
              </w:rPr>
              <w:t>No</w:t>
            </w:r>
          </w:p>
        </w:tc>
        <w:tc>
          <w:tcPr>
            <w:tcW w:w="1079" w:type="dxa"/>
          </w:tcPr>
          <w:p w14:paraId="1B1EE98C"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230" w:type="dxa"/>
          </w:tcPr>
          <w:p w14:paraId="0BF24E78" w14:textId="77777777" w:rsidR="00BE1ED6" w:rsidRPr="008D1366" w:rsidRDefault="00BE1ED6" w:rsidP="00BE1ED6">
            <w:pPr>
              <w:spacing w:after="160" w:line="259" w:lineRule="auto"/>
              <w:rPr>
                <w:color w:val="000000"/>
                <w:lang w:val="en-US"/>
              </w:rPr>
            </w:pPr>
            <w:r w:rsidRPr="008D1366">
              <w:rPr>
                <w:color w:val="000000"/>
                <w:lang w:val="en-US"/>
              </w:rPr>
              <w:t>Unclear</w:t>
            </w:r>
          </w:p>
        </w:tc>
        <w:tc>
          <w:tcPr>
            <w:tcW w:w="1200" w:type="dxa"/>
          </w:tcPr>
          <w:p w14:paraId="69B90451" w14:textId="77777777" w:rsidR="00BE1ED6" w:rsidRPr="008D1366" w:rsidRDefault="00BE1ED6" w:rsidP="00BE1ED6">
            <w:pPr>
              <w:spacing w:after="160" w:line="259" w:lineRule="auto"/>
              <w:rPr>
                <w:color w:val="000000"/>
                <w:lang w:val="en-US"/>
              </w:rPr>
            </w:pPr>
            <w:r w:rsidRPr="008D1366">
              <w:rPr>
                <w:color w:val="000000"/>
                <w:lang w:val="en-US"/>
              </w:rPr>
              <w:t>Yes</w:t>
            </w:r>
          </w:p>
        </w:tc>
      </w:tr>
    </w:tbl>
    <w:p w14:paraId="2C944694" w14:textId="4B494EA8" w:rsidR="009965FB" w:rsidRPr="008D1366" w:rsidRDefault="009965FB" w:rsidP="283C53A4">
      <w:pPr>
        <w:rPr>
          <w:color w:val="000000"/>
          <w:lang w:val="en-US"/>
        </w:rPr>
      </w:pPr>
    </w:p>
    <w:sectPr w:rsidR="009965FB" w:rsidRPr="008D1366" w:rsidSect="00BE1ED6">
      <w:headerReference w:type="default" r:id="rId11"/>
      <w:footerReference w:type="even" r:id="rId12"/>
      <w:footerReference w:type="defaul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0602" w14:textId="77777777" w:rsidR="00B45897" w:rsidRDefault="00B45897" w:rsidP="001B31C8">
      <w:pPr>
        <w:spacing w:after="0" w:line="240" w:lineRule="auto"/>
      </w:pPr>
      <w:r>
        <w:separator/>
      </w:r>
    </w:p>
  </w:endnote>
  <w:endnote w:type="continuationSeparator" w:id="0">
    <w:p w14:paraId="51588A8B" w14:textId="77777777" w:rsidR="00B45897" w:rsidRDefault="00B45897" w:rsidP="001B31C8">
      <w:pPr>
        <w:spacing w:after="0" w:line="240" w:lineRule="auto"/>
      </w:pPr>
      <w:r>
        <w:continuationSeparator/>
      </w:r>
    </w:p>
  </w:endnote>
  <w:endnote w:type="continuationNotice" w:id="1">
    <w:p w14:paraId="2A732F30" w14:textId="77777777" w:rsidR="00B45897" w:rsidRDefault="00B45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A249" w14:textId="56888428" w:rsidR="000B50EB" w:rsidRDefault="000B50EB">
    <w:pPr>
      <w:pStyle w:val="Footer"/>
    </w:pPr>
    <w:r>
      <w:rPr>
        <w:noProof/>
        <w14:ligatures w14:val="standardContextual"/>
      </w:rPr>
      <mc:AlternateContent>
        <mc:Choice Requires="wps">
          <w:drawing>
            <wp:anchor distT="0" distB="0" distL="0" distR="0" simplePos="0" relativeHeight="251663366" behindDoc="0" locked="0" layoutInCell="1" allowOverlap="1" wp14:anchorId="4E42D8CF" wp14:editId="50E24EC5">
              <wp:simplePos x="635" y="635"/>
              <wp:positionH relativeFrom="page">
                <wp:align>left</wp:align>
              </wp:positionH>
              <wp:positionV relativeFrom="page">
                <wp:align>bottom</wp:align>
              </wp:positionV>
              <wp:extent cx="443865" cy="443865"/>
              <wp:effectExtent l="0" t="0" r="9525" b="0"/>
              <wp:wrapNone/>
              <wp:docPr id="1365552041"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EE7331" w14:textId="54C5E874"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2D8CF" id="_x0000_t202" coordsize="21600,21600" o:spt="202" path="m,l,21600r21600,l21600,xe">
              <v:stroke joinstyle="miter"/>
              <v:path gradientshapeok="t" o:connecttype="rect"/>
            </v:shapetype>
            <v:shape id="Text Box 5" o:spid="_x0000_s1026" type="#_x0000_t202" alt="Information Classification: General" style="position:absolute;margin-left:0;margin-top:0;width:34.95pt;height:34.95pt;z-index:2516633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6EE7331" w14:textId="54C5E874"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C909" w14:textId="0A44EF71" w:rsidR="00D35790" w:rsidRPr="00C96CC3" w:rsidRDefault="000B50EB" w:rsidP="000408FA">
    <w:pPr>
      <w:pStyle w:val="Footer"/>
      <w:tabs>
        <w:tab w:val="clear" w:pos="4680"/>
        <w:tab w:val="left" w:pos="330"/>
      </w:tabs>
      <w:rPr>
        <w:rFonts w:ascii="Arial" w:hAnsi="Arial" w:cs="Arial"/>
        <w:b/>
      </w:rPr>
    </w:pPr>
    <w:r>
      <w:rPr>
        <w:noProof/>
        <w14:ligatures w14:val="standardContextual"/>
      </w:rPr>
      <mc:AlternateContent>
        <mc:Choice Requires="wps">
          <w:drawing>
            <wp:anchor distT="0" distB="0" distL="0" distR="0" simplePos="0" relativeHeight="251664390" behindDoc="0" locked="0" layoutInCell="1" allowOverlap="1" wp14:anchorId="11A26D70" wp14:editId="0D53178C">
              <wp:simplePos x="914400" y="9269506"/>
              <wp:positionH relativeFrom="page">
                <wp:align>left</wp:align>
              </wp:positionH>
              <wp:positionV relativeFrom="page">
                <wp:align>bottom</wp:align>
              </wp:positionV>
              <wp:extent cx="443865" cy="443865"/>
              <wp:effectExtent l="0" t="0" r="9525" b="0"/>
              <wp:wrapNone/>
              <wp:docPr id="760440006"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E2956" w14:textId="33C4B710"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A26D70" id="_x0000_t202" coordsize="21600,21600" o:spt="202" path="m,l,21600r21600,l21600,xe">
              <v:stroke joinstyle="miter"/>
              <v:path gradientshapeok="t" o:connecttype="rect"/>
            </v:shapetype>
            <v:shape id="Text Box 6" o:spid="_x0000_s1027" type="#_x0000_t202" alt="Information Classification: General" style="position:absolute;margin-left:0;margin-top:0;width:34.95pt;height:34.95pt;z-index:2516643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83E2956" w14:textId="33C4B710"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2062169730"/>
        <w:docPartObj>
          <w:docPartGallery w:val="Page Numbers (Bottom of Page)"/>
          <w:docPartUnique/>
        </w:docPartObj>
      </w:sdtPr>
      <w:sdtEndPr>
        <w:rPr>
          <w:rFonts w:ascii="Arial" w:hAnsi="Arial" w:cs="Arial"/>
          <w:b/>
          <w:noProof/>
        </w:rPr>
      </w:sdtEndPr>
      <w:sdtContent>
        <w:r w:rsidR="008F3EA5">
          <w:rPr>
            <w:noProof/>
          </w:rPr>
          <mc:AlternateContent>
            <mc:Choice Requires="wps">
              <w:drawing>
                <wp:anchor distT="0" distB="0" distL="114300" distR="114300" simplePos="0" relativeHeight="251658241" behindDoc="0" locked="0" layoutInCell="1" allowOverlap="1" wp14:anchorId="1CD2EADD" wp14:editId="6288F3E7">
                  <wp:simplePos x="0" y="0"/>
                  <wp:positionH relativeFrom="column">
                    <wp:posOffset>228600</wp:posOffset>
                  </wp:positionH>
                  <wp:positionV relativeFrom="paragraph">
                    <wp:posOffset>-21590</wp:posOffset>
                  </wp:positionV>
                  <wp:extent cx="1352550" cy="590550"/>
                  <wp:effectExtent l="0" t="0" r="0" b="0"/>
                  <wp:wrapNone/>
                  <wp:docPr id="95" name="Pole tekstowe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ABC3A" w14:textId="77777777" w:rsidR="00D35790" w:rsidRDefault="008F3EA5">
                              <w:r>
                                <w:rPr>
                                  <w:noProof/>
                                </w:rPr>
                                <w:drawing>
                                  <wp:inline distT="0" distB="0" distL="0" distR="0" wp14:anchorId="3A43BDBC" wp14:editId="53D2B8A7">
                                    <wp:extent cx="762000" cy="432816"/>
                                    <wp:effectExtent l="0" t="0" r="0" b="5715"/>
                                    <wp:docPr id="1778192956" name="Obraz 177819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2EADD" id="Pole tekstowe 95" o:spid="_x0000_s1028" type="#_x0000_t202" style="position:absolute;margin-left:18pt;margin-top:-1.7pt;width:106.5pt;height: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" fillcolor="white [3201]" stroked="f" strokeweight=".5pt">
                  <v:textbox>
                    <w:txbxContent>
                      <w:p w14:paraId="519ABC3A" w14:textId="77777777" w:rsidR="00D35790" w:rsidRDefault="008F3EA5">
                        <w:r>
                          <w:rPr>
                            <w:noProof/>
                          </w:rPr>
                          <w:drawing>
                            <wp:inline distT="0" distB="0" distL="0" distR="0" wp14:anchorId="3A43BDBC" wp14:editId="53D2B8A7">
                              <wp:extent cx="762000" cy="432816"/>
                              <wp:effectExtent l="0" t="0" r="0" b="5715"/>
                              <wp:docPr id="1778192956" name="Obraz 177819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8F3EA5">
          <w:tab/>
          <w:t xml:space="preserve"> </w:t>
        </w:r>
        <w:r w:rsidR="008F3EA5" w:rsidRPr="005E69D9">
          <w:rPr>
            <w:rFonts w:ascii="Arial" w:hAnsi="Arial" w:cs="Arial"/>
            <w:noProof/>
          </w:rPr>
          <w:drawing>
            <wp:anchor distT="0" distB="0" distL="114300" distR="114300" simplePos="0" relativeHeight="251658240" behindDoc="0" locked="0" layoutInCell="1" allowOverlap="1" wp14:anchorId="3B01DA08" wp14:editId="51163B13">
              <wp:simplePos x="0" y="0"/>
              <wp:positionH relativeFrom="column">
                <wp:posOffset>-445770</wp:posOffset>
              </wp:positionH>
              <wp:positionV relativeFrom="paragraph">
                <wp:posOffset>-2540</wp:posOffset>
              </wp:positionV>
              <wp:extent cx="495300" cy="499745"/>
              <wp:effectExtent l="0" t="0" r="0" b="0"/>
              <wp:wrapSquare wrapText="bothSides"/>
              <wp:docPr id="1877890812" name="Obraz 187789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8F3EA5">
      <w:rPr>
        <w:rFonts w:ascii="Arial" w:hAnsi="Arial" w:cs="Arial"/>
        <w:b/>
        <w:noProof/>
      </w:rPr>
      <w:tab/>
    </w:r>
  </w:p>
  <w:p w14:paraId="5B773722" w14:textId="77777777" w:rsidR="00D35790" w:rsidRDefault="008F3EA5" w:rsidP="000408FA">
    <w:pPr>
      <w:pStyle w:val="Footer"/>
      <w:tabs>
        <w:tab w:val="left" w:pos="6435"/>
      </w:tabs>
      <w:jc w:val="right"/>
    </w:pPr>
    <w:r w:rsidRPr="00D5306E">
      <w:rPr>
        <w:noProof/>
      </w:rPr>
      <mc:AlternateContent>
        <mc:Choice Requires="wps">
          <w:drawing>
            <wp:anchor distT="0" distB="0" distL="114300" distR="114300" simplePos="0" relativeHeight="251658242" behindDoc="0" locked="0" layoutInCell="1" allowOverlap="1" wp14:anchorId="5CE51D65" wp14:editId="5CA58F32">
              <wp:simplePos x="0" y="0"/>
              <wp:positionH relativeFrom="column">
                <wp:posOffset>-1534795</wp:posOffset>
              </wp:positionH>
              <wp:positionV relativeFrom="paragraph">
                <wp:posOffset>680720</wp:posOffset>
              </wp:positionV>
              <wp:extent cx="9886315" cy="228600"/>
              <wp:effectExtent l="0" t="0" r="635" b="0"/>
              <wp:wrapNone/>
              <wp:docPr id="26" name="Dowolny kształt: kształt 26"/>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67A19931">
            <v:shape id="Rectangle 12" style="position:absolute;margin-left:-120.85pt;margin-top:53.6pt;width:778.4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spid="_x0000_s1026" fillcolor="#a5a5a5 [3206]" stroked="f" strokeweight="1pt" path="m861333,244r7825563,l8686896,228844,96,228844c-10536,227072,861333,-8617,861333,2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" w14:anchorId="75255CB0">
              <v:fill type="gradientRadial" color2="#7b7b7b [2406]" focus="100%" rotate="t"/>
              <v:stroke joinstyle="miter"/>
              <v:path arrowok="t" o:connecttype="custom" o:connectlocs="980259,244;9886315,244;9886315,228600;109,228600;980259,244" o:connectangles="0,0,0,0,0"/>
            </v:shap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14E6" w14:textId="5997E1B5" w:rsidR="000B50EB" w:rsidRDefault="000B50EB">
    <w:pPr>
      <w:pStyle w:val="Footer"/>
    </w:pPr>
    <w:r>
      <w:rPr>
        <w:noProof/>
        <w14:ligatures w14:val="standardContextual"/>
      </w:rPr>
      <mc:AlternateContent>
        <mc:Choice Requires="wps">
          <w:drawing>
            <wp:anchor distT="0" distB="0" distL="0" distR="0" simplePos="0" relativeHeight="251662342" behindDoc="0" locked="0" layoutInCell="1" allowOverlap="1" wp14:anchorId="32BABE50" wp14:editId="3E79068E">
              <wp:simplePos x="635" y="635"/>
              <wp:positionH relativeFrom="page">
                <wp:align>left</wp:align>
              </wp:positionH>
              <wp:positionV relativeFrom="page">
                <wp:align>bottom</wp:align>
              </wp:positionV>
              <wp:extent cx="443865" cy="443865"/>
              <wp:effectExtent l="0" t="0" r="9525" b="0"/>
              <wp:wrapNone/>
              <wp:docPr id="780056724"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75D175" w14:textId="33F12FCD"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ABE50" id="_x0000_t202" coordsize="21600,21600" o:spt="202" path="m,l,21600r21600,l21600,xe">
              <v:stroke joinstyle="miter"/>
              <v:path gradientshapeok="t" o:connecttype="rect"/>
            </v:shapetype>
            <v:shape id="Text Box 4" o:spid="_x0000_s1029" type="#_x0000_t202" alt="Information Classification: General" style="position:absolute;margin-left:0;margin-top:0;width:34.95pt;height:34.95pt;z-index:2516623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575D175" w14:textId="33F12FCD"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64B5" w14:textId="2A1C8666" w:rsidR="000B50EB" w:rsidRDefault="000B50EB">
    <w:pPr>
      <w:pStyle w:val="Footer"/>
    </w:pPr>
    <w:r>
      <w:rPr>
        <w:noProof/>
        <w14:ligatures w14:val="standardContextual"/>
      </w:rPr>
      <mc:AlternateContent>
        <mc:Choice Requires="wps">
          <w:drawing>
            <wp:anchor distT="0" distB="0" distL="0" distR="0" simplePos="0" relativeHeight="251666438" behindDoc="0" locked="0" layoutInCell="1" allowOverlap="1" wp14:anchorId="235CC19C" wp14:editId="760B6AA8">
              <wp:simplePos x="635" y="635"/>
              <wp:positionH relativeFrom="page">
                <wp:align>left</wp:align>
              </wp:positionH>
              <wp:positionV relativeFrom="page">
                <wp:align>bottom</wp:align>
              </wp:positionV>
              <wp:extent cx="443865" cy="443865"/>
              <wp:effectExtent l="0" t="0" r="9525" b="0"/>
              <wp:wrapNone/>
              <wp:docPr id="331138708" name="Text Box 8"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F4EB5" w14:textId="161B5D62"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5CC19C" id="_x0000_t202" coordsize="21600,21600" o:spt="202" path="m,l,21600r21600,l21600,xe">
              <v:stroke joinstyle="miter"/>
              <v:path gradientshapeok="t" o:connecttype="rect"/>
            </v:shapetype>
            <v:shape id="Text Box 8" o:spid="_x0000_s1030" type="#_x0000_t202" alt="Information Classification: General" style="position:absolute;margin-left:0;margin-top:0;width:34.95pt;height:34.95pt;z-index:25166643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521F4EB5" w14:textId="161B5D62"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EF73" w14:textId="538A11C0" w:rsidR="00DE625C" w:rsidRPr="00C96CC3" w:rsidRDefault="000B50EB" w:rsidP="000408FA">
    <w:pPr>
      <w:pStyle w:val="Footer"/>
      <w:tabs>
        <w:tab w:val="clear" w:pos="4680"/>
        <w:tab w:val="left" w:pos="330"/>
      </w:tabs>
      <w:rPr>
        <w:rFonts w:ascii="Arial" w:hAnsi="Arial" w:cs="Arial"/>
        <w:b/>
      </w:rPr>
    </w:pPr>
    <w:r>
      <w:rPr>
        <w:noProof/>
        <w14:ligatures w14:val="standardContextual"/>
      </w:rPr>
      <mc:AlternateContent>
        <mc:Choice Requires="wps">
          <w:drawing>
            <wp:anchor distT="0" distB="0" distL="0" distR="0" simplePos="0" relativeHeight="251667462" behindDoc="0" locked="0" layoutInCell="1" allowOverlap="1" wp14:anchorId="72D7C984" wp14:editId="0D717E86">
              <wp:simplePos x="914400" y="6983506"/>
              <wp:positionH relativeFrom="page">
                <wp:align>left</wp:align>
              </wp:positionH>
              <wp:positionV relativeFrom="page">
                <wp:align>bottom</wp:align>
              </wp:positionV>
              <wp:extent cx="443865" cy="443865"/>
              <wp:effectExtent l="0" t="0" r="9525" b="0"/>
              <wp:wrapNone/>
              <wp:docPr id="1522110643" name="Text Box 9"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93A1B" w14:textId="1AB702BD"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D7C984" id="_x0000_t202" coordsize="21600,21600" o:spt="202" path="m,l,21600r21600,l21600,xe">
              <v:stroke joinstyle="miter"/>
              <v:path gradientshapeok="t" o:connecttype="rect"/>
            </v:shapetype>
            <v:shape id="Text Box 9" o:spid="_x0000_s1031" type="#_x0000_t202" alt="Information Classification: General" style="position:absolute;margin-left:0;margin-top:0;width:34.95pt;height:34.95pt;z-index:25166746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59793A1B" w14:textId="1AB702BD"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288277575"/>
        <w:docPartObj>
          <w:docPartGallery w:val="Page Numbers (Bottom of Page)"/>
          <w:docPartUnique/>
        </w:docPartObj>
      </w:sdtPr>
      <w:sdtEndPr>
        <w:rPr>
          <w:rFonts w:ascii="Arial" w:hAnsi="Arial" w:cs="Arial"/>
          <w:b/>
          <w:noProof/>
        </w:rPr>
      </w:sdtEndPr>
      <w:sdtContent>
        <w:r w:rsidR="00DE625C">
          <w:rPr>
            <w:noProof/>
          </w:rPr>
          <mc:AlternateContent>
            <mc:Choice Requires="wps">
              <w:drawing>
                <wp:anchor distT="0" distB="0" distL="114300" distR="114300" simplePos="0" relativeHeight="251658245" behindDoc="0" locked="0" layoutInCell="1" allowOverlap="1" wp14:anchorId="7BDF0236" wp14:editId="3564B9C5">
                  <wp:simplePos x="0" y="0"/>
                  <wp:positionH relativeFrom="column">
                    <wp:posOffset>228600</wp:posOffset>
                  </wp:positionH>
                  <wp:positionV relativeFrom="paragraph">
                    <wp:posOffset>-21590</wp:posOffset>
                  </wp:positionV>
                  <wp:extent cx="1352550" cy="590550"/>
                  <wp:effectExtent l="0" t="0" r="0" b="0"/>
                  <wp:wrapNone/>
                  <wp:docPr id="904503979" name="Pole tekstowe 904503979"/>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A9049" w14:textId="6979F417" w:rsidR="00DE625C" w:rsidRDefault="00DE62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F0236" id="Pole tekstowe 904503979" o:spid="_x0000_s1032" type="#_x0000_t202" style="position:absolute;margin-left:18pt;margin-top:-1.7pt;width:106.5pt;height:4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" fillcolor="white [3201]" stroked="f" strokeweight=".5pt">
                  <v:textbox>
                    <w:txbxContent>
                      <w:p w14:paraId="076A9049" w14:textId="6979F417" w:rsidR="00DE625C" w:rsidRDefault="00DE625C"/>
                    </w:txbxContent>
                  </v:textbox>
                </v:shape>
              </w:pict>
            </mc:Fallback>
          </mc:AlternateContent>
        </w:r>
        <w:r w:rsidR="00DE625C">
          <w:tab/>
          <w:t xml:space="preserve"> </w:t>
        </w:r>
      </w:sdtContent>
    </w:sdt>
    <w:r w:rsidR="00DE625C">
      <w:rPr>
        <w:rFonts w:ascii="Arial" w:hAnsi="Arial" w:cs="Arial"/>
        <w:b/>
        <w:noProof/>
      </w:rPr>
      <w:tab/>
    </w:r>
  </w:p>
  <w:p w14:paraId="139FFDF9" w14:textId="77777777" w:rsidR="00DE625C" w:rsidRDefault="00DE625C" w:rsidP="000408FA">
    <w:pPr>
      <w:pStyle w:val="Footer"/>
      <w:tabs>
        <w:tab w:val="left" w:pos="6435"/>
      </w:tabs>
      <w:jc w:val="right"/>
    </w:pPr>
    <w:r w:rsidRPr="00D5306E">
      <w:rPr>
        <w:noProof/>
      </w:rPr>
      <mc:AlternateContent>
        <mc:Choice Requires="wps">
          <w:drawing>
            <wp:anchor distT="0" distB="0" distL="114300" distR="114300" simplePos="0" relativeHeight="251658246" behindDoc="0" locked="0" layoutInCell="1" allowOverlap="1" wp14:anchorId="2703A78C" wp14:editId="523F6BD7">
              <wp:simplePos x="0" y="0"/>
              <wp:positionH relativeFrom="column">
                <wp:posOffset>-1534795</wp:posOffset>
              </wp:positionH>
              <wp:positionV relativeFrom="paragraph">
                <wp:posOffset>680720</wp:posOffset>
              </wp:positionV>
              <wp:extent cx="9886315" cy="228600"/>
              <wp:effectExtent l="0" t="0" r="635" b="0"/>
              <wp:wrapNone/>
              <wp:docPr id="688236403" name="Dowolny kształt: kształt 688236403"/>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arto="http://schemas.microsoft.com/office/word/2006/arto">
          <w:pict w14:anchorId="0AAAC90F">
            <v:shape id="Rectangle 12" style="position:absolute;margin-left:-120.85pt;margin-top:53.6pt;width:778.4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spid="_x0000_s1026" fillcolor="#a5a5a5 [3206]" stroked="f" strokeweight="1pt" path="m861333,244r7825563,l8686896,228844,96,228844c-10536,227072,861333,-8617,861333,2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" w14:anchorId="50AA275B">
              <v:fill type="gradientRadial" color2="#7b7b7b [2406]" focus="100%" rotate="t"/>
              <v:stroke joinstyle="miter"/>
              <v:path arrowok="t" o:connecttype="custom" o:connectlocs="980259,244;9886315,244;9886315,228600;109,228600;980259,244" o:connectangles="0,0,0,0,0"/>
            </v:shap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C305" w14:textId="5DC50E51" w:rsidR="000B50EB" w:rsidRDefault="000B50EB">
    <w:pPr>
      <w:pStyle w:val="Footer"/>
    </w:pPr>
    <w:r>
      <w:rPr>
        <w:noProof/>
        <w14:ligatures w14:val="standardContextual"/>
      </w:rPr>
      <mc:AlternateContent>
        <mc:Choice Requires="wps">
          <w:drawing>
            <wp:anchor distT="0" distB="0" distL="0" distR="0" simplePos="0" relativeHeight="251665414" behindDoc="0" locked="0" layoutInCell="1" allowOverlap="1" wp14:anchorId="6BC32FF6" wp14:editId="0581ACC0">
              <wp:simplePos x="635" y="635"/>
              <wp:positionH relativeFrom="page">
                <wp:align>left</wp:align>
              </wp:positionH>
              <wp:positionV relativeFrom="page">
                <wp:align>bottom</wp:align>
              </wp:positionV>
              <wp:extent cx="443865" cy="443865"/>
              <wp:effectExtent l="0" t="0" r="9525" b="0"/>
              <wp:wrapNone/>
              <wp:docPr id="1899026996" name="Text Box 7"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49975" w14:textId="5AC0056E"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C32FF6" id="_x0000_t202" coordsize="21600,21600" o:spt="202" path="m,l,21600r21600,l21600,xe">
              <v:stroke joinstyle="miter"/>
              <v:path gradientshapeok="t" o:connecttype="rect"/>
            </v:shapetype>
            <v:shape id="Text Box 7" o:spid="_x0000_s1033" type="#_x0000_t202" alt="Information Classification: General" style="position:absolute;margin-left:0;margin-top:0;width:34.95pt;height:34.95pt;z-index:2516654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58449975" w14:textId="5AC0056E" w:rsidR="000B50EB" w:rsidRPr="000B50EB" w:rsidRDefault="000B50EB" w:rsidP="000B50EB">
                    <w:pPr>
                      <w:spacing w:after="0"/>
                      <w:rPr>
                        <w:rFonts w:ascii="Rockwell" w:eastAsia="Rockwell" w:hAnsi="Rockwell" w:cs="Rockwell"/>
                        <w:noProof/>
                        <w:color w:val="0078D7"/>
                        <w:sz w:val="18"/>
                        <w:szCs w:val="18"/>
                      </w:rPr>
                    </w:pPr>
                    <w:r w:rsidRPr="000B50E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5A7A" w14:textId="77777777" w:rsidR="00B45897" w:rsidRDefault="00B45897" w:rsidP="001B31C8">
      <w:pPr>
        <w:spacing w:after="0" w:line="240" w:lineRule="auto"/>
      </w:pPr>
      <w:r>
        <w:separator/>
      </w:r>
    </w:p>
  </w:footnote>
  <w:footnote w:type="continuationSeparator" w:id="0">
    <w:p w14:paraId="5E1ADD99" w14:textId="77777777" w:rsidR="00B45897" w:rsidRDefault="00B45897" w:rsidP="001B31C8">
      <w:pPr>
        <w:spacing w:after="0" w:line="240" w:lineRule="auto"/>
      </w:pPr>
      <w:r>
        <w:continuationSeparator/>
      </w:r>
    </w:p>
  </w:footnote>
  <w:footnote w:type="continuationNotice" w:id="1">
    <w:p w14:paraId="617995D2" w14:textId="77777777" w:rsidR="00B45897" w:rsidRDefault="00B45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B2F6" w14:textId="77777777" w:rsidR="00D35790" w:rsidRDefault="008F3EA5">
    <w:pPr>
      <w:pStyle w:val="Header"/>
    </w:pPr>
    <w:r w:rsidRPr="00A22784">
      <w:rPr>
        <w:noProof/>
      </w:rPr>
      <mc:AlternateContent>
        <mc:Choice Requires="wps">
          <w:drawing>
            <wp:anchor distT="0" distB="0" distL="114300" distR="114300" simplePos="0" relativeHeight="251658243" behindDoc="0" locked="0" layoutInCell="1" allowOverlap="1" wp14:anchorId="7A2CE647" wp14:editId="278B2183">
              <wp:simplePos x="0" y="0"/>
              <wp:positionH relativeFrom="column">
                <wp:posOffset>-920750</wp:posOffset>
              </wp:positionH>
              <wp:positionV relativeFrom="paragraph">
                <wp:posOffset>-461010</wp:posOffset>
              </wp:positionV>
              <wp:extent cx="10431145" cy="228600"/>
              <wp:effectExtent l="0" t="0" r="8255" b="0"/>
              <wp:wrapNone/>
              <wp:docPr id="12" name="Prostokąt 12"/>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http://schemas.openxmlformats.org/drawingml/2006/main">
          <w:pict w14:anchorId="5DA6F010">
            <v:rect id="Rectangle 11" style="position:absolute;margin-left:-72.5pt;margin-top:-36.3pt;width:821.3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d="f" strokeweight="1pt" w14:anchorId="6D3D3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">
              <v:fill type="gradientRadial" color2="#1f3763 [1604]" focus="100%" focussize="" focusposition="1,1"/>
            </v:rect>
          </w:pict>
        </mc:Fallback>
      </mc:AlternateContent>
    </w:r>
    <w:r w:rsidRPr="00A22784">
      <w:rPr>
        <w:noProof/>
      </w:rPr>
      <mc:AlternateContent>
        <mc:Choice Requires="wps">
          <w:drawing>
            <wp:anchor distT="0" distB="0" distL="114300" distR="114300" simplePos="0" relativeHeight="251658244" behindDoc="0" locked="0" layoutInCell="1" allowOverlap="1" wp14:anchorId="1F9171D6" wp14:editId="32B4516A">
              <wp:simplePos x="0" y="0"/>
              <wp:positionH relativeFrom="column">
                <wp:posOffset>-401320</wp:posOffset>
              </wp:positionH>
              <wp:positionV relativeFrom="paragraph">
                <wp:posOffset>-461010</wp:posOffset>
              </wp:positionV>
              <wp:extent cx="9886315" cy="228600"/>
              <wp:effectExtent l="0" t="0" r="635" b="0"/>
              <wp:wrapNone/>
              <wp:docPr id="13" name="Dowolny kształt: kształt 13"/>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http://schemas.openxmlformats.org/drawingml/2006/main">
          <w:pict w14:anchorId="509A0C76">
            <v:shape id="Rectangle 12" style="position:absolute;margin-left:-31.6pt;margin-top:-36.3pt;width:778.4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spid="_x0000_s1026" fillcolor="#a5a5a5 [3206]" stroked="f" strokeweight="1pt" path="m861333,244r7825563,l8686896,228844,96,228844c-10536,227072,861333,-8617,861333,2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" w14:anchorId="5D55DAE0">
              <v:fill type="gradientRadial" color2="#7b7b7b [2406]" focus="100%" rotate="t"/>
              <v:stroke joinstyle="miter"/>
              <v:path arrowok="t" o:connecttype="custom" o:connectlocs="980259,244;9886315,244;9886315,228600;109,228600;980259,244" o:connectangles="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2CED" w14:textId="6AF64570" w:rsidR="00DE625C" w:rsidRDefault="00DE6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61"/>
    <w:rsid w:val="0002035C"/>
    <w:rsid w:val="000408FA"/>
    <w:rsid w:val="000B50EB"/>
    <w:rsid w:val="001467A0"/>
    <w:rsid w:val="00183A60"/>
    <w:rsid w:val="001B31C8"/>
    <w:rsid w:val="0024578A"/>
    <w:rsid w:val="0029213E"/>
    <w:rsid w:val="002A04AA"/>
    <w:rsid w:val="002C04E2"/>
    <w:rsid w:val="00351AF7"/>
    <w:rsid w:val="003F6137"/>
    <w:rsid w:val="00432FD2"/>
    <w:rsid w:val="00471893"/>
    <w:rsid w:val="00471AF0"/>
    <w:rsid w:val="004D57E3"/>
    <w:rsid w:val="004E0873"/>
    <w:rsid w:val="004F52A3"/>
    <w:rsid w:val="0053178F"/>
    <w:rsid w:val="00536DF5"/>
    <w:rsid w:val="00581B91"/>
    <w:rsid w:val="00682F27"/>
    <w:rsid w:val="006A33E7"/>
    <w:rsid w:val="006B4543"/>
    <w:rsid w:val="006B5FB0"/>
    <w:rsid w:val="006F7AFC"/>
    <w:rsid w:val="007035AC"/>
    <w:rsid w:val="00726D76"/>
    <w:rsid w:val="008168FC"/>
    <w:rsid w:val="00820661"/>
    <w:rsid w:val="008561AF"/>
    <w:rsid w:val="008654F8"/>
    <w:rsid w:val="008D1366"/>
    <w:rsid w:val="008E4437"/>
    <w:rsid w:val="008F3EA5"/>
    <w:rsid w:val="00920800"/>
    <w:rsid w:val="009965FB"/>
    <w:rsid w:val="009C27D5"/>
    <w:rsid w:val="00B01D32"/>
    <w:rsid w:val="00B442F1"/>
    <w:rsid w:val="00B45897"/>
    <w:rsid w:val="00B714C2"/>
    <w:rsid w:val="00BE1ED6"/>
    <w:rsid w:val="00C51F6F"/>
    <w:rsid w:val="00C81E24"/>
    <w:rsid w:val="00CE4B9B"/>
    <w:rsid w:val="00D156FA"/>
    <w:rsid w:val="00D35790"/>
    <w:rsid w:val="00DD41F4"/>
    <w:rsid w:val="00DE625C"/>
    <w:rsid w:val="00E114D0"/>
    <w:rsid w:val="00E53D55"/>
    <w:rsid w:val="00E61C60"/>
    <w:rsid w:val="00E82931"/>
    <w:rsid w:val="00F8549E"/>
    <w:rsid w:val="283C53A4"/>
    <w:rsid w:val="64E5C9B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2D1D2"/>
  <w15:chartTrackingRefBased/>
  <w15:docId w15:val="{381B0599-C946-4DC7-8D07-487F4C93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31"/>
    <w:rPr>
      <w:rFonts w:ascii="Calibri" w:eastAsia="Calibri" w:hAnsi="Calibri" w:cs="Calibri"/>
      <w:kern w:val="0"/>
      <w:lang w:val="en-GB" w:eastAsia="pl-P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CE4B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6F7AF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D76"/>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726D76"/>
    <w:rPr>
      <w:kern w:val="0"/>
      <w:lang w:val="en-US"/>
      <w14:ligatures w14:val="none"/>
    </w:rPr>
  </w:style>
  <w:style w:type="paragraph" w:styleId="Footer">
    <w:name w:val="footer"/>
    <w:basedOn w:val="Normal"/>
    <w:link w:val="FooterChar"/>
    <w:uiPriority w:val="99"/>
    <w:unhideWhenUsed/>
    <w:rsid w:val="00726D76"/>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726D76"/>
    <w:rPr>
      <w:kern w:val="0"/>
      <w:lang w:val="en-US"/>
      <w14:ligatures w14:val="none"/>
    </w:rPr>
  </w:style>
  <w:style w:type="character" w:styleId="Hyperlink">
    <w:name w:val="Hyperlink"/>
    <w:basedOn w:val="DefaultParagraphFont"/>
    <w:uiPriority w:val="99"/>
    <w:unhideWhenUsed/>
    <w:rsid w:val="00726D76"/>
    <w:rPr>
      <w:color w:val="0563C1" w:themeColor="hyperlink"/>
      <w:u w:val="single"/>
    </w:rPr>
  </w:style>
  <w:style w:type="table" w:customStyle="1" w:styleId="TableGridLight1">
    <w:name w:val="Table Grid Light1"/>
    <w:basedOn w:val="TableNormal"/>
    <w:uiPriority w:val="40"/>
    <w:rsid w:val="00726D76"/>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F3EA5"/>
    <w:rPr>
      <w:sz w:val="16"/>
      <w:szCs w:val="16"/>
    </w:rPr>
  </w:style>
  <w:style w:type="paragraph" w:styleId="CommentText">
    <w:name w:val="annotation text"/>
    <w:basedOn w:val="Normal"/>
    <w:link w:val="CommentTextChar"/>
    <w:uiPriority w:val="99"/>
    <w:unhideWhenUsed/>
    <w:rsid w:val="008F3EA5"/>
    <w:pPr>
      <w:spacing w:line="240" w:lineRule="auto"/>
    </w:pPr>
    <w:rPr>
      <w:sz w:val="20"/>
      <w:szCs w:val="20"/>
    </w:rPr>
  </w:style>
  <w:style w:type="character" w:customStyle="1" w:styleId="CommentTextChar">
    <w:name w:val="Comment Text Char"/>
    <w:basedOn w:val="DefaultParagraphFont"/>
    <w:link w:val="CommentText"/>
    <w:uiPriority w:val="99"/>
    <w:rsid w:val="008F3EA5"/>
    <w:rPr>
      <w:rFonts w:ascii="Calibri" w:eastAsia="Calibri" w:hAnsi="Calibri" w:cs="Calibri"/>
      <w:kern w:val="0"/>
      <w:sz w:val="20"/>
      <w:szCs w:val="20"/>
      <w:lang w:val="en-GB" w:eastAsia="pl-PL"/>
      <w14:ligatures w14:val="none"/>
    </w:rPr>
  </w:style>
  <w:style w:type="paragraph" w:styleId="CommentSubject">
    <w:name w:val="annotation subject"/>
    <w:basedOn w:val="CommentText"/>
    <w:next w:val="CommentText"/>
    <w:link w:val="CommentSubjectChar"/>
    <w:uiPriority w:val="99"/>
    <w:semiHidden/>
    <w:unhideWhenUsed/>
    <w:rsid w:val="008F3EA5"/>
    <w:rPr>
      <w:b/>
      <w:bCs/>
    </w:rPr>
  </w:style>
  <w:style w:type="character" w:customStyle="1" w:styleId="CommentSubjectChar">
    <w:name w:val="Comment Subject Char"/>
    <w:basedOn w:val="CommentTextChar"/>
    <w:link w:val="CommentSubject"/>
    <w:uiPriority w:val="99"/>
    <w:semiHidden/>
    <w:rsid w:val="008F3EA5"/>
    <w:rPr>
      <w:rFonts w:ascii="Calibri" w:eastAsia="Calibri" w:hAnsi="Calibri" w:cs="Calibri"/>
      <w:b/>
      <w:bCs/>
      <w:kern w:val="0"/>
      <w:sz w:val="20"/>
      <w:szCs w:val="20"/>
      <w:lang w:val="en-GB" w:eastAsia="pl-PL"/>
      <w14:ligatures w14:val="none"/>
    </w:rPr>
  </w:style>
  <w:style w:type="paragraph" w:styleId="Revision">
    <w:name w:val="Revision"/>
    <w:hidden/>
    <w:uiPriority w:val="99"/>
    <w:semiHidden/>
    <w:rsid w:val="00D156FA"/>
    <w:pPr>
      <w:spacing w:after="0" w:line="240" w:lineRule="auto"/>
    </w:pPr>
    <w:rPr>
      <w:rFonts w:ascii="Calibri" w:eastAsia="Calibri" w:hAnsi="Calibri" w:cs="Calibri"/>
      <w:kern w:val="0"/>
      <w:lang w:val="en-GB" w:eastAsia="pl-PL"/>
      <w14:ligatures w14:val="none"/>
    </w:rPr>
  </w:style>
  <w:style w:type="character" w:styleId="PlaceholderText">
    <w:name w:val="Placeholder Text"/>
    <w:basedOn w:val="DefaultParagraphFont"/>
    <w:uiPriority w:val="99"/>
    <w:semiHidden/>
    <w:rsid w:val="004F5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BD6C10A7948799221860950A88BBB"/>
        <w:category>
          <w:name w:val="Ogólne"/>
          <w:gallery w:val="placeholder"/>
        </w:category>
        <w:types>
          <w:type w:val="bbPlcHdr"/>
        </w:types>
        <w:behaviors>
          <w:behavior w:val="content"/>
        </w:behaviors>
        <w:guid w:val="{C296734B-6CC0-44D6-AED8-C0E3BE807672}"/>
      </w:docPartPr>
      <w:docPartBody>
        <w:p w:rsidR="00A13AB1" w:rsidRDefault="005A6A90" w:rsidP="005A6A90">
          <w:pPr>
            <w:pStyle w:val="E52BD6C10A7948799221860950A88BBB"/>
          </w:pPr>
          <w:r w:rsidRPr="003A2F5F">
            <w:rPr>
              <w:rStyle w:val="PlaceholderText"/>
            </w:rPr>
            <w:t>Click here to enter text.</w:t>
          </w:r>
        </w:p>
      </w:docPartBody>
    </w:docPart>
    <w:docPart>
      <w:docPartPr>
        <w:name w:val="DefaultPlaceholder_-1854013440"/>
        <w:category>
          <w:name w:val="Ogólne"/>
          <w:gallery w:val="placeholder"/>
        </w:category>
        <w:types>
          <w:type w:val="bbPlcHdr"/>
        </w:types>
        <w:behaviors>
          <w:behavior w:val="content"/>
        </w:behaviors>
        <w:guid w:val="{03B5D88A-D8AB-4550-AD90-6E6EFDDB1AB5}"/>
      </w:docPartPr>
      <w:docPartBody>
        <w:p w:rsidR="0022784C" w:rsidRDefault="00373738">
          <w:r w:rsidRPr="0063711D">
            <w:rPr>
              <w:rStyle w:val="PlaceholderText"/>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A3"/>
    <w:rsid w:val="0022784C"/>
    <w:rsid w:val="002B5E82"/>
    <w:rsid w:val="00373738"/>
    <w:rsid w:val="003D44A1"/>
    <w:rsid w:val="00440693"/>
    <w:rsid w:val="005A6A90"/>
    <w:rsid w:val="005F035D"/>
    <w:rsid w:val="00782C1A"/>
    <w:rsid w:val="00894289"/>
    <w:rsid w:val="00A13AB1"/>
    <w:rsid w:val="00CD5394"/>
    <w:rsid w:val="00E5497A"/>
    <w:rsid w:val="00EB5EEC"/>
    <w:rsid w:val="00EF46A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738"/>
    <w:rPr>
      <w:color w:val="808080"/>
    </w:rPr>
  </w:style>
  <w:style w:type="paragraph" w:customStyle="1" w:styleId="E52BD6C10A7948799221860950A88BBB">
    <w:name w:val="E52BD6C10A7948799221860950A88BBB"/>
    <w:rsid w:val="005A6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A7CB6F-0C5A-456B-A8F9-E4EFB6657079}">
  <we:reference id="wa104382081" version="1.55.1.0" store="pl-PL" storeType="OMEX"/>
  <we:alternateReferences>
    <we:reference id="wa104382081" version="1.55.1.0" store="" storeType="OMEX"/>
  </we:alternateReferences>
  <we:properties>
    <we:property name="MENDELEY_CITATIONS" value="[{&quot;citationID&quot;:&quot;MENDELEY_CITATION_847afec3-fb95-447b-baf0-7787bef30d6b&quot;,&quot;properties&quot;:{&quot;noteIndex&quot;:0},&quot;isEdited&quot;:false,&quot;manualOverride&quot;:{&quot;isManuallyOverridden&quot;:false,&quot;citeprocText&quot;:&quot;&lt;sup&gt;1&lt;/sup&gt;&quot;,&quot;manualOverrideText&quot;:&quot;&quot;},&quot;citationItems&quot;:[{&quot;id&quot;:&quot;dd969d0f-8af2-3d22-a62f-b988cd349524&quot;,&quot;itemData&quot;:{&quot;type&quot;:&quot;article-journal&quot;,&quot;id&quot;:&quot;dd969d0f-8af2-3d22-a62f-b988cd349524&quot;,&quot;title&quot;:&quot;Postinjury stimulation triggers a transition to nociplastic pain in mice&quot;,&quot;groupId&quot;:&quot;901f6f3f-f42a-37d8-886f-959d3714f85a&quot;,&quot;author&quot;:[{&quot;family&quot;:&quot;Hankerd&quot;,&quot;given&quot;:&quot;Kali&quot;,&quot;parse-names&quot;:false,&quot;dropping-particle&quot;:&quot;&quot;,&quot;non-dropping-particle&quot;:&quot;&quot;},{&quot;family&quot;:&quot;McDonough&quot;,&quot;given&quot;:&quot;Kathleen E.&quot;,&quot;parse-names&quot;:false,&quot;dropping-particle&quot;:&quot;&quot;,&quot;non-dropping-particle&quot;:&quot;&quot;},{&quot;family&quot;:&quot;Wang&quot;,&quot;given&quot;:&quot;Jigong&quot;,&quot;parse-names&quot;:false,&quot;dropping-particle&quot;:&quot;&quot;,&quot;non-dropping-particle&quot;:&quot;&quot;},{&quot;family&quot;:&quot;Tang&quot;,&quot;given&quot;:&quot;Shao Jun&quot;,&quot;parse-names&quot;:false,&quot;dropping-particle&quot;:&quot;&quot;,&quot;non-dropping-particle&quot;:&quot;&quot;},{&quot;family&quot;:&quot;Chung&quot;,&quot;given&quot;:&quot;Jin Mo&quot;,&quot;parse-names&quot;:false,&quot;dropping-particle&quot;:&quot;&quot;,&quot;non-dropping-particle&quot;:&quot;&quot;},{&quot;family&quot;:&quot;La&quot;,&quot;given&quot;:&quot;Jun Ho&quot;,&quot;parse-names&quot;:false,&quot;dropping-particle&quot;:&quot;&quot;,&quot;non-dropping-particle&quot;:&quot;&quot;}],&quot;container-title&quot;:&quot;Pain&quot;,&quot;container-title-short&quot;:&quot;Pain&quot;,&quot;DOI&quot;:&quot;10.1097/j.pain.0000000000002366&quot;,&quot;ISSN&quot;:&quot;18726623&quot;,&quot;PMID&quot;:&quot;34285154&quot;,&quot;issued&quot;:{&quot;date-parts&quot;:[[2022,3,1]]},&quot;page&quot;:&quot;461-473&quot;,&quot;abstract&quot;:&quot;Acute injury-induced pain can transition to chronic nociplastic pain, which predominantly affects women. To facilitate studies on the underlying mechanisms of nociplastic pain, we developed a mouse model in which postinjury thermal stimulation (intermittent 40°C water immersion for 10 minutes at 2 hours postcapsaicin) prolongs capsaicin (ie, experimental injury)-induced transient mechanical hypersensitivity outside of the injury area. Although capsaicin injection alone induced mechanical and thermal hypersensitivity that resolved in ∼7 days (slower recovery in females), the postinjury stimulation prolonged capsaicin-induced mechanical, but not thermal, hypersensitivity up to 3 weeks in both sexes. When postinjury stimulation was given at a lower intensity (30°C) or at later time points (40°C at 1-3 days postcapsaicin), chronification of mechanical hypersensitivity occurred only in females. Similar chronification could be induced by a different postinjury stimulation modality (vibration of paw) or with a different injury model (plantar incision). Notably, the 40°C postinjury stimulation did not prolong capsaicin-induced inflammation in the hind paw, indicating that the prolonged mechanical hypersensitivity in these mice arises without clear evidence of ongoing injury, reflecting nociplastic pain. Although morphine and gabapentin effectively alleviated this persistent mechanical hypersensitivity in both sexes, sexually dimorphic mechanisms mediated the hypersensitivity. Specifically, ongoing afferent activity at the previously capsaicin-injected area was critical in females, whereas activated spinal microglia were crucial in males. These results demonstrate that postinjury stimulation of the injured area can trigger the transition from transient pain to nociplastic pain more readily in females, and sex-dependent mechanisms maintain the nociplastic pain state.&quot;,&quot;publisher&quot;:&quot;Lippincott Williams and Wilkins&quot;,&quot;issue&quot;:&quot;3&quot;,&quot;volume&quot;:&quot;163&quot;},&quot;isTemporary&quot;:false}],&quot;citationTag&quot;:&quot;MENDELEY_CITATION_v3_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&quot;},{&quot;citationID&quot;:&quot;MENDELEY_CITATION_916f7bad-7083-4eb0-bf57-df4903f18a28&quot;,&quot;properties&quot;:{&quot;noteIndex&quot;:0},&quot;isEdited&quot;:false,&quot;manualOverride&quot;:{&quot;isManuallyOverridden&quot;:false,&quot;citeprocText&quot;:&quot;&lt;sup&gt;2&lt;/sup&gt;&quot;,&quot;manualOverrideText&quot;:&quot;&quot;},&quot;citationItems&quot;:[{&quot;id&quot;:&quot;f50768fe-a8e9-3387-af39-638a33b940f3&quot;,&quot;itemData&quot;:{&quot;type&quot;:&quot;article-journal&quot;,&quot;id&quot;:&quot;f50768fe-a8e9-3387-af39-638a33b940f3&quot;,&quot;title&quot;:&quot;Active role of the central amygdala in widespread mechanical sensitization in rats with facial inflammatory pain&quot;,&quot;groupId&quot;:&quot;901f6f3f-f42a-37d8-886f-959d3714f85a&quot;,&quot;author&quot;:[{&quot;family&quot;:&quot;Sugimoto&quot;,&quot;given&quot;:&quot;Mariko&quot;,&quot;parse-names&quot;:false,&quot;dropping-particle&quot;:&quot;&quot;,&quot;non-dropping-particle&quot;:&quot;&quot;},{&quot;family&quot;:&quot;Takahashi&quot;,&quot;given&quot;:&quot;Yukari&quot;,&quot;parse-names&quot;:false,&quot;dropping-particle&quot;:&quot;&quot;,&quot;non-dropping-particle&quot;:&quot;&quot;},{&quot;family&quot;:&quot;Sugimura&quot;,&quot;given&quot;:&quot;Yae K.&quot;,&quot;parse-names&quot;:false,&quot;dropping-particle&quot;:&quot;&quot;,&quot;non-dropping-particle&quot;:&quot;&quot;},{&quot;family&quot;:&quot;Tokunaga&quot;,&quot;given&quot;:&quot;Ryota&quot;,&quot;parse-names&quot;:false,&quot;dropping-particle&quot;:&quot;&quot;,&quot;non-dropping-particle&quot;:&quot;&quot;},{&quot;family&quot;:&quot;Yajima&quot;,&quot;given&quot;:&quot;Manami&quot;,&quot;parse-names&quot;:false,&quot;dropping-particle&quot;:&quot;&quot;,&quot;non-dropping-particle&quot;:&quot;&quot;},{&quot;family&quot;:&quot;Kato&quot;,&quot;given&quot;:&quot;Fusao&quot;,&quot;parse-names&quot;:false,&quot;dropping-particle&quot;:&quot;&quot;,&quot;non-dropping-particle&quot;:&quot;&quot;}],&quot;container-title&quot;:&quot;Pain&quot;,&quot;container-title-short&quot;:&quot;Pain&quot;,&quot;DOI&quot;:&quot;10.1097/j.pain.0000000000002224&quot;,&quot;ISBN&quot;:&quot;0000000000&quot;,&quot;ISSN&quot;:&quot;18726623&quot;,&quot;PMID&quot;:&quot;33900711&quot;,&quot;issued&quot;:{&quot;date-parts&quot;:[[2021]]},&quot;page&quot;:&quot;2273-2286&quot;,&quot;abstract&quot;:&quot;ABSTRACT: Widespread or ectopic sensitization is a hallmark symptom of chronic pain, characterized by aberrantly enhanced pain sensitivity in multiple body regions remote from the site of original injury or inflammation. The central mechanism underlying widespread sensitization remains unidentified. The central nucleus of the amygdala (also called the central amygdala, CeA) is well situated for this role because it receives nociceptive information from diverse body sites and modulates pain sensitivity in various body regions. In this study, we examined the role of the CeA in a novel model of ectopic sensitization of rats. Injection of formalin into the left upper lip resulted in latent bilateral sensitization in the hind paw lasting &gt;13 days in male Wistar rats. Chemogenetic inhibition of gamma-aminobutyric acid-ergic neurons or blockade of calcitonin gene-related peptide receptors in the right CeA, but not in the left, significantly attenuated this sensitization. Furthermore, chemogenetic excitation of gamma-aminobutyric acid-ergic neurons in the right CeA induced de novo bilateral hind paw sensitization in the rats without inflammation. These results indicate that the CeA neuronal activity determines hind paw tactile sensitivity in rats with remote inflammatory pain. They also suggest that the hind paw sensitization used in a large number of preclinical studies might not be simply a sign of the pain at the site of injury but rather a representation of the augmented CeA activity resulting from inflammation/pain in any part of the body or from activities of other brain regions, which has an active role of promoting defensive/protective behaviors to avoid further bodily damage.&quot;,&quot;issue&quot;:&quot;8&quot;,&quot;volume&quot;:&quot;162&quot;},&quot;isTemporary&quot;:false}],&quot;citationTag&quot;:&quot;MENDELEY_CITATION_v3_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&quot;},{&quot;citationID&quot;:&quot;MENDELEY_CITATION_d0b4a01d-ed3f-4f3b-8826-eacea37fe28d&quot;,&quot;properties&quot;:{&quot;noteIndex&quot;:0},&quot;isEdited&quot;:false,&quot;manualOverride&quot;:{&quot;isManuallyOverridden&quot;:false,&quot;citeprocText&quot;:&quot;&lt;sup&gt;3&lt;/sup&gt;&quot;,&quot;manualOverrideText&quot;:&quot;&quot;},&quot;citationItems&quot;:[{&quot;id&quot;:&quot;c775dc0d-f2e3-3d4a-bce5-2c805112ce25&quot;,&quot;itemData&quot;:{&quot;type&quot;:&quot;article-journal&quot;,&quot;id&quot;:&quot;c775dc0d-f2e3-3d4a-bce5-2c805112ce25&quot;,&quot;title&quot;:&quot;Long-lasting reflexive and nonreflexive pain responses in two mouse models of fibromyalgia-like condition&quot;,&quot;groupId&quot;:&quot;901f6f3f-f42a-37d8-886f-959d3714f85a&quot;,&quot;author&quot;:[{&quot;family&quot;:&quot;Álvarez-Pérez&quot;,&quot;given&quot;:&quot;Beltrán&quot;,&quot;parse-names&quot;:false,&quot;dropping-particle&quot;:&quot;&quot;,&quot;non-dropping-particle&quot;:&quot;&quot;},{&quot;family&quot;:&quot;Deulofeu&quot;,&quot;given&quot;:&quot;Meritxell&quot;,&quot;parse-names&quot;:false,&quot;dropping-particle&quot;:&quot;&quot;,&quot;non-dropping-particle&quot;:&quot;&quot;},{&quot;family&quot;:&quot;Homs&quot;,&quot;given&quot;:&quot;Judit&quot;,&quot;parse-names&quot;:false,&quot;dropping-particle&quot;:&quot;&quot;,&quot;non-dropping-particle&quot;:&quot;&quot;},{&quot;family&quot;:&quot;Merlos&quot;,&quot;given&quot;:&quot;Manuel&quot;,&quot;parse-names&quot;:false,&quot;dropping-particle&quot;:&quot;&quot;,&quot;non-dropping-particle&quot;:&quot;&quot;},{&quot;family&quot;:&quot;Vela&quot;,&quot;given&quot;:&quot;José Miguel&quot;,&quot;parse-names&quot;:false,&quot;dropping-particle&quot;:&quot;&quot;,&quot;non-dropping-particle&quot;:&quot;&quot;},{&quot;family&quot;:&quot;Verdú&quot;,&quot;given&quot;:&quot;Enrique&quot;,&quot;parse-names&quot;:false,&quot;dropping-particle&quot;:&quot;&quot;,&quot;non-dropping-particle&quot;:&quot;&quot;},{&quot;family&quot;:&quot;Boadas-Vaello&quot;,&quot;given&quot;:&quot;Pere&quot;,&quot;parse-names&quot;:false,&quot;dropping-particle&quot;:&quot;&quot;,&quot;non-dropping-particle&quot;:&quot;&quot;}],&quot;container-title&quot;:&quot;Scientific Reports&quot;,&quot;container-title-short&quot;:&quot;Sci Rep&quot;,&quot;DOI&quot;:&quot;10.1038/s41598-022-13968-7&quot;,&quot;ISSN&quot;:&quot;20452322&quot;,&quot;PMID&quot;:&quot;35691979&quot;,&quot;issued&quot;:{&quot;date-parts&quot;:[[2022,12,1]]},&quot;abstract&quot;:&quot;Nociplastic pain arises from altered nociception despite no clear evidence of tissue or somatosensory system damage, and fibromyalgia syndrome can be highlighted as a prototype of this chronic pain subtype. Currently, there is a lack of effective treatments to alleviate both reflexive and nonreflexive pain responses associated with fibromyalgia condition, and suitable preclinical models are needed to assess new pharmacological strategies. In this context, although in recent years some remarkable animal models have been developed to mimic the main characteristics of human fibromyalgia, most of them show pain responses in the short term. Considering the chronicity of this condition, the present work aimed to develop two mouse models showing long-lasting reflexive and nonreflexive pain responses after several reserpine (RIM) or intramuscular acid saline solution (ASI) injections. To our knowledge, this is the first study showing that RIM6 and ASI mouse models show reflexive and nonreflexive responses up to 5–6 weeks, accompanied by either astro- or microgliosis in the spinal cord as pivotal physiopathology processes related to such condition development. In addition, acute treatment with pregabalin resulted in reflexive pain response alleviation in both the RIM6 and ASI models. Consequently, both may be considered suitable experimental models of fibromyalgia-like condition, especially RIM6.&quot;,&quot;publisher&quot;:&quot;Nature Research&quot;,&quot;issue&quot;:&quot;1&quot;,&quot;volume&quot;:&quot;12&quot;},&quot;isTemporary&quot;:false}],&quot;citationTag&quot;:&quot;MENDELEY_CITATION_v3_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&quot;},{&quot;citationID&quot;:&quot;MENDELEY_CITATION_85321f87-bf5d-451f-8856-e0e7d0216f75&quot;,&quot;properties&quot;:{&quot;noteIndex&quot;:0},&quot;isEdited&quot;:false,&quot;manualOverride&quot;:{&quot;isManuallyOverridden&quot;:false,&quot;citeprocText&quot;:&quot;&lt;sup&gt;4&lt;/sup&gt;&quot;,&quot;manualOverrideText&quot;:&quot;&quot;},&quot;citationItems&quot;:[{&quot;id&quot;:&quot;e8d21258-4fcb-3927-9ef8-c349f722396d&quot;,&quot;itemData&quot;:{&quot;type&quot;:&quot;article-journal&quot;,&quot;id&quot;:&quot;e8d21258-4fcb-3927-9ef8-c349f722396d&quot;,&quot;title&quot;:&quot;Increased substance P-like immunoreactivities in parabrachial and amygdaloid nuclei in a rat model with masticatory myofascial pain&quot;,&quot;groupId&quot;:&quot;901f6f3f-f42a-37d8-886f-959d3714f85a&quot;,&quot;author&quot;:[{&quot;family&quot;:&quot;Hsieh&quot;,&quot;given&quot;:&quot;Yueh Ling&quot;,&quot;parse-names&quot;:false,&quot;dropping-particle&quot;:&quot;&quot;,&quot;non-dropping-particle&quot;:&quot;&quot;},{&quot;family&quot;:&quot;Wu&quot;,&quot;given&quot;:&quot;Bor Tsang&quot;,&quot;parse-names&quot;:false,&quot;dropping-particle&quot;:&quot;&quot;,&quot;non-dropping-particle&quot;:&quot;&quot;},{&quot;family&quot;:&quot;Yang&quot;,&quot;given&quot;:&quot;Chen Chia&quot;,&quot;parse-names&quot;:false,&quot;dropping-particle&quot;:&quot;&quot;,&quot;non-dropping-particle&quot;:&quot;&quot;}],&quot;container-title&quot;:&quot;Experimental Brain Research&quot;,&quot;container-title-short&quot;:&quot;Exp Brain Res&quot;,&quot;DOI&quot;:&quot;10.1007/s00221-020-05942-4&quot;,&quot;ISBN&quot;:&quot;0123456789&quot;,&quot;ISSN&quot;:&quot;14321106&quot;,&quot;PMID&quot;:&quot;33047182&quot;,&quot;URL&quot;:&quot;https://doi.org/10.1007/s00221-020-05942-4&quot;,&quot;issued&quot;:{&quot;date-parts&quot;:[[2020]]},&quot;page&quot;:&quot;2845-2855&quot;,&quot;abstract&quot;:&quot;This study explores the involvement of substance P (SP) in the parabrachial nucleus (PBN) and central amygdaloid nucleus (CeA) in the nociception–emotion link and of rats with masticatory myofascial pain (MMP) induced by chronic tetanic eccentric muscle contraction. A total of 18 rats were randomly and equally assigned for MMP (MMP group) and sham-MMP induction (sMMP group). MMP was induced by electrical-stimulated repetitive tetanic eccentric contraction of the masseter muscle for 14 consecutive days. Myofascial trigger points in the masseter muscle were identified by palpable taut bands, increased prevalence of endplate noise (EPN), focal hypoechoic nodules on ultrasound and restricted jaw opening. All animals were killed for morphological and SP immunohistochemical analyses. Chronic tetanic eccentric contraction induced significantly thicker masseter muscle confirmed by hypoechogenicity, increased prevalence and amplitudes of EPN, and limited jaw opening. Immunohistochemically, the SP-like positive neurons increased significantly in PBN and CeA of the MMP group. Our results suggested that MMP increases the SP protein levels in PBN and CeA, which play important roles in MMP-mediated chronic pain processing as well as MMP-related emotional processes.&quot;,&quot;publisher&quot;:&quot;Springer Berlin Heidelberg&quot;,&quot;issue&quot;:&quot;12&quot;,&quot;volume&quot;:&quot;238&quot;},&quot;isTemporary&quot;:false}],&quot;citationTag&quot;:&quot;MENDELEY_CITATION_v3_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&quot;},{&quot;citationID&quot;:&quot;MENDELEY_CITATION_df32c9d0-3f24-4ba8-99bb-db74a0eb5c6f&quot;,&quot;properties&quot;:{&quot;noteIndex&quot;:0},&quot;isEdited&quot;:false,&quot;manualOverride&quot;:{&quot;isManuallyOverridden&quot;:false,&quot;citeprocText&quot;:&quot;&lt;sup&gt;5&lt;/sup&gt;&quot;,&quot;manualOverrideText&quot;:&quot;&quot;},&quot;citationItems&quot;:[{&quot;id&quot;:&quot;69e11fc1-4bc7-335d-9b29-c1c28d56ed21&quot;,&quot;itemData&quot;:{&quot;type&quot;:&quot;article-journal&quot;,&quot;id&quot;:&quot;69e11fc1-4bc7-335d-9b29-c1c28d56ed21&quot;,&quot;title&quot;:&quot;Experimental myofascial trigger point creation in rodents&quot;,&quot;groupId&quot;:&quot;901f6f3f-f42a-37d8-886f-959d3714f85a&quot;,&quot;author&quot;:[{&quot;family&quot;:&quot;Margalef&quot;,&quot;given&quot;:&quot;Ramon&quot;,&quot;parse-names&quot;:false,&quot;dropping-particle&quot;:&quot;&quot;,&quot;non-dropping-particle&quot;:&quot;&quot;},{&quot;family&quot;:&quot;Sisquella&quot;,&quot;given&quot;:&quot;Marc&quot;,&quot;parse-names&quot;:false,&quot;dropping-particle&quot;:&quot;&quot;,&quot;non-dropping-particle&quot;:&quot;&quot;},{&quot;family&quot;:&quot;Bosque&quot;,&quot;given&quot;:&quot;Marc&quot;,&quot;parse-names&quot;:false,&quot;dropping-particle&quot;:&quot;&quot;,&quot;non-dropping-particle&quot;:&quot;&quot;},{&quot;family&quot;:&quot;Romeu&quot;,&quot;given&quot;:&quot;Clara&quot;,&quot;parse-names&quot;:false,&quot;dropping-particle&quot;:&quot;&quot;,&quot;non-dropping-particle&quot;:&quot;&quot;},{&quot;family&quot;:&quot;Mayoral&quot;,&quot;given&quot;:&quot;Orlando&quot;,&quot;parse-names&quot;:false,&quot;dropping-particle&quot;:&quot;&quot;,&quot;non-dropping-particle&quot;:&quot;&quot;},{&quot;family&quot;:&quot;Monterde&quot;,&quot;given&quot;:&quot;Sonia&quot;,&quot;parse-names&quot;:false,&quot;dropping-particle&quot;:&quot;&quot;,&quot;non-dropping-particle&quot;:&quot;&quot;},{&quot;family&quot;:&quot;Priego&quot;,&quot;given&quot;:&quot;Mercedes&quot;,&quot;parse-names&quot;:false,&quot;dropping-particle&quot;:&quot;&quot;,&quot;non-dropping-particle&quot;:&quot;&quot;},{&quot;family&quot;:&quot;Guerra-Perez&quot;,&quot;given&quot;:&quot;Rafael&quot;,&quot;parse-names&quot;:false,&quot;dropping-particle&quot;:&quot;&quot;,&quot;non-dropping-particle&quot;:&quot;&quot;},{&quot;family&quot;:&quot;Ortiz&quot;,&quot;given&quot;:&quot;Nicolau&quot;,&quot;parse-names&quot;:false,&quot;dropping-particle&quot;:&quot;&quot;,&quot;non-dropping-particle&quot;:&quot;&quot;},{&quot;family&quot;:&quot;Tomàs&quot;,&quot;given&quot;:&quot;Josep&quot;,&quot;parse-names&quot;:false,&quot;dropping-particle&quot;:&quot;&quot;,&quot;non-dropping-particle&quot;:&quot;&quot;},{&quot;family&quot;:&quot;Santafe&quot;,&quot;given&quot;:&quot;Manel M.&quot;,&quot;parse-names&quot;:false,&quot;dropping-particle&quot;:&quot;&quot;,&quot;non-dropping-particle&quot;:&quot;&quot;}],&quot;container-title&quot;:&quot;Journal of Applied Physiology&quot;,&quot;container-title-short&quot;:&quot;J Appl Physiol&quot;,&quot;DOI&quot;:&quot;10.1152/japplphysiol.00248.2018&quot;,&quot;ISSN&quot;:&quot;15221601&quot;,&quot;PMID&quot;:&quot;30307819&quot;,&quot;issued&quot;:{&quot;date-parts&quot;:[[2019]]},&quot;page&quot;:&quot;160-169&quot;,&quot;abstract&quot;:&quot;Margalef R, Sisquella M, Bosque M, Romeu C, Mayoral O, Monterde S, Priego M, Guerra-Perez R, Ortiz N, Tomàs J, Santafe MM. Experimental myofascial trigger point creation in rodents. J Appl Physiol 126: 160 –169, 2019. First published October 11, 2018; doi:10.1152/japplphysiol.00248.2018.—Myofascial pain syndrome is one of the most common forms of muscle pain. In this syndrome, pain is originated by the so-called trigger points, which consists of a set of palpable contraction knots in the muscle. It has been proposed that a high, spontaneous neurotransmission may be involved in the generation of these contraction knots. To confirm this hypothesis, we exposed mouse muscles to an anticholinesterasic agent to increase the neurotransmision in the synaptic cleft in two different conditions, in vivo and ex vivo experiments. Using intracellular recordings, a sharp increase in the spontaneous neurotransmission in the levator auris longus muscle and a lower increase in the diaphragm muscle could be seen. Likewise, electromyography recordings reveal an elevated endplate noise in gastrocnemius muscle of treated animals. These changes are associated with structural changes such as abundant neuromuscular contracted zones observed by rhodaminated -bungarotoxin and the presence of abundant glycosaminoglycans around the contraction knots, as shown by Alcian PAS staining. In a second set of experiments, we aimed at demonstrating that the increases in the neurotransmission reproduced most of the clinical signs associated to a trigger point. We exposed rats to the anticholinesterase agent neostigmine, and 30 min afterward we observed the presence of palpable taut bands, the echocardiographic presence of contraction knots, and local twitch responses upon needle stimulation. In summary, we demonstrated that increased neurotransmission induced trigger points in both rats and mice, as evidenced by glycosaminoglycans around the contraction zones as a novel hallmark of this pathology. NEW &amp; NOTEWORTHY In rodents, when neostigmine was injected subcutaneously, the neuromuscular neurotransmission increased, and several changes can be observed: an elevated endplate noise compared with normal endplate noise, as evidenced by electro-myographyc recording; many muscular fibers with contraction knots (narrower sarcomeres and locally thickened muscle fiber) surrounded by infiltration of connective tissue like glycosaminoglycans molecules; and palpable taut bands and local twitch responses upon needle stimulation. Several of these signs are also observed in humans with muscle pain.&quot;,&quot;issue&quot;:&quot;1&quot;,&quot;volume&quot;:&quot;126&quot;},&quot;isTemporary&quot;:false}],&quot;citationTag&quot;:&quot;MENDELEY_CITATION_v3_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&quot;},{&quot;citationID&quot;:&quot;MENDELEY_CITATION_20df2565-9f0b-43ff-bbc0-098fb425071a&quot;,&quot;properties&quot;:{&quot;noteIndex&quot;:0},&quot;isEdited&quot;:false,&quot;manualOverride&quot;:{&quot;isManuallyOverridden&quot;:false,&quot;citeprocText&quot;:&quot;&lt;sup&gt;6&lt;/sup&gt;&quot;,&quot;manualOverrideText&quot;:&quot;&quot;},&quot;citationItems&quot;:[{&quot;id&quot;:&quot;af33a828-1baf-3732-8dee-a2cf34c52623&quot;,&quot;itemData&quot;:{&quot;type&quot;:&quot;article-journal&quot;,&quot;id&quot;:&quot;af33a828-1baf-3732-8dee-a2cf34c52623&quot;,&quot;title&quot;:&quot;Myoelectrical activity and muscle morphology in a rat model of myofascial trigger points induced by blunt trauma to the vastus medialis&quot;,&quot;groupId&quot;:&quot;901f6f3f-f42a-37d8-886f-959d3714f85a&quot;,&quot;author&quot;:[{&quot;family&quot;:&quot;Huang&quot;,&quot;given&quot;:&quot;Qiang Min&quot;,&quot;parse-names&quot;:false,&quot;dropping-particle&quot;:&quot;&quot;,&quot;non-dropping-particle&quot;:&quot;&quot;},{&quot;family&quot;:&quot;Ye&quot;,&quot;given&quot;:&quot;Gang&quot;,&quot;parse-names&quot;:false,&quot;dropping-particle&quot;:&quot;&quot;,&quot;non-dropping-particle&quot;:&quot;&quot;},{&quot;family&quot;:&quot;Zhao&quot;,&quot;given&quot;:&quot;Zhen Yan&quot;,&quot;parse-names&quot;:false,&quot;dropping-particle&quot;:&quot;&quot;,&quot;non-dropping-particle&quot;:&quot;&quot;},{&quot;family&quot;:&quot;Lv&quot;,&quot;given&quot;:&quot;Jiao Jiao&quot;,&quot;parse-names&quot;:false,&quot;dropping-particle&quot;:&quot;&quot;,&quot;non-dropping-particle&quot;:&quot;&quot;},{&quot;family&quot;:&quot;Tang&quot;,&quot;given&quot;:&quot;Li&quot;,&quot;parse-names&quot;:false,&quot;dropping-particle&quot;:&quot;&quot;,&quot;non-dropping-particle&quot;:&quot;&quot;}],&quot;container-title&quot;:&quot;Acupuncture in Medicine&quot;,&quot;DOI&quot;:&quot;10.1136/acupmed-2012-010129&quot;,&quot;ISSN&quot;:&quot;09645284&quot;,&quot;PMID&quot;:&quot;23328717&quot;,&quot;issued&quot;:{&quot;date-parts&quot;:[[2013]]},&quot;page&quot;:&quot;65-73&quot;,&quot;abstract&quot;:&quot;Objectives: To explore myoelectrical activity and muscle morphology of myofascial trigger points (MTrPs) in an injury model of rats. Methods: A total of 24 male SD rats were randomly divided into a control group (group A) and model group (group B). A blunt striking injury and eccentric exercise were applied to the vastus medialis (VM) of rats in group B for 8 weeks. Later, the palpable taut band (TB), local twitch response, myoelectrical activities and morphology in the two groups were examined. Results: An average of 2.5 (30/12) palpable TBs were detected in the VM in group B compared with none in group A. The MTrPs had two types of abnormal potential. Their amplitudes were significantly higher than those in the control group (p&lt;0.01) but their durations showed no significant differences. A series of reflex contractions appeared in groups A and B in response to external stimulation to the ear. Their amplitude and duration in group B were significantly lower than those in group A. A series of lower fibrillation potentials repeatedly occurred in model MTrPs in group B. The morphology of MTrPs showed abnormal muscle fibres with large round or ellipse shapes in cross-section and enlarged tapering shapes in longitudinal section. Conclusions: Active MTrPs can be provoked by repeated blunt injury. Active MTrPs are a group of muscle fibres with abnormal shapes and abnormal myoelectrical potentials. External stimulation provokes low-voltage responses in MTrPs, which is different from the response of normal muscle fibres.&quot;,&quot;issue&quot;:&quot;1&quot;,&quot;volume&quot;:&quot;31&quot;},&quot;isTemporary&quot;:false}],&quot;citationTag&quot;:&quot;MENDELEY_CITATION_v3_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&quot;},{&quot;citationID&quot;:&quot;MENDELEY_CITATION_cd644969-6221-432a-833a-d882340b501c&quot;,&quot;properties&quot;:{&quot;noteIndex&quot;:0},&quot;isEdited&quot;:false,&quot;manualOverride&quot;:{&quot;isManuallyOverridden&quot;:false,&quot;citeprocText&quot;:&quot;&lt;sup&gt;1&lt;/sup&gt;&quot;,&quot;manualOverrideText&quot;:&quot;&quot;},&quot;citationItems&quot;:[{&quot;id&quot;:&quot;dd969d0f-8af2-3d22-a62f-b988cd349524&quot;,&quot;itemData&quot;:{&quot;type&quot;:&quot;article-journal&quot;,&quot;id&quot;:&quot;dd969d0f-8af2-3d22-a62f-b988cd349524&quot;,&quot;title&quot;:&quot;Postinjury stimulation triggers a transition to nociplastic pain in mice&quot;,&quot;groupId&quot;:&quot;901f6f3f-f42a-37d8-886f-959d3714f85a&quot;,&quot;author&quot;:[{&quot;family&quot;:&quot;Hankerd&quot;,&quot;given&quot;:&quot;Kali&quot;,&quot;parse-names&quot;:false,&quot;dropping-particle&quot;:&quot;&quot;,&quot;non-dropping-particle&quot;:&quot;&quot;},{&quot;family&quot;:&quot;McDonough&quot;,&quot;given&quot;:&quot;Kathleen E.&quot;,&quot;parse-names&quot;:false,&quot;dropping-particle&quot;:&quot;&quot;,&quot;non-dropping-particle&quot;:&quot;&quot;},{&quot;family&quot;:&quot;Wang&quot;,&quot;given&quot;:&quot;Jigong&quot;,&quot;parse-names&quot;:false,&quot;dropping-particle&quot;:&quot;&quot;,&quot;non-dropping-particle&quot;:&quot;&quot;},{&quot;family&quot;:&quot;Tang&quot;,&quot;given&quot;:&quot;Shao Jun&quot;,&quot;parse-names&quot;:false,&quot;dropping-particle&quot;:&quot;&quot;,&quot;non-dropping-particle&quot;:&quot;&quot;},{&quot;family&quot;:&quot;Chung&quot;,&quot;given&quot;:&quot;Jin Mo&quot;,&quot;parse-names&quot;:false,&quot;dropping-particle&quot;:&quot;&quot;,&quot;non-dropping-particle&quot;:&quot;&quot;},{&quot;family&quot;:&quot;La&quot;,&quot;given&quot;:&quot;Jun Ho&quot;,&quot;parse-names&quot;:false,&quot;dropping-particle&quot;:&quot;&quot;,&quot;non-dropping-particle&quot;:&quot;&quot;}],&quot;container-title&quot;:&quot;Pain&quot;,&quot;container-title-short&quot;:&quot;Pain&quot;,&quot;DOI&quot;:&quot;10.1097/j.pain.0000000000002366&quot;,&quot;ISSN&quot;:&quot;18726623&quot;,&quot;PMID&quot;:&quot;34285154&quot;,&quot;issued&quot;:{&quot;date-parts&quot;:[[2022,3,1]]},&quot;page&quot;:&quot;461-473&quot;,&quot;abstract&quot;:&quot;Acute injury-induced pain can transition to chronic nociplastic pain, which predominantly affects women. To facilitate studies on the underlying mechanisms of nociplastic pain, we developed a mouse model in which postinjury thermal stimulation (intermittent 40°C water immersion for 10 minutes at 2 hours postcapsaicin) prolongs capsaicin (ie, experimental injury)-induced transient mechanical hypersensitivity outside of the injury area. Although capsaicin injection alone induced mechanical and thermal hypersensitivity that resolved in ∼7 days (slower recovery in females), the postinjury stimulation prolonged capsaicin-induced mechanical, but not thermal, hypersensitivity up to 3 weeks in both sexes. When postinjury stimulation was given at a lower intensity (30°C) or at later time points (40°C at 1-3 days postcapsaicin), chronification of mechanical hypersensitivity occurred only in females. Similar chronification could be induced by a different postinjury stimulation modality (vibration of paw) or with a different injury model (plantar incision). Notably, the 40°C postinjury stimulation did not prolong capsaicin-induced inflammation in the hind paw, indicating that the prolonged mechanical hypersensitivity in these mice arises without clear evidence of ongoing injury, reflecting nociplastic pain. Although morphine and gabapentin effectively alleviated this persistent mechanical hypersensitivity in both sexes, sexually dimorphic mechanisms mediated the hypersensitivity. Specifically, ongoing afferent activity at the previously capsaicin-injected area was critical in females, whereas activated spinal microglia were crucial in males. These results demonstrate that postinjury stimulation of the injured area can trigger the transition from transient pain to nociplastic pain more readily in females, and sex-dependent mechanisms maintain the nociplastic pain state.&quot;,&quot;publisher&quot;:&quot;Lippincott Williams and Wilkins&quot;,&quot;issue&quot;:&quot;3&quot;,&quot;volume&quot;:&quot;163&quot;},&quot;isTemporary&quot;:false}],&quot;citationTag&quot;:&quot;MENDELEY_CITATION_v3_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&quot;},{&quot;citationID&quot;:&quot;MENDELEY_CITATION_5092d84b-49ef-497d-8b68-704fd7e115d7&quot;,&quot;properties&quot;:{&quot;noteIndex&quot;:0},&quot;isEdited&quot;:false,&quot;manualOverride&quot;:{&quot;isManuallyOverridden&quot;:false,&quot;citeprocText&quot;:&quot;&lt;sup&gt;2&lt;/sup&gt;&quot;,&quot;manualOverrideText&quot;:&quot;&quot;},&quot;citationItems&quot;:[{&quot;id&quot;:&quot;f50768fe-a8e9-3387-af39-638a33b940f3&quot;,&quot;itemData&quot;:{&quot;type&quot;:&quot;article-journal&quot;,&quot;id&quot;:&quot;f50768fe-a8e9-3387-af39-638a33b940f3&quot;,&quot;title&quot;:&quot;Active role of the central amygdala in widespread mechanical sensitization in rats with facial inflammatory pain&quot;,&quot;groupId&quot;:&quot;901f6f3f-f42a-37d8-886f-959d3714f85a&quot;,&quot;author&quot;:[{&quot;family&quot;:&quot;Sugimoto&quot;,&quot;given&quot;:&quot;Mariko&quot;,&quot;parse-names&quot;:false,&quot;dropping-particle&quot;:&quot;&quot;,&quot;non-dropping-particle&quot;:&quot;&quot;},{&quot;family&quot;:&quot;Takahashi&quot;,&quot;given&quot;:&quot;Yukari&quot;,&quot;parse-names&quot;:false,&quot;dropping-particle&quot;:&quot;&quot;,&quot;non-dropping-particle&quot;:&quot;&quot;},{&quot;family&quot;:&quot;Sugimura&quot;,&quot;given&quot;:&quot;Yae K.&quot;,&quot;parse-names&quot;:false,&quot;dropping-particle&quot;:&quot;&quot;,&quot;non-dropping-particle&quot;:&quot;&quot;},{&quot;family&quot;:&quot;Tokunaga&quot;,&quot;given&quot;:&quot;Ryota&quot;,&quot;parse-names&quot;:false,&quot;dropping-particle&quot;:&quot;&quot;,&quot;non-dropping-particle&quot;:&quot;&quot;},{&quot;family&quot;:&quot;Yajima&quot;,&quot;given&quot;:&quot;Manami&quot;,&quot;parse-names&quot;:false,&quot;dropping-particle&quot;:&quot;&quot;,&quot;non-dropping-particle&quot;:&quot;&quot;},{&quot;family&quot;:&quot;Kato&quot;,&quot;given&quot;:&quot;Fusao&quot;,&quot;parse-names&quot;:false,&quot;dropping-particle&quot;:&quot;&quot;,&quot;non-dropping-particle&quot;:&quot;&quot;}],&quot;container-title&quot;:&quot;Pain&quot;,&quot;container-title-short&quot;:&quot;Pain&quot;,&quot;DOI&quot;:&quot;10.1097/j.pain.0000000000002224&quot;,&quot;ISBN&quot;:&quot;0000000000&quot;,&quot;ISSN&quot;:&quot;18726623&quot;,&quot;PMID&quot;:&quot;33900711&quot;,&quot;issued&quot;:{&quot;date-parts&quot;:[[2021]]},&quot;page&quot;:&quot;2273-2286&quot;,&quot;abstract&quot;:&quot;ABSTRACT: Widespread or ectopic sensitization is a hallmark symptom of chronic pain, characterized by aberrantly enhanced pain sensitivity in multiple body regions remote from the site of original injury or inflammation. The central mechanism underlying widespread sensitization remains unidentified. The central nucleus of the amygdala (also called the central amygdala, CeA) is well situated for this role because it receives nociceptive information from diverse body sites and modulates pain sensitivity in various body regions. In this study, we examined the role of the CeA in a novel model of ectopic sensitization of rats. Injection of formalin into the left upper lip resulted in latent bilateral sensitization in the hind paw lasting &gt;13 days in male Wistar rats. Chemogenetic inhibition of gamma-aminobutyric acid-ergic neurons or blockade of calcitonin gene-related peptide receptors in the right CeA, but not in the left, significantly attenuated this sensitization. Furthermore, chemogenetic excitation of gamma-aminobutyric acid-ergic neurons in the right CeA induced de novo bilateral hind paw sensitization in the rats without inflammation. These results indicate that the CeA neuronal activity determines hind paw tactile sensitivity in rats with remote inflammatory pain. They also suggest that the hind paw sensitization used in a large number of preclinical studies might not be simply a sign of the pain at the site of injury but rather a representation of the augmented CeA activity resulting from inflammation/pain in any part of the body or from activities of other brain regions, which has an active role of promoting defensive/protective behaviors to avoid further bodily damage.&quot;,&quot;issue&quot;:&quot;8&quot;,&quot;volume&quot;:&quot;162&quot;},&quot;isTemporary&quot;:false}],&quot;citationTag&quot;:&quot;MENDELEY_CITATION_v3_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&quot;},{&quot;citationID&quot;:&quot;MENDELEY_CITATION_34a6bf7b-5787-417c-ba81-c8d321b51a4a&quot;,&quot;properties&quot;:{&quot;noteIndex&quot;:0},&quot;isEdited&quot;:false,&quot;manualOverride&quot;:{&quot;isManuallyOverridden&quot;:false,&quot;citeprocText&quot;:&quot;&lt;sup&gt;3&lt;/sup&gt;&quot;,&quot;manualOverrideText&quot;:&quot;&quot;},&quot;citationItems&quot;:[{&quot;id&quot;:&quot;c775dc0d-f2e3-3d4a-bce5-2c805112ce25&quot;,&quot;itemData&quot;:{&quot;type&quot;:&quot;article-journal&quot;,&quot;id&quot;:&quot;c775dc0d-f2e3-3d4a-bce5-2c805112ce25&quot;,&quot;title&quot;:&quot;Long-lasting reflexive and nonreflexive pain responses in two mouse models of fibromyalgia-like condition&quot;,&quot;groupId&quot;:&quot;901f6f3f-f42a-37d8-886f-959d3714f85a&quot;,&quot;author&quot;:[{&quot;family&quot;:&quot;Álvarez-Pérez&quot;,&quot;given&quot;:&quot;Beltrán&quot;,&quot;parse-names&quot;:false,&quot;dropping-particle&quot;:&quot;&quot;,&quot;non-dropping-particle&quot;:&quot;&quot;},{&quot;family&quot;:&quot;Deulofeu&quot;,&quot;given&quot;:&quot;Meritxell&quot;,&quot;parse-names&quot;:false,&quot;dropping-particle&quot;:&quot;&quot;,&quot;non-dropping-particle&quot;:&quot;&quot;},{&quot;family&quot;:&quot;Homs&quot;,&quot;given&quot;:&quot;Judit&quot;,&quot;parse-names&quot;:false,&quot;dropping-particle&quot;:&quot;&quot;,&quot;non-dropping-particle&quot;:&quot;&quot;},{&quot;family&quot;:&quot;Merlos&quot;,&quot;given&quot;:&quot;Manuel&quot;,&quot;parse-names&quot;:false,&quot;dropping-particle&quot;:&quot;&quot;,&quot;non-dropping-particle&quot;:&quot;&quot;},{&quot;family&quot;:&quot;Vela&quot;,&quot;given&quot;:&quot;José Miguel&quot;,&quot;parse-names&quot;:false,&quot;dropping-particle&quot;:&quot;&quot;,&quot;non-dropping-particle&quot;:&quot;&quot;},{&quot;family&quot;:&quot;Verdú&quot;,&quot;given&quot;:&quot;Enrique&quot;,&quot;parse-names&quot;:false,&quot;dropping-particle&quot;:&quot;&quot;,&quot;non-dropping-particle&quot;:&quot;&quot;},{&quot;family&quot;:&quot;Boadas-Vaello&quot;,&quot;given&quot;:&quot;Pere&quot;,&quot;parse-names&quot;:false,&quot;dropping-particle&quot;:&quot;&quot;,&quot;non-dropping-particle&quot;:&quot;&quot;}],&quot;container-title&quot;:&quot;Scientific Reports&quot;,&quot;container-title-short&quot;:&quot;Sci Rep&quot;,&quot;DOI&quot;:&quot;10.1038/s41598-022-13968-7&quot;,&quot;ISSN&quot;:&quot;20452322&quot;,&quot;PMID&quot;:&quot;35691979&quot;,&quot;issued&quot;:{&quot;date-parts&quot;:[[2022,12,1]]},&quot;abstract&quot;:&quot;Nociplastic pain arises from altered nociception despite no clear evidence of tissue or somatosensory system damage, and fibromyalgia syndrome can be highlighted as a prototype of this chronic pain subtype. Currently, there is a lack of effective treatments to alleviate both reflexive and nonreflexive pain responses associated with fibromyalgia condition, and suitable preclinical models are needed to assess new pharmacological strategies. In this context, although in recent years some remarkable animal models have been developed to mimic the main characteristics of human fibromyalgia, most of them show pain responses in the short term. Considering the chronicity of this condition, the present work aimed to develop two mouse models showing long-lasting reflexive and nonreflexive pain responses after several reserpine (RIM) or intramuscular acid saline solution (ASI) injections. To our knowledge, this is the first study showing that RIM6 and ASI mouse models show reflexive and nonreflexive responses up to 5–6 weeks, accompanied by either astro- or microgliosis in the spinal cord as pivotal physiopathology processes related to such condition development. In addition, acute treatment with pregabalin resulted in reflexive pain response alleviation in both the RIM6 and ASI models. Consequently, both may be considered suitable experimental models of fibromyalgia-like condition, especially RIM6.&quot;,&quot;publisher&quot;:&quot;Nature Research&quot;,&quot;issue&quot;:&quot;1&quot;,&quot;volume&quot;:&quot;12&quot;},&quot;isTemporary&quot;:false}],&quot;citationTag&quot;:&quot;MENDELEY_CITATION_v3_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&quot;},{&quot;citationID&quot;:&quot;MENDELEY_CITATION_c2d47ea5-9e8b-4b76-a725-ebe6b2c051de&quot;,&quot;properties&quot;:{&quot;noteIndex&quot;:0},&quot;isEdited&quot;:false,&quot;manualOverride&quot;:{&quot;isManuallyOverridden&quot;:false,&quot;citeprocText&quot;:&quot;&lt;sup&gt;4&lt;/sup&gt;&quot;,&quot;manualOverrideText&quot;:&quot;&quot;},&quot;citationItems&quot;:[{&quot;id&quot;:&quot;e8d21258-4fcb-3927-9ef8-c349f722396d&quot;,&quot;itemData&quot;:{&quot;type&quot;:&quot;article-journal&quot;,&quot;id&quot;:&quot;e8d21258-4fcb-3927-9ef8-c349f722396d&quot;,&quot;title&quot;:&quot;Increased substance P-like immunoreactivities in parabrachial and amygdaloid nuclei in a rat model with masticatory myofascial pain&quot;,&quot;groupId&quot;:&quot;901f6f3f-f42a-37d8-886f-959d3714f85a&quot;,&quot;author&quot;:[{&quot;family&quot;:&quot;Hsieh&quot;,&quot;given&quot;:&quot;Yueh Ling&quot;,&quot;parse-names&quot;:false,&quot;dropping-particle&quot;:&quot;&quot;,&quot;non-dropping-particle&quot;:&quot;&quot;},{&quot;family&quot;:&quot;Wu&quot;,&quot;given&quot;:&quot;Bor Tsang&quot;,&quot;parse-names&quot;:false,&quot;dropping-particle&quot;:&quot;&quot;,&quot;non-dropping-particle&quot;:&quot;&quot;},{&quot;family&quot;:&quot;Yang&quot;,&quot;given&quot;:&quot;Chen Chia&quot;,&quot;parse-names&quot;:false,&quot;dropping-particle&quot;:&quot;&quot;,&quot;non-dropping-particle&quot;:&quot;&quot;}],&quot;container-title&quot;:&quot;Experimental Brain Research&quot;,&quot;container-title-short&quot;:&quot;Exp Brain Res&quot;,&quot;DOI&quot;:&quot;10.1007/s00221-020-05942-4&quot;,&quot;ISBN&quot;:&quot;0123456789&quot;,&quot;ISSN&quot;:&quot;14321106&quot;,&quot;PMID&quot;:&quot;33047182&quot;,&quot;URL&quot;:&quot;https://doi.org/10.1007/s00221-020-05942-4&quot;,&quot;issued&quot;:{&quot;date-parts&quot;:[[2020]]},&quot;page&quot;:&quot;2845-2855&quot;,&quot;abstract&quot;:&quot;This study explores the involvement of substance P (SP) in the parabrachial nucleus (PBN) and central amygdaloid nucleus (CeA) in the nociception–emotion link and of rats with masticatory myofascial pain (MMP) induced by chronic tetanic eccentric muscle contraction. A total of 18 rats were randomly and equally assigned for MMP (MMP group) and sham-MMP induction (sMMP group). MMP was induced by electrical-stimulated repetitive tetanic eccentric contraction of the masseter muscle for 14 consecutive days. Myofascial trigger points in the masseter muscle were identified by palpable taut bands, increased prevalence of endplate noise (EPN), focal hypoechoic nodules on ultrasound and restricted jaw opening. All animals were killed for morphological and SP immunohistochemical analyses. Chronic tetanic eccentric contraction induced significantly thicker masseter muscle confirmed by hypoechogenicity, increased prevalence and amplitudes of EPN, and limited jaw opening. Immunohistochemically, the SP-like positive neurons increased significantly in PBN and CeA of the MMP group. Our results suggested that MMP increases the SP protein levels in PBN and CeA, which play important roles in MMP-mediated chronic pain processing as well as MMP-related emotional processes.&quot;,&quot;publisher&quot;:&quot;Springer Berlin Heidelberg&quot;,&quot;issue&quot;:&quot;12&quot;,&quot;volume&quot;:&quot;238&quot;},&quot;isTemporary&quot;:false}],&quot;citationTag&quot;:&quot;MENDELEY_CITATION_v3_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&quot;},{&quot;citationID&quot;:&quot;MENDELEY_CITATION_92511f7d-d1ad-4602-a3d4-c9cf78ed9eb6&quot;,&quot;properties&quot;:{&quot;noteIndex&quot;:0},&quot;isEdited&quot;:false,&quot;manualOverride&quot;:{&quot;isManuallyOverridden&quot;:false,&quot;citeprocText&quot;:&quot;&lt;sup&gt;5&lt;/sup&gt;&quot;,&quot;manualOverrideText&quot;:&quot;&quot;},&quot;citationItems&quot;:[{&quot;id&quot;:&quot;69e11fc1-4bc7-335d-9b29-c1c28d56ed21&quot;,&quot;itemData&quot;:{&quot;type&quot;:&quot;article-journal&quot;,&quot;id&quot;:&quot;69e11fc1-4bc7-335d-9b29-c1c28d56ed21&quot;,&quot;title&quot;:&quot;Experimental myofascial trigger point creation in rodents&quot;,&quot;groupId&quot;:&quot;901f6f3f-f42a-37d8-886f-959d3714f85a&quot;,&quot;author&quot;:[{&quot;family&quot;:&quot;Margalef&quot;,&quot;given&quot;:&quot;Ramon&quot;,&quot;parse-names&quot;:false,&quot;dropping-particle&quot;:&quot;&quot;,&quot;non-dropping-particle&quot;:&quot;&quot;},{&quot;family&quot;:&quot;Sisquella&quot;,&quot;given&quot;:&quot;Marc&quot;,&quot;parse-names&quot;:false,&quot;dropping-particle&quot;:&quot;&quot;,&quot;non-dropping-particle&quot;:&quot;&quot;},{&quot;family&quot;:&quot;Bosque&quot;,&quot;given&quot;:&quot;Marc&quot;,&quot;parse-names&quot;:false,&quot;dropping-particle&quot;:&quot;&quot;,&quot;non-dropping-particle&quot;:&quot;&quot;},{&quot;family&quot;:&quot;Romeu&quot;,&quot;given&quot;:&quot;Clara&quot;,&quot;parse-names&quot;:false,&quot;dropping-particle&quot;:&quot;&quot;,&quot;non-dropping-particle&quot;:&quot;&quot;},{&quot;family&quot;:&quot;Mayoral&quot;,&quot;given&quot;:&quot;Orlando&quot;,&quot;parse-names&quot;:false,&quot;dropping-particle&quot;:&quot;&quot;,&quot;non-dropping-particle&quot;:&quot;&quot;},{&quot;family&quot;:&quot;Monterde&quot;,&quot;given&quot;:&quot;Sonia&quot;,&quot;parse-names&quot;:false,&quot;dropping-particle&quot;:&quot;&quot;,&quot;non-dropping-particle&quot;:&quot;&quot;},{&quot;family&quot;:&quot;Priego&quot;,&quot;given&quot;:&quot;Mercedes&quot;,&quot;parse-names&quot;:false,&quot;dropping-particle&quot;:&quot;&quot;,&quot;non-dropping-particle&quot;:&quot;&quot;},{&quot;family&quot;:&quot;Guerra-Perez&quot;,&quot;given&quot;:&quot;Rafael&quot;,&quot;parse-names&quot;:false,&quot;dropping-particle&quot;:&quot;&quot;,&quot;non-dropping-particle&quot;:&quot;&quot;},{&quot;family&quot;:&quot;Ortiz&quot;,&quot;given&quot;:&quot;Nicolau&quot;,&quot;parse-names&quot;:false,&quot;dropping-particle&quot;:&quot;&quot;,&quot;non-dropping-particle&quot;:&quot;&quot;},{&quot;family&quot;:&quot;Tomàs&quot;,&quot;given&quot;:&quot;Josep&quot;,&quot;parse-names&quot;:false,&quot;dropping-particle&quot;:&quot;&quot;,&quot;non-dropping-particle&quot;:&quot;&quot;},{&quot;family&quot;:&quot;Santafe&quot;,&quot;given&quot;:&quot;Manel M.&quot;,&quot;parse-names&quot;:false,&quot;dropping-particle&quot;:&quot;&quot;,&quot;non-dropping-particle&quot;:&quot;&quot;}],&quot;container-title&quot;:&quot;Journal of Applied Physiology&quot;,&quot;container-title-short&quot;:&quot;J Appl Physiol&quot;,&quot;DOI&quot;:&quot;10.1152/japplphysiol.00248.2018&quot;,&quot;ISSN&quot;:&quot;15221601&quot;,&quot;PMID&quot;:&quot;30307819&quot;,&quot;issued&quot;:{&quot;date-parts&quot;:[[2019]]},&quot;page&quot;:&quot;160-169&quot;,&quot;abstract&quot;:&quot;Margalef R, Sisquella M, Bosque M, Romeu C, Mayoral O, Monterde S, Priego M, Guerra-Perez R, Ortiz N, Tomàs J, Santafe MM. Experimental myofascial trigger point creation in rodents. J Appl Physiol 126: 160 –169, 2019. First published October 11, 2018; doi:10.1152/japplphysiol.00248.2018.—Myofascial pain syndrome is one of the most common forms of muscle pain. In this syndrome, pain is originated by the so-called trigger points, which consists of a set of palpable contraction knots in the muscle. It has been proposed that a high, spontaneous neurotransmission may be involved in the generation of these contraction knots. To confirm this hypothesis, we exposed mouse muscles to an anticholinesterasic agent to increase the neurotransmision in the synaptic cleft in two different conditions, in vivo and ex vivo experiments. Using intracellular recordings, a sharp increase in the spontaneous neurotransmission in the levator auris longus muscle and a lower increase in the diaphragm muscle could be seen. Likewise, electromyography recordings reveal an elevated endplate noise in gastrocnemius muscle of treated animals. These changes are associated with structural changes such as abundant neuromuscular contracted zones observed by rhodaminated -bungarotoxin and the presence of abundant glycosaminoglycans around the contraction knots, as shown by Alcian PAS staining. In a second set of experiments, we aimed at demonstrating that the increases in the neurotransmission reproduced most of the clinical signs associated to a trigger point. We exposed rats to the anticholinesterase agent neostigmine, and 30 min afterward we observed the presence of palpable taut bands, the echocardiographic presence of contraction knots, and local twitch responses upon needle stimulation. In summary, we demonstrated that increased neurotransmission induced trigger points in both rats and mice, as evidenced by glycosaminoglycans around the contraction zones as a novel hallmark of this pathology. NEW &amp; NOTEWORTHY In rodents, when neostigmine was injected subcutaneously, the neuromuscular neurotransmission increased, and several changes can be observed: an elevated endplate noise compared with normal endplate noise, as evidenced by electro-myographyc recording; many muscular fibers with contraction knots (narrower sarcomeres and locally thickened muscle fiber) surrounded by infiltration of connective tissue like glycosaminoglycans molecules; and palpable taut bands and local twitch responses upon needle stimulation. Several of these signs are also observed in humans with muscle pain.&quot;,&quot;issue&quot;:&quot;1&quot;,&quot;volume&quot;:&quot;126&quot;},&quot;isTemporary&quot;:false}],&quot;citationTag&quot;:&quot;MENDELEY_CITATION_v3_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&quot;},{&quot;citationID&quot;:&quot;MENDELEY_CITATION_fda2f5d5-197e-4b7c-a298-381a1739a219&quot;,&quot;properties&quot;:{&quot;noteIndex&quot;:0},&quot;isEdited&quot;:false,&quot;manualOverride&quot;:{&quot;isManuallyOverridden&quot;:false,&quot;citeprocText&quot;:&quot;&lt;sup&gt;6&lt;/sup&gt;&quot;,&quot;manualOverrideText&quot;:&quot;&quot;},&quot;citationItems&quot;:[{&quot;id&quot;:&quot;af33a828-1baf-3732-8dee-a2cf34c52623&quot;,&quot;itemData&quot;:{&quot;type&quot;:&quot;article-journal&quot;,&quot;id&quot;:&quot;af33a828-1baf-3732-8dee-a2cf34c52623&quot;,&quot;title&quot;:&quot;Myoelectrical activity and muscle morphology in a rat model of myofascial trigger points induced by blunt trauma to the vastus medialis&quot;,&quot;groupId&quot;:&quot;901f6f3f-f42a-37d8-886f-959d3714f85a&quot;,&quot;author&quot;:[{&quot;family&quot;:&quot;Huang&quot;,&quot;given&quot;:&quot;Qiang Min&quot;,&quot;parse-names&quot;:false,&quot;dropping-particle&quot;:&quot;&quot;,&quot;non-dropping-particle&quot;:&quot;&quot;},{&quot;family&quot;:&quot;Ye&quot;,&quot;given&quot;:&quot;Gang&quot;,&quot;parse-names&quot;:false,&quot;dropping-particle&quot;:&quot;&quot;,&quot;non-dropping-particle&quot;:&quot;&quot;},{&quot;family&quot;:&quot;Zhao&quot;,&quot;given&quot;:&quot;Zhen Yan&quot;,&quot;parse-names&quot;:false,&quot;dropping-particle&quot;:&quot;&quot;,&quot;non-dropping-particle&quot;:&quot;&quot;},{&quot;family&quot;:&quot;Lv&quot;,&quot;given&quot;:&quot;Jiao Jiao&quot;,&quot;parse-names&quot;:false,&quot;dropping-particle&quot;:&quot;&quot;,&quot;non-dropping-particle&quot;:&quot;&quot;},{&quot;family&quot;:&quot;Tang&quot;,&quot;given&quot;:&quot;Li&quot;,&quot;parse-names&quot;:false,&quot;dropping-particle&quot;:&quot;&quot;,&quot;non-dropping-particle&quot;:&quot;&quot;}],&quot;container-title&quot;:&quot;Acupuncture in Medicine&quot;,&quot;DOI&quot;:&quot;10.1136/acupmed-2012-010129&quot;,&quot;ISSN&quot;:&quot;09645284&quot;,&quot;PMID&quot;:&quot;23328717&quot;,&quot;issued&quot;:{&quot;date-parts&quot;:[[2013]]},&quot;page&quot;:&quot;65-73&quot;,&quot;abstract&quot;:&quot;Objectives: To explore myoelectrical activity and muscle morphology of myofascial trigger points (MTrPs) in an injury model of rats. Methods: A total of 24 male SD rats were randomly divided into a control group (group A) and model group (group B). A blunt striking injury and eccentric exercise were applied to the vastus medialis (VM) of rats in group B for 8 weeks. Later, the palpable taut band (TB), local twitch response, myoelectrical activities and morphology in the two groups were examined. Results: An average of 2.5 (30/12) palpable TBs were detected in the VM in group B compared with none in group A. The MTrPs had two types of abnormal potential. Their amplitudes were significantly higher than those in the control group (p&lt;0.01) but their durations showed no significant differences. A series of reflex contractions appeared in groups A and B in response to external stimulation to the ear. Their amplitude and duration in group B were significantly lower than those in group A. A series of lower fibrillation potentials repeatedly occurred in model MTrPs in group B. The morphology of MTrPs showed abnormal muscle fibres with large round or ellipse shapes in cross-section and enlarged tapering shapes in longitudinal section. Conclusions: Active MTrPs can be provoked by repeated blunt injury. Active MTrPs are a group of muscle fibres with abnormal shapes and abnormal myoelectrical potentials. External stimulation provokes low-voltage responses in MTrPs, which is different from the response of normal muscle fibres.&quot;,&quot;issue&quot;:&quot;1&quot;,&quot;volume&quot;:&quot;31&quot;},&quot;isTemporary&quot;:false}],&quot;citationTag&quot;:&quot;MENDELEY_CITATION_v3_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&quot;},{&quot;citationID&quot;:&quot;MENDELEY_CITATION_7c24bf87-98d3-4bf4-8299-127fd113e4c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&quot;,&quot;citationItems&quot;:[{&quot;id&quot;:&quot;b8e81432-ec54-3d81-8834-46706b8c1deb&quot;,&quot;itemData&quot;:{&quot;type&quot;:&quot;article-journal&quot;,&quot;id&quot;:&quot;b8e81432-ec54-3d81-8834-46706b8c1deb&quot;,&quot;title&quot;:&quot;PRISMA extension for scoping reviews (PRISMA-ScR): Checklist and explanation&quot;,&quot;groupId&quot;:&quot;901f6f3f-f42a-37d8-886f-959d3714f85a&quot;,&quot;author&quot;:[{&quot;family&quot;:&quot;Tricco&quot;,&quot;given&quot;:&quot;Andrea C.&quot;,&quot;parse-names&quot;:false,&quot;dropping-particle&quot;:&quot;&quot;,&quot;non-dropping-particle&quot;:&quot;&quot;},{&quot;family&quot;:&quot;Lillie&quot;,&quot;given&quot;:&quot;Erin&quot;,&quot;parse-names&quot;:false,&quot;dropping-particle&quot;:&quot;&quot;,&quot;non-dropping-particle&quot;:&quot;&quot;},{&quot;family&quot;:&quot;Zarin&quot;,&quot;given&quot;:&quot;Wasifa&quot;,&quot;parse-names&quot;:false,&quot;dropping-particle&quot;:&quot;&quot;,&quot;non-dropping-particle&quot;:&quot;&quot;},{&quot;family&quot;:&quot;O'Brien&quot;,&quot;given&quot;:&quot;Kelly K.&quot;,&quot;parse-names&quot;:false,&quot;dropping-particle&quot;:&quot;&quot;,&quot;non-dropping-particle&quot;:&quot;&quot;},{&quot;family&quot;:&quot;Colquhoun&quot;,&quot;given&quot;:&quot;Heather&quot;,&quot;parse-names&quot;:false,&quot;dropping-particle&quot;:&quot;&quot;,&quot;non-dropping-particle&quot;:&quot;&quot;},{&quot;family&quot;:&quot;Levac&quot;,&quot;given&quot;:&quot;Danielle&quot;,&quot;parse-names&quot;:false,&quot;dropping-particle&quot;:&quot;&quot;,&quot;non-dropping-particle&quot;:&quot;&quot;},{&quot;family&quot;:&quot;Moher&quot;,&quot;given&quot;:&quot;David&quot;,&quot;parse-names&quot;:false,&quot;dropping-particle&quot;:&quot;&quot;,&quot;non-dropping-particle&quot;:&quot;&quot;},{&quot;family&quot;:&quot;Peters&quot;,&quot;given&quot;:&quot;Micah D.J.&quot;,&quot;parse-names&quot;:false,&quot;dropping-particle&quot;:&quot;&quot;,&quot;non-dropping-particle&quot;:&quot;&quot;},{&quot;family&quot;:&quot;Horsley&quot;,&quot;given&quot;:&quot;Tanya&quot;,&quot;parse-names&quot;:false,&quot;dropping-particle&quot;:&quot;&quot;,&quot;non-dropping-particle&quot;:&quot;&quot;},{&quot;family&quot;:&quot;Weeks&quot;,&quot;given&quot;:&quot;Laura&quot;,&quot;parse-names&quot;:false,&quot;dropping-particle&quot;:&quot;&quot;,&quot;non-dropping-particle&quot;:&quot;&quot;},{&quot;family&quot;:&quot;Hempel&quot;,&quot;given&quot;:&quot;Susanne&quot;,&quot;parse-names&quot;:false,&quot;dropping-particle&quot;:&quot;&quot;,&quot;non-dropping-particle&quot;:&quot;&quot;},{&quot;family&quot;:&quot;Akl&quot;,&quot;given&quot;:&quot;Elie A.&quot;,&quot;parse-names&quot;:false,&quot;dropping-particle&quot;:&quot;&quot;,&quot;non-dropping-particle&quot;:&quot;&quot;},{&quot;family&quot;:&quot;Chang&quot;,&quot;given&quot;:&quot;Christine&quot;,&quot;parse-names&quot;:false,&quot;dropping-particle&quot;:&quot;&quot;,&quot;non-dropping-particle&quot;:&quot;&quot;},{&quot;family&quot;:&quot;McGowan&quot;,&quot;given&quot;:&quot;Jessie&quot;,&quot;parse-names&quot;:false,&quot;dropping-particle&quot;:&quot;&quot;,&quot;non-dropping-particle&quot;:&quot;&quot;},{&quot;family&quot;:&quot;Stewart&quot;,&quot;given&quot;:&quot;Lesley&quot;,&quot;parse-names&quot;:false,&quot;dropping-particle&quot;:&quot;&quot;,&quot;non-dropping-particle&quot;:&quot;&quot;},{&quot;family&quot;:&quot;Hartling&quot;,&quot;given&quot;:&quot;Lisa&quot;,&quot;parse-names&quot;:false,&quot;dropping-particle&quot;:&quot;&quot;,&quot;non-dropping-particle&quot;:&quot;&quot;},{&quot;family&quot;:&quot;Aldcroft&quot;,&quot;given&quot;:&quot;Adrian&quot;,&quot;parse-names&quot;:false,&quot;dropping-particle&quot;:&quot;&quot;,&quot;non-dropping-particle&quot;:&quot;&quot;},{&quot;family&quot;:&quot;Wilson&quot;,&quot;given&quot;:&quot;Michael G.&quot;,&quot;parse-names&quot;:false,&quot;dropping-particle&quot;:&quot;&quot;,&quot;non-dropping-particle&quot;:&quot;&quot;},{&quot;family&quot;:&quot;Garritty&quot;,&quot;given&quot;:&quot;Chantelle&quot;,&quot;parse-names&quot;:false,&quot;dropping-particle&quot;:&quot;&quot;,&quot;non-dropping-particle&quot;:&quot;&quot;},{&quot;family&quot;:&quot;Lewin&quot;,&quot;given&quot;:&quot;Simon&quot;,&quot;parse-names&quot;:false,&quot;dropping-particle&quot;:&quot;&quot;,&quot;non-dropping-particle&quot;:&quot;&quot;},{&quot;family&quot;:&quot;Godfrey&quot;,&quot;given&quot;:&quot;Christina M.&quot;,&quot;parse-names&quot;:false,&quot;dropping-particle&quot;:&quot;&quot;,&quot;non-dropping-particle&quot;:&quot;&quot;},{&quot;family&quot;:&quot;MacDonald&quot;,&quot;given&quot;:&quot;Marilyn T.&quot;,&quot;parse-names&quot;:false,&quot;dropping-particle&quot;:&quot;&quot;,&quot;non-dropping-particle&quot;:&quot;&quot;},{&quot;family&quot;:&quot;Langlois&quot;,&quot;given&quot;:&quot;Etienne&quot;,&quot;parse-names&quot;:false,&quot;dropping-particle&quot;:&quot;V.&quot;,&quot;non-dropping-particle&quot;:&quot;&quot;},{&quot;family&quot;:&quot;Soares-Weiser&quot;,&quot;given&quot;:&quot;Karla&quot;,&quot;parse-names&quot;:false,&quot;dropping-particle&quot;:&quot;&quot;,&quot;non-dropping-particle&quot;:&quot;&quot;},{&quot;family&quot;:&quot;Moriarty&quot;,&quot;given&quot;:&quot;Jo&quot;,&quot;parse-names&quot;:false,&quot;dropping-particle&quot;:&quot;&quot;,&quot;non-dropping-particle&quot;:&quot;&quot;},{&quot;family&quot;:&quot;Clifford&quot;,&quot;given&quot;:&quot;Tammy&quot;,&quot;parse-names&quot;:false,&quot;dropping-particle&quot;:&quot;&quot;,&quot;non-dropping-particle&quot;:&quot;&quot;},{&quot;family&quot;:&quot;Tunçalp&quot;,&quot;given&quot;:&quot;Özge&quot;,&quot;parse-names&quot;:false,&quot;dropping-particle&quot;:&quot;&quot;,&quot;non-dropping-particle&quot;:&quot;&quot;},{&quot;family&quot;:&quot;Straus&quot;,&quot;given&quot;:&quot;Sharon E.&quot;,&quot;parse-names&quot;:false,&quot;dropping-particle&quot;:&quot;&quot;,&quot;non-dropping-particle&quot;:&quot;&quot;}],&quot;container-title&quot;:&quot;Annals of Internal Medicine&quot;,&quot;container-title-short&quot;:&quot;Ann Intern Med&quot;,&quot;accessed&quot;:{&quot;date-parts&quot;:[[2023,4,27]]},&quot;DOI&quot;:&quot;10.7326/M18-0850&quot;,&quot;ISSN&quot;:&quot;15393704&quot;,&quot;PMID&quot;:&quot;30178033&quot;,&quot;issued&quot;:{&quot;date-parts&quot;:[[2018,10,2]]},&quot;page&quot;:&quot;467-473&quot;,&quot;abstract&quot;:&quo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quot;,&quot;publisher&quot;:&quot;American College of Physicians&quot;,&quot;issue&quot;:&quot;7&quot;,&quot;volume&quot;:&quot;169&quot;},&quot;isTemporary&quot;:false}]},{&quot;citationID&quot;:&quot;MENDELEY_CITATION_13c84844-f33f-4e86-ba92-b4d7944b1b0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&quot;,&quot;citationItems&quot;:[{&quot;id&quot;:&quot;dd969d0f-8af2-3d22-a62f-b988cd349524&quot;,&quot;itemData&quot;:{&quot;type&quot;:&quot;article-journal&quot;,&quot;id&quot;:&quot;dd969d0f-8af2-3d22-a62f-b988cd349524&quot;,&quot;title&quot;:&quot;Postinjury stimulation triggers a transition to nociplastic pain in mice&quot;,&quot;groupId&quot;:&quot;901f6f3f-f42a-37d8-886f-959d3714f85a&quot;,&quot;author&quot;:[{&quot;family&quot;:&quot;Hankerd&quot;,&quot;given&quot;:&quot;Kali&quot;,&quot;parse-names&quot;:false,&quot;dropping-particle&quot;:&quot;&quot;,&quot;non-dropping-particle&quot;:&quot;&quot;},{&quot;family&quot;:&quot;McDonough&quot;,&quot;given&quot;:&quot;Kathleen E.&quot;,&quot;parse-names&quot;:false,&quot;dropping-particle&quot;:&quot;&quot;,&quot;non-dropping-particle&quot;:&quot;&quot;},{&quot;family&quot;:&quot;Wang&quot;,&quot;given&quot;:&quot;Jigong&quot;,&quot;parse-names&quot;:false,&quot;dropping-particle&quot;:&quot;&quot;,&quot;non-dropping-particle&quot;:&quot;&quot;},{&quot;family&quot;:&quot;Tang&quot;,&quot;given&quot;:&quot;Shao Jun&quot;,&quot;parse-names&quot;:false,&quot;dropping-particle&quot;:&quot;&quot;,&quot;non-dropping-particle&quot;:&quot;&quot;},{&quot;family&quot;:&quot;Chung&quot;,&quot;given&quot;:&quot;Jin Mo&quot;,&quot;parse-names&quot;:false,&quot;dropping-particle&quot;:&quot;&quot;,&quot;non-dropping-particle&quot;:&quot;&quot;},{&quot;family&quot;:&quot;La&quot;,&quot;given&quot;:&quot;Jun Ho&quot;,&quot;parse-names&quot;:false,&quot;dropping-particle&quot;:&quot;&quot;,&quot;non-dropping-particle&quot;:&quot;&quot;}],&quot;container-title&quot;:&quot;Pain&quot;,&quot;container-title-short&quot;:&quot;Pain&quot;,&quot;DOI&quot;:&quot;10.1097/j.pain.0000000000002366&quot;,&quot;ISSN&quot;:&quot;18726623&quot;,&quot;PMID&quot;:&quot;34285154&quot;,&quot;issued&quot;:{&quot;date-parts&quot;:[[2022,3,1]]},&quot;page&quot;:&quot;461-473&quot;,&quot;abstract&quot;:&quot;Acute injury-induced pain can transition to chronic nociplastic pain, which predominantly affects women. To facilitate studies on the underlying mechanisms of nociplastic pain, we developed a mouse model in which postinjury thermal stimulation (intermittent 40°C water immersion for 10 minutes at 2 hours postcapsaicin) prolongs capsaicin (ie, experimental injury)-induced transient mechanical hypersensitivity outside of the injury area. Although capsaicin injection alone induced mechanical and thermal hypersensitivity that resolved in ∼7 days (slower recovery in females), the postinjury stimulation prolonged capsaicin-induced mechanical, but not thermal, hypersensitivity up to 3 weeks in both sexes. When postinjury stimulation was given at a lower intensity (30°C) or at later time points (40°C at 1-3 days postcapsaicin), chronification of mechanical hypersensitivity occurred only in females. Similar chronification could be induced by a different postinjury stimulation modality (vibration of paw) or with a different injury model (plantar incision). Notably, the 40°C postinjury stimulation did not prolong capsaicin-induced inflammation in the hind paw, indicating that the prolonged mechanical hypersensitivity in these mice arises without clear evidence of ongoing injury, reflecting nociplastic pain. Although morphine and gabapentin effectively alleviated this persistent mechanical hypersensitivity in both sexes, sexually dimorphic mechanisms mediated the hypersensitivity. Specifically, ongoing afferent activity at the previously capsaicin-injected area was critical in females, whereas activated spinal microglia were crucial in males. These results demonstrate that postinjury stimulation of the injured area can trigger the transition from transient pain to nociplastic pain more readily in females, and sex-dependent mechanisms maintain the nociplastic pain state.&quot;,&quot;publisher&quot;:&quot;Lippincott Williams and Wilkins&quot;,&quot;issue&quot;:&quot;3&quot;,&quot;volume&quot;:&quot;163&quot;},&quot;isTemporary&quot;:false}]},{&quot;citationID&quot;:&quot;MENDELEY_CITATION_27594471-28bb-47f0-83a0-d7b339209cb7&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&quot;,&quot;citationItems&quot;:[{&quot;id&quot;:&quot;f50768fe-a8e9-3387-af39-638a33b940f3&quot;,&quot;itemData&quot;:{&quot;type&quot;:&quot;article-journal&quot;,&quot;id&quot;:&quot;f50768fe-a8e9-3387-af39-638a33b940f3&quot;,&quot;title&quot;:&quot;Active role of the central amygdala in widespread mechanical sensitization in rats with facial inflammatory pain&quot;,&quot;groupId&quot;:&quot;901f6f3f-f42a-37d8-886f-959d3714f85a&quot;,&quot;author&quot;:[{&quot;family&quot;:&quot;Sugimoto&quot;,&quot;given&quot;:&quot;Mariko&quot;,&quot;parse-names&quot;:false,&quot;dropping-particle&quot;:&quot;&quot;,&quot;non-dropping-particle&quot;:&quot;&quot;},{&quot;family&quot;:&quot;Takahashi&quot;,&quot;given&quot;:&quot;Yukari&quot;,&quot;parse-names&quot;:false,&quot;dropping-particle&quot;:&quot;&quot;,&quot;non-dropping-particle&quot;:&quot;&quot;},{&quot;family&quot;:&quot;Sugimura&quot;,&quot;given&quot;:&quot;Yae K.&quot;,&quot;parse-names&quot;:false,&quot;dropping-particle&quot;:&quot;&quot;,&quot;non-dropping-particle&quot;:&quot;&quot;},{&quot;family&quot;:&quot;Tokunaga&quot;,&quot;given&quot;:&quot;Ryota&quot;,&quot;parse-names&quot;:false,&quot;dropping-particle&quot;:&quot;&quot;,&quot;non-dropping-particle&quot;:&quot;&quot;},{&quot;family&quot;:&quot;Yajima&quot;,&quot;given&quot;:&quot;Manami&quot;,&quot;parse-names&quot;:false,&quot;dropping-particle&quot;:&quot;&quot;,&quot;non-dropping-particle&quot;:&quot;&quot;},{&quot;family&quot;:&quot;Kato&quot;,&quot;given&quot;:&quot;Fusao&quot;,&quot;parse-names&quot;:false,&quot;dropping-particle&quot;:&quot;&quot;,&quot;non-dropping-particle&quot;:&quot;&quot;}],&quot;container-title&quot;:&quot;Pain&quot;,&quot;container-title-short&quot;:&quot;Pain&quot;,&quot;DOI&quot;:&quot;10.1097/j.pain.0000000000002224&quot;,&quot;ISBN&quot;:&quot;0000000000&quot;,&quot;ISSN&quot;:&quot;18726623&quot;,&quot;PMID&quot;:&quot;33900711&quot;,&quot;issued&quot;:{&quot;date-parts&quot;:[[2021]]},&quot;page&quot;:&quot;2273-2286&quot;,&quot;abstract&quot;:&quot;ABSTRACT: Widespread or ectopic sensitization is a hallmark symptom of chronic pain, characterized by aberrantly enhanced pain sensitivity in multiple body regions remote from the site of original injury or inflammation. The central mechanism underlying widespread sensitization remains unidentified. The central nucleus of the amygdala (also called the central amygdala, CeA) is well situated for this role because it receives nociceptive information from diverse body sites and modulates pain sensitivity in various body regions. In this study, we examined the role of the CeA in a novel model of ectopic sensitization of rats. Injection of formalin into the left upper lip resulted in latent bilateral sensitization in the hind paw lasting &gt;13 days in male Wistar rats. Chemogenetic inhibition of gamma-aminobutyric acid-ergic neurons or blockade of calcitonin gene-related peptide receptors in the right CeA, but not in the left, significantly attenuated this sensitization. Furthermore, chemogenetic excitation of gamma-aminobutyric acid-ergic neurons in the right CeA induced de novo bilateral hind paw sensitization in the rats without inflammation. These results indicate that the CeA neuronal activity determines hind paw tactile sensitivity in rats with remote inflammatory pain. They also suggest that the hind paw sensitization used in a large number of preclinical studies might not be simply a sign of the pain at the site of injury but rather a representation of the augmented CeA activity resulting from inflammation/pain in any part of the body or from activities of other brain regions, which has an active role of promoting defensive/protective behaviors to avoid further bodily damage.&quot;,&quot;issue&quot;:&quot;8&quot;,&quot;volume&quot;:&quot;162&quot;},&quot;isTemporary&quot;:false}]},{&quot;citationID&quot;:&quot;MENDELEY_CITATION_f51a4a93-59f4-4968-b43e-580565d00ce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&quot;,&quot;citationItems&quot;:[{&quot;id&quot;:&quot;c775dc0d-f2e3-3d4a-bce5-2c805112ce25&quot;,&quot;itemData&quot;:{&quot;type&quot;:&quot;article-journal&quot;,&quot;id&quot;:&quot;c775dc0d-f2e3-3d4a-bce5-2c805112ce25&quot;,&quot;title&quot;:&quot;Long-lasting reflexive and nonreflexive pain responses in two mouse models of fibromyalgia-like condition&quot;,&quot;groupId&quot;:&quot;901f6f3f-f42a-37d8-886f-959d3714f85a&quot;,&quot;author&quot;:[{&quot;family&quot;:&quot;Álvarez-Pérez&quot;,&quot;given&quot;:&quot;Beltrán&quot;,&quot;parse-names&quot;:false,&quot;dropping-particle&quot;:&quot;&quot;,&quot;non-dropping-particle&quot;:&quot;&quot;},{&quot;family&quot;:&quot;Deulofeu&quot;,&quot;given&quot;:&quot;Meritxell&quot;,&quot;parse-names&quot;:false,&quot;dropping-particle&quot;:&quot;&quot;,&quot;non-dropping-particle&quot;:&quot;&quot;},{&quot;family&quot;:&quot;Homs&quot;,&quot;given&quot;:&quot;Judit&quot;,&quot;parse-names&quot;:false,&quot;dropping-particle&quot;:&quot;&quot;,&quot;non-dropping-particle&quot;:&quot;&quot;},{&quot;family&quot;:&quot;Merlos&quot;,&quot;given&quot;:&quot;Manuel&quot;,&quot;parse-names&quot;:false,&quot;dropping-particle&quot;:&quot;&quot;,&quot;non-dropping-particle&quot;:&quot;&quot;},{&quot;family&quot;:&quot;Vela&quot;,&quot;given&quot;:&quot;José Miguel&quot;,&quot;parse-names&quot;:false,&quot;dropping-particle&quot;:&quot;&quot;,&quot;non-dropping-particle&quot;:&quot;&quot;},{&quot;family&quot;:&quot;Verdú&quot;,&quot;given&quot;:&quot;Enrique&quot;,&quot;parse-names&quot;:false,&quot;dropping-particle&quot;:&quot;&quot;,&quot;non-dropping-particle&quot;:&quot;&quot;},{&quot;family&quot;:&quot;Boadas-Vaello&quot;,&quot;given&quot;:&quot;Pere&quot;,&quot;parse-names&quot;:false,&quot;dropping-particle&quot;:&quot;&quot;,&quot;non-dropping-particle&quot;:&quot;&quot;}],&quot;container-title&quot;:&quot;Scientific Reports&quot;,&quot;container-title-short&quot;:&quot;Sci Rep&quot;,&quot;DOI&quot;:&quot;10.1038/s41598-022-13968-7&quot;,&quot;ISSN&quot;:&quot;20452322&quot;,&quot;PMID&quot;:&quot;35691979&quot;,&quot;issued&quot;:{&quot;date-parts&quot;:[[2022,12,1]]},&quot;abstract&quot;:&quot;Nociplastic pain arises from altered nociception despite no clear evidence of tissue or somatosensory system damage, and fibromyalgia syndrome can be highlighted as a prototype of this chronic pain subtype. Currently, there is a lack of effective treatments to alleviate both reflexive and nonreflexive pain responses associated with fibromyalgia condition, and suitable preclinical models are needed to assess new pharmacological strategies. In this context, although in recent years some remarkable animal models have been developed to mimic the main characteristics of human fibromyalgia, most of them show pain responses in the short term. Considering the chronicity of this condition, the present work aimed to develop two mouse models showing long-lasting reflexive and nonreflexive pain responses after several reserpine (RIM) or intramuscular acid saline solution (ASI) injections. To our knowledge, this is the first study showing that RIM6 and ASI mouse models show reflexive and nonreflexive responses up to 5–6 weeks, accompanied by either astro- or microgliosis in the spinal cord as pivotal physiopathology processes related to such condition development. In addition, acute treatment with pregabalin resulted in reflexive pain response alleviation in both the RIM6 and ASI models. Consequently, both may be considered suitable experimental models of fibromyalgia-like condition, especially RIM6.&quot;,&quot;publisher&quot;:&quot;Nature Research&quot;,&quot;issue&quot;:&quot;1&quot;,&quot;volume&quot;:&quot;12&quot;},&quot;isTemporary&quot;:false}]},{&quot;citationID&quot;:&quot;MENDELEY_CITATION_6eaeb59f-9253-46ec-b6e9-a0cb10f25aa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&quot;,&quot;citationItems&quot;:[{&quot;id&quot;:&quot;e8d21258-4fcb-3927-9ef8-c349f722396d&quot;,&quot;itemData&quot;:{&quot;type&quot;:&quot;article-journal&quot;,&quot;id&quot;:&quot;e8d21258-4fcb-3927-9ef8-c349f722396d&quot;,&quot;title&quot;:&quot;Increased substance P-like immunoreactivities in parabrachial and amygdaloid nuclei in a rat model with masticatory myofascial pain&quot;,&quot;groupId&quot;:&quot;901f6f3f-f42a-37d8-886f-959d3714f85a&quot;,&quot;author&quot;:[{&quot;family&quot;:&quot;Hsieh&quot;,&quot;given&quot;:&quot;Yueh Ling&quot;,&quot;parse-names&quot;:false,&quot;dropping-particle&quot;:&quot;&quot;,&quot;non-dropping-particle&quot;:&quot;&quot;},{&quot;family&quot;:&quot;Wu&quot;,&quot;given&quot;:&quot;Bor Tsang&quot;,&quot;parse-names&quot;:false,&quot;dropping-particle&quot;:&quot;&quot;,&quot;non-dropping-particle&quot;:&quot;&quot;},{&quot;family&quot;:&quot;Yang&quot;,&quot;given&quot;:&quot;Chen Chia&quot;,&quot;parse-names&quot;:false,&quot;dropping-particle&quot;:&quot;&quot;,&quot;non-dropping-particle&quot;:&quot;&quot;}],&quot;container-title&quot;:&quot;Experimental Brain Research&quot;,&quot;container-title-short&quot;:&quot;Exp Brain Res&quot;,&quot;DOI&quot;:&quot;10.1007/s00221-020-05942-4&quot;,&quot;ISBN&quot;:&quot;0123456789&quot;,&quot;ISSN&quot;:&quot;14321106&quot;,&quot;PMID&quot;:&quot;33047182&quot;,&quot;URL&quot;:&quot;https://doi.org/10.1007/s00221-020-05942-4&quot;,&quot;issued&quot;:{&quot;date-parts&quot;:[[2020]]},&quot;page&quot;:&quot;2845-2855&quot;,&quot;abstract&quot;:&quot;This study explores the involvement of substance P (SP) in the parabrachial nucleus (PBN) and central amygdaloid nucleus (CeA) in the nociception–emotion link and of rats with masticatory myofascial pain (MMP) induced by chronic tetanic eccentric muscle contraction. A total of 18 rats were randomly and equally assigned for MMP (MMP group) and sham-MMP induction (sMMP group). MMP was induced by electrical-stimulated repetitive tetanic eccentric contraction of the masseter muscle for 14 consecutive days. Myofascial trigger points in the masseter muscle were identified by palpable taut bands, increased prevalence of endplate noise (EPN), focal hypoechoic nodules on ultrasound and restricted jaw opening. All animals were killed for morphological and SP immunohistochemical analyses. Chronic tetanic eccentric contraction induced significantly thicker masseter muscle confirmed by hypoechogenicity, increased prevalence and amplitudes of EPN, and limited jaw opening. Immunohistochemically, the SP-like positive neurons increased significantly in PBN and CeA of the MMP group. Our results suggested that MMP increases the SP protein levels in PBN and CeA, which play important roles in MMP-mediated chronic pain processing as well as MMP-related emotional processes.&quot;,&quot;publisher&quot;:&quot;Springer Berlin Heidelberg&quot;,&quot;issue&quot;:&quot;12&quot;,&quot;volume&quot;:&quot;238&quot;},&quot;isTemporary&quot;:false}]},{&quot;citationID&quot;:&quot;MENDELEY_CITATION_427ec369-fe60-4834-95e5-d745edcaa8d1&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&quot;,&quot;citationItems&quot;:[{&quot;id&quot;:&quot;69e11fc1-4bc7-335d-9b29-c1c28d56ed21&quot;,&quot;itemData&quot;:{&quot;type&quot;:&quot;article-journal&quot;,&quot;id&quot;:&quot;69e11fc1-4bc7-335d-9b29-c1c28d56ed21&quot;,&quot;title&quot;:&quot;Experimental myofascial trigger point creation in rodents&quot;,&quot;groupId&quot;:&quot;901f6f3f-f42a-37d8-886f-959d3714f85a&quot;,&quot;author&quot;:[{&quot;family&quot;:&quot;Margalef&quot;,&quot;given&quot;:&quot;Ramon&quot;,&quot;parse-names&quot;:false,&quot;dropping-particle&quot;:&quot;&quot;,&quot;non-dropping-particle&quot;:&quot;&quot;},{&quot;family&quot;:&quot;Sisquella&quot;,&quot;given&quot;:&quot;Marc&quot;,&quot;parse-names&quot;:false,&quot;dropping-particle&quot;:&quot;&quot;,&quot;non-dropping-particle&quot;:&quot;&quot;},{&quot;family&quot;:&quot;Bosque&quot;,&quot;given&quot;:&quot;Marc&quot;,&quot;parse-names&quot;:false,&quot;dropping-particle&quot;:&quot;&quot;,&quot;non-dropping-particle&quot;:&quot;&quot;},{&quot;family&quot;:&quot;Romeu&quot;,&quot;given&quot;:&quot;Clara&quot;,&quot;parse-names&quot;:false,&quot;dropping-particle&quot;:&quot;&quot;,&quot;non-dropping-particle&quot;:&quot;&quot;},{&quot;family&quot;:&quot;Mayoral&quot;,&quot;given&quot;:&quot;Orlando&quot;,&quot;parse-names&quot;:false,&quot;dropping-particle&quot;:&quot;&quot;,&quot;non-dropping-particle&quot;:&quot;&quot;},{&quot;family&quot;:&quot;Monterde&quot;,&quot;given&quot;:&quot;Sonia&quot;,&quot;parse-names&quot;:false,&quot;dropping-particle&quot;:&quot;&quot;,&quot;non-dropping-particle&quot;:&quot;&quot;},{&quot;family&quot;:&quot;Priego&quot;,&quot;given&quot;:&quot;Mercedes&quot;,&quot;parse-names&quot;:false,&quot;dropping-particle&quot;:&quot;&quot;,&quot;non-dropping-particle&quot;:&quot;&quot;},{&quot;family&quot;:&quot;Guerra-Perez&quot;,&quot;given&quot;:&quot;Rafael&quot;,&quot;parse-names&quot;:false,&quot;dropping-particle&quot;:&quot;&quot;,&quot;non-dropping-particle&quot;:&quot;&quot;},{&quot;family&quot;:&quot;Ortiz&quot;,&quot;given&quot;:&quot;Nicolau&quot;,&quot;parse-names&quot;:false,&quot;dropping-particle&quot;:&quot;&quot;,&quot;non-dropping-particle&quot;:&quot;&quot;},{&quot;family&quot;:&quot;Tomàs&quot;,&quot;given&quot;:&quot;Josep&quot;,&quot;parse-names&quot;:false,&quot;dropping-particle&quot;:&quot;&quot;,&quot;non-dropping-particle&quot;:&quot;&quot;},{&quot;family&quot;:&quot;Santafe&quot;,&quot;given&quot;:&quot;Manel M.&quot;,&quot;parse-names&quot;:false,&quot;dropping-particle&quot;:&quot;&quot;,&quot;non-dropping-particle&quot;:&quot;&quot;}],&quot;container-title&quot;:&quot;Journal of Applied Physiology&quot;,&quot;container-title-short&quot;:&quot;J Appl Physiol&quot;,&quot;DOI&quot;:&quot;10.1152/japplphysiol.00248.2018&quot;,&quot;ISSN&quot;:&quot;15221601&quot;,&quot;PMID&quot;:&quot;30307819&quot;,&quot;issued&quot;:{&quot;date-parts&quot;:[[2019]]},&quot;page&quot;:&quot;160-169&quot;,&quot;abstract&quot;:&quot;Margalef R, Sisquella M, Bosque M, Romeu C, Mayoral O, Monterde S, Priego M, Guerra-Perez R, Ortiz N, Tomàs J, Santafe MM. Experimental myofascial trigger point creation in rodents. J Appl Physiol 126: 160 –169, 2019. First published October 11, 2018; doi:10.1152/japplphysiol.00248.2018.—Myofascial pain syndrome is one of the most common forms of muscle pain. In this syndrome, pain is originated by the so-called trigger points, which consists of a set of palpable contraction knots in the muscle. It has been proposed that a high, spontaneous neurotransmission may be involved in the generation of these contraction knots. To confirm this hypothesis, we exposed mouse muscles to an anticholinesterasic agent to increase the neurotransmision in the synaptic cleft in two different conditions, in vivo and ex vivo experiments. Using intracellular recordings, a sharp increase in the spontaneous neurotransmission in the levator auris longus muscle and a lower increase in the diaphragm muscle could be seen. Likewise, electromyography recordings reveal an elevated endplate noise in gastrocnemius muscle of treated animals. These changes are associated with structural changes such as abundant neuromuscular contracted zones observed by rhodaminated -bungarotoxin and the presence of abundant glycosaminoglycans around the contraction knots, as shown by Alcian PAS staining. In a second set of experiments, we aimed at demonstrating that the increases in the neurotransmission reproduced most of the clinical signs associated to a trigger point. We exposed rats to the anticholinesterase agent neostigmine, and 30 min afterward we observed the presence of palpable taut bands, the echocardiographic presence of contraction knots, and local twitch responses upon needle stimulation. In summary, we demonstrated that increased neurotransmission induced trigger points in both rats and mice, as evidenced by glycosaminoglycans around the contraction zones as a novel hallmark of this pathology. NEW &amp; NOTEWORTHY In rodents, when neostigmine was injected subcutaneously, the neuromuscular neurotransmission increased, and several changes can be observed: an elevated endplate noise compared with normal endplate noise, as evidenced by electro-myographyc recording; many muscular fibers with contraction knots (narrower sarcomeres and locally thickened muscle fiber) surrounded by infiltration of connective tissue like glycosaminoglycans molecules; and palpable taut bands and local twitch responses upon needle stimulation. Several of these signs are also observed in humans with muscle pain.&quot;,&quot;issue&quot;:&quot;1&quot;,&quot;volume&quot;:&quot;126&quot;},&quot;isTemporary&quot;:false}]},{&quot;citationID&quot;:&quot;MENDELEY_CITATION_75ba7c9a-4dd0-44d9-84e6-425c2179c442&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&quot;,&quot;citationItems&quot;:[{&quot;id&quot;:&quot;af33a828-1baf-3732-8dee-a2cf34c52623&quot;,&quot;itemData&quot;:{&quot;type&quot;:&quot;article-journal&quot;,&quot;id&quot;:&quot;af33a828-1baf-3732-8dee-a2cf34c52623&quot;,&quot;title&quot;:&quot;Myoelectrical activity and muscle morphology in a rat model of myofascial trigger points induced by blunt trauma to the vastus medialis&quot;,&quot;groupId&quot;:&quot;901f6f3f-f42a-37d8-886f-959d3714f85a&quot;,&quot;author&quot;:[{&quot;family&quot;:&quot;Huang&quot;,&quot;given&quot;:&quot;Qiang Min&quot;,&quot;parse-names&quot;:false,&quot;dropping-particle&quot;:&quot;&quot;,&quot;non-dropping-particle&quot;:&quot;&quot;},{&quot;family&quot;:&quot;Ye&quot;,&quot;given&quot;:&quot;Gang&quot;,&quot;parse-names&quot;:false,&quot;dropping-particle&quot;:&quot;&quot;,&quot;non-dropping-particle&quot;:&quot;&quot;},{&quot;family&quot;:&quot;Zhao&quot;,&quot;given&quot;:&quot;Zhen Yan&quot;,&quot;parse-names&quot;:false,&quot;dropping-particle&quot;:&quot;&quot;,&quot;non-dropping-particle&quot;:&quot;&quot;},{&quot;family&quot;:&quot;Lv&quot;,&quot;given&quot;:&quot;Jiao Jiao&quot;,&quot;parse-names&quot;:false,&quot;dropping-particle&quot;:&quot;&quot;,&quot;non-dropping-particle&quot;:&quot;&quot;},{&quot;family&quot;:&quot;Tang&quot;,&quot;given&quot;:&quot;Li&quot;,&quot;parse-names&quot;:false,&quot;dropping-particle&quot;:&quot;&quot;,&quot;non-dropping-particle&quot;:&quot;&quot;}],&quot;container-title&quot;:&quot;Acupuncture in Medicine&quot;,&quot;DOI&quot;:&quot;10.1136/acupmed-2012-010129&quot;,&quot;ISSN&quot;:&quot;09645284&quot;,&quot;PMID&quot;:&quot;23328717&quot;,&quot;issued&quot;:{&quot;date-parts&quot;:[[2013]]},&quot;page&quot;:&quot;65-73&quot;,&quot;abstract&quot;:&quot;Objectives: To explore myoelectrical activity and muscle morphology of myofascial trigger points (MTrPs) in an injury model of rats. Methods: A total of 24 male SD rats were randomly divided into a control group (group A) and model group (group B). A blunt striking injury and eccentric exercise were applied to the vastus medialis (VM) of rats in group B for 8 weeks. Later, the palpable taut band (TB), local twitch response, myoelectrical activities and morphology in the two groups were examined. Results: An average of 2.5 (30/12) palpable TBs were detected in the VM in group B compared with none in group A. The MTrPs had two types of abnormal potential. Their amplitudes were significantly higher than those in the control group (p&lt;0.01) but their durations showed no significant differences. A series of reflex contractions appeared in groups A and B in response to external stimulation to the ear. Their amplitude and duration in group B were significantly lower than those in group A. A series of lower fibrillation potentials repeatedly occurred in model MTrPs in group B. The morphology of MTrPs showed abnormal muscle fibres with large round or ellipse shapes in cross-section and enlarged tapering shapes in longitudinal section. Conclusions: Active MTrPs can be provoked by repeated blunt injury. Active MTrPs are a group of muscle fibres with abnormal shapes and abnormal myoelectrical potentials. External stimulation provokes low-voltage responses in MTrPs, which is different from the response of normal muscle fibres.&quot;,&quot;issue&quot;:&quot;1&quot;,&quot;volume&quot;:&quot;31&quot;,&quot;container-title-short&quot;:&quot;&quot;},&quot;isTemporary&quot;:false}]}]"/>
    <we:property name="MENDELEY_CITATIONS_LOCALE_CODE" value="&quot;en-US&quot;"/>
    <we:property name="MENDELEY_CITATIONS_STYLE" value="{&quot;id&quot;:&quot;https://www.zotero.org/styles/jama&quot;,&quot;title&quot;:&quot;JAMA (The Journal of the American Medical Associa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4274-9D96-4E54-AA24-1619DF33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5472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6419</CharactersWithSpaces>
  <SharedDoc>false</SharedDoc>
  <HLinks>
    <vt:vector size="6" baseType="variant">
      <vt:variant>
        <vt:i4>8061054</vt:i4>
      </vt:variant>
      <vt:variant>
        <vt:i4>0</vt:i4>
      </vt:variant>
      <vt:variant>
        <vt:i4>0</vt:i4>
      </vt:variant>
      <vt:variant>
        <vt:i4>5</vt:i4>
      </vt:variant>
      <vt:variant>
        <vt:lpwstr>http://annals.org/aim/fullarticle/2700389/prisma-extension-scoping-reviews-prisma-scr-checklist-explanation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Szopka</dc:creator>
  <cp:keywords/>
  <dc:description/>
  <cp:lastModifiedBy>Lee, Boon</cp:lastModifiedBy>
  <cp:revision>2</cp:revision>
  <dcterms:created xsi:type="dcterms:W3CDTF">2023-10-25T20:58:00Z</dcterms:created>
  <dcterms:modified xsi:type="dcterms:W3CDTF">2023-10-25T20:58:00Z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9e618c5f8e8a78645fd2bfd29b4976f9e3baf716497a1e27e3fbf31612e20cef</vt:lpwstr>
  </property>
  <property fmtid="{D5CDD505-2E9C-101B-9397-08002B2CF9AE}" pid="3" name="ClassificationContentMarkingFooterShapeIds">
    <vt:lpwstr>f1575de,48aabf2f,303b198b,2e7eb894,5164aba9,2d5364c6,7130da34,13bcc694,5ab990b3</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2023-08-22T02:29:53Z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7005018e-1365-4163-82ce-1146ea1e8262</vt:lpwstr>
  </property>
  <property fmtid="{D5CDD505-2E9C-101B-9397-08002B2CF9AE}" pid="12" name="MSIP_Label_2bbab825-a111-45e4-86a1-18cee0005896_ContentBits">
    <vt:lpwstr>2</vt:lpwstr>
  </property>
</Properties>
</file>