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68607547"/>
      <w:bookmarkStart w:id="1" w:name="_Toc47426825"/>
      <w:bookmarkStart w:id="2" w:name="_Toc34921908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Table S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MRI a</w:t>
      </w:r>
      <w:r>
        <w:rPr>
          <w:rFonts w:ascii="Times New Roman" w:hAnsi="Times New Roman" w:cs="Times New Roman"/>
          <w:sz w:val="24"/>
          <w:szCs w:val="24"/>
        </w:rPr>
        <w:t>cquisition protocol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two MR</w:t>
      </w:r>
      <w:r>
        <w:rPr>
          <w:rFonts w:ascii="Times New Roman" w:hAnsi="Times New Roman" w:cs="Times New Roman"/>
          <w:sz w:val="24"/>
          <w:szCs w:val="24"/>
        </w:rPr>
        <w:t xml:space="preserve"> scans</w:t>
      </w:r>
      <w:bookmarkEnd w:id="0"/>
      <w:bookmarkEnd w:id="1"/>
      <w:bookmarkEnd w:id="2"/>
    </w:p>
    <w:tbl>
      <w:tblPr>
        <w:tblStyle w:val="14"/>
        <w:tblW w:w="9778" w:type="dxa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965"/>
        <w:gridCol w:w="905"/>
        <w:gridCol w:w="1986"/>
        <w:gridCol w:w="240"/>
        <w:gridCol w:w="975"/>
        <w:gridCol w:w="914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88" w:type="dxa"/>
            <w:vMerge w:val="restart"/>
            <w:tcBorders>
              <w:top w:val="single" w:color="auto" w:sz="8" w:space="0"/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pacing w:val="10"/>
                <w:sz w:val="16"/>
                <w:szCs w:val="16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arameters</w:t>
            </w:r>
          </w:p>
        </w:tc>
        <w:tc>
          <w:tcPr>
            <w:tcW w:w="385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Titan 3T,Toshiba</w:t>
            </w:r>
          </w:p>
        </w:tc>
        <w:tc>
          <w:tcPr>
            <w:tcW w:w="24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</w:p>
        </w:tc>
        <w:tc>
          <w:tcPr>
            <w:tcW w:w="389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Prisma 3.0T,Siemens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88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T1WI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T2WI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Dynamic enhance T1WI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T1WI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T2WI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dynamic enhance T1WI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8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Repetition time(ms)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3.7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2000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3.7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3.97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1500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Echo time(ms)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1.3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1.29/2.52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102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1.23/2.46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pacing w:val="10"/>
                <w:sz w:val="16"/>
                <w:szCs w:val="16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lip angle(deg)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90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9.0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160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Matrix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160×224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224×320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160×224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195×320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216×320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141×256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pacing w:val="10"/>
                <w:sz w:val="16"/>
                <w:szCs w:val="16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lice thickness(mm)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5.5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6.5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5.5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3.0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6.0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pacing w:val="10"/>
                <w:sz w:val="16"/>
                <w:szCs w:val="16"/>
                <w:lang w:val="en-US" w:eastAsia="zh-CN"/>
              </w:rPr>
              <w:t>Field of view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350×380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350×380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350×380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380×380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380×380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10"/>
                <w:sz w:val="16"/>
                <w:szCs w:val="16"/>
                <w:lang w:val="en-US" w:eastAsia="zh-CN"/>
              </w:rPr>
              <w:t>380×380</w:t>
            </w:r>
          </w:p>
        </w:tc>
      </w:tr>
    </w:tbl>
    <w:p>
      <w:pPr>
        <w:pStyle w:val="39"/>
        <w:tabs>
          <w:tab w:val="left" w:pos="7797"/>
        </w:tabs>
        <w:spacing w:line="360" w:lineRule="auto"/>
        <w:ind w:left="0" w:leftChars="0" w:firstLine="0" w:firstLineChars="0"/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</w:pPr>
    </w:p>
    <w:p>
      <w:pPr>
        <w:pStyle w:val="39"/>
        <w:tabs>
          <w:tab w:val="left" w:pos="7797"/>
        </w:tabs>
        <w:ind w:left="-2" w:leftChars="-1"/>
        <w:jc w:val="center"/>
        <w:rPr>
          <w:rFonts w:hint="eastAsia" w:ascii="Times New Roman" w:hAnsi="Times New Roman" w:eastAsia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Table </w:t>
      </w:r>
      <w:r>
        <w:rPr>
          <w:rFonts w:hint="eastAsia" w:ascii="Times New Roman" w:hAnsi="Times New Roman" w:eastAsia="Times New Roman" w:cs="Times New Roman"/>
          <w:b/>
          <w:sz w:val="24"/>
          <w:szCs w:val="24"/>
          <w:lang w:val="en-US" w:eastAsia="zh-CN"/>
        </w:rPr>
        <w:t>S2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Times New Roman" w:cs="Times New Roman"/>
          <w:b/>
          <w:sz w:val="24"/>
          <w:szCs w:val="24"/>
          <w:lang w:val="en-US" w:eastAsia="zh-CN"/>
        </w:rPr>
        <w:t xml:space="preserve"> Definition of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i</w:t>
      </w:r>
      <w:r>
        <w:rPr>
          <w:rFonts w:hint="eastAsia" w:ascii="Times New Roman" w:hAnsi="Times New Roman" w:eastAsia="Times New Roman" w:cs="Times New Roman"/>
          <w:b/>
          <w:sz w:val="24"/>
          <w:szCs w:val="24"/>
          <w:lang w:val="en-US" w:eastAsia="zh-CN"/>
        </w:rPr>
        <w:t xml:space="preserve">maging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f</w:t>
      </w:r>
      <w:r>
        <w:rPr>
          <w:rFonts w:hint="eastAsia" w:ascii="Times New Roman" w:hAnsi="Times New Roman" w:eastAsia="Times New Roman" w:cs="Times New Roman"/>
          <w:b/>
          <w:sz w:val="24"/>
          <w:szCs w:val="24"/>
          <w:lang w:val="en-US" w:eastAsia="zh-CN"/>
        </w:rPr>
        <w:t xml:space="preserve">eatures of 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Gd-EOB-DTPA</w:t>
      </w:r>
      <w:r>
        <w:rPr>
          <w:rFonts w:hint="eastAsia" w:ascii="Times New Roman" w:hAnsi="Times New Roman" w:eastAsia="Times New Roman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e</w:t>
      </w:r>
      <w:r>
        <w:rPr>
          <w:rFonts w:hint="eastAsia" w:ascii="Times New Roman" w:hAnsi="Times New Roman" w:eastAsia="Times New Roman" w:cs="Times New Roman"/>
          <w:b/>
          <w:sz w:val="24"/>
          <w:szCs w:val="24"/>
          <w:lang w:val="en-US" w:eastAsia="zh-CN"/>
        </w:rPr>
        <w:t>nhanced MRI</w:t>
      </w:r>
    </w:p>
    <w:tbl>
      <w:tblPr>
        <w:tblStyle w:val="14"/>
        <w:tblpPr w:leftFromText="180" w:rightFromText="180" w:vertAnchor="text" w:horzAnchor="page" w:tblpX="1595" w:tblpY="401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6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MRI Features</w:t>
            </w:r>
          </w:p>
        </w:tc>
        <w:tc>
          <w:tcPr>
            <w:tcW w:w="698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Definition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Non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enhanced image</w:t>
            </w:r>
          </w:p>
        </w:tc>
        <w:tc>
          <w:tcPr>
            <w:tcW w:w="698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218" w:leftChars="104" w:firstLine="0" w:firstLineChars="0"/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Tumor diameter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he largest outer-edge-to-outer-edge dimension of an observation, including the capsule if present.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218" w:leftChars="104" w:firstLine="0" w:firstLineChars="0"/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15"/>
                <w:sz w:val="18"/>
                <w:szCs w:val="18"/>
              </w:rPr>
              <w:t>Intratumoral necrosis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Non-enhanced areas with attenuation similar to that of gallbladder contents and as signal hyperintensity on T2WI.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218" w:leftChars="104" w:firstLine="0" w:firstLineChars="0"/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Intratumoral bleeding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High</w:t>
            </w:r>
            <w:bookmarkStart w:id="3" w:name="OLE_LINK1"/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 xml:space="preserve"> signal intensity</w:t>
            </w:r>
            <w:bookmarkEnd w:id="3"/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 xml:space="preserve"> foci on T1WI without signal reduction on inverse-phase or fat-suppressed images.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218" w:firstLineChars="104"/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</w:rPr>
              <w:t>Intratumoral fat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Tumor area with decreased signal intensity on opposed-phase images compared with in-phase images.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220" w:firstLineChars="110"/>
              <w:jc w:val="left"/>
              <w:rPr>
                <w:rFonts w:hint="eastAsia" w:ascii="Times New Roman" w:hAnsi="Times New Roman" w:eastAsia="微软雅黑" w:cs="Times New Roman"/>
                <w:color w:val="auto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pacing w:val="10"/>
                <w:sz w:val="18"/>
                <w:szCs w:val="18"/>
                <w:vertAlign w:val="baseline"/>
                <w:lang w:val="en-US" w:eastAsia="zh-CN"/>
              </w:rPr>
              <w:t>Radiological</w:t>
            </w:r>
          </w:p>
          <w:p>
            <w:pPr>
              <w:ind w:left="0" w:leftChars="0" w:firstLine="220" w:firstLineChars="110"/>
              <w:jc w:val="left"/>
              <w:rPr>
                <w:rFonts w:hint="default" w:ascii="Times New Roman" w:hAnsi="Times New Roman" w:eastAsia="微软雅黑" w:cs="Times New Roman"/>
                <w:color w:val="auto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pacing w:val="10"/>
                <w:sz w:val="18"/>
                <w:szCs w:val="18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10"/>
                <w:sz w:val="18"/>
                <w:szCs w:val="18"/>
                <w:vertAlign w:val="baseline"/>
                <w:lang w:val="en-US" w:eastAsia="zh-CN"/>
              </w:rPr>
              <w:t>apsule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A smooth, uniform and sharp ring around the whole lesion or most of the focus, and its thickness is larger than that of hepatic background fibrosis.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218" w:firstLineChars="104"/>
              <w:jc w:val="left"/>
              <w:rPr>
                <w:rFonts w:hint="default" w:ascii="Times New Roman" w:hAnsi="Times New Roman" w:eastAsia="微软雅黑" w:cs="Times New Roman"/>
                <w:color w:val="auto"/>
                <w:spacing w:val="1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15"/>
                <w:sz w:val="18"/>
                <w:szCs w:val="18"/>
              </w:rPr>
              <w:t>Mosaic sign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Numerous randomly distributed internal nodules or lacunar structures separated by fibrous separations, vary in shape, size, enhancement, attenuation, intensity.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pacing w:val="15"/>
                <w:sz w:val="18"/>
                <w:szCs w:val="18"/>
                <w:lang w:val="en-US" w:eastAsia="zh-CN"/>
              </w:rPr>
              <w:t>Arterial phase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216" w:leftChars="103" w:firstLine="0" w:firstLineChars="0"/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  <w:lang w:val="en-US" w:eastAsia="zh-CN"/>
              </w:rPr>
              <w:t>Corona enhancement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Peritumoral enhancement in the late arterial or portal venous phase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.</w:t>
            </w:r>
          </w:p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216" w:leftChars="103" w:firstLine="0" w:firstLineChars="0"/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</w:rPr>
              <w:t>ntratumoral artery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The discrete artery in the tumor in the arterial phase image.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216" w:leftChars="103" w:firstLine="0" w:firstLineChars="0"/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15"/>
                <w:kern w:val="2"/>
                <w:sz w:val="18"/>
                <w:szCs w:val="18"/>
                <w:lang w:val="en-US" w:eastAsia="zh-CN" w:bidi="ar-SA"/>
              </w:rPr>
              <w:t>Low vascular composition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The enhancement degree of arterial phase tumor is lower than that of surrounding tumor-free liver parenchyma.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Hepatobiliary phase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218" w:leftChars="104" w:firstLine="0" w:firstLineChars="0"/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</w:rPr>
              <w:t>Peritumoral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</w:rPr>
              <w:t>hypointensity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</w:rPr>
              <w:t>rregular, wedge-shaped or a flame-like hypointense area of liver parenchyma outside the tumor margin, it usually with a lower intensity than liver parenchyma but a higher intensity than the tumor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218" w:leftChars="104" w:firstLine="0" w:firstLineChars="0"/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</w:rPr>
              <w:t>Increased uptake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</w:rPr>
              <w:t>Equal or high signal uptake in hepatobiliary phase exceeding 2/3 of tumor volume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10"/>
                <w:sz w:val="18"/>
                <w:szCs w:val="1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218" w:leftChars="104" w:firstLine="0" w:firstLineChars="0"/>
              <w:jc w:val="left"/>
              <w:rPr>
                <w:rFonts w:hint="default" w:ascii="Times New Roman" w:hAnsi="Times New Roman" w:eastAsia="微软雅黑" w:cs="Times New Roman"/>
                <w:color w:val="000000"/>
                <w:spacing w:val="1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Non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smooth tumor margin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 xml:space="preserve">The margin of tumor in the hepatobiliary stage 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>is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vertAlign w:val="baseline"/>
                <w:lang w:val="en-US" w:eastAsia="zh-CN"/>
              </w:rPr>
              <w:t xml:space="preserve"> irregular, and it is considered to exist when there are budding parts around the tumor that protrude toward the liver parenchyma.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ind w:left="0" w:leftChars="0" w:firstLine="218" w:firstLineChars="104"/>
              <w:jc w:val="left"/>
              <w:rPr>
                <w:rFonts w:hint="eastAsia" w:ascii="Times New Roman" w:hAnsi="Times New Roman" w:eastAsia="微软雅黑" w:cs="Times New Roman"/>
                <w:color w:val="000000"/>
                <w:spacing w:val="1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15"/>
                <w:sz w:val="18"/>
                <w:szCs w:val="18"/>
              </w:rPr>
              <w:t>atellite nodule</w:t>
            </w:r>
          </w:p>
        </w:tc>
        <w:tc>
          <w:tcPr>
            <w:tcW w:w="698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lang w:val="en-US" w:eastAsia="zh-CN"/>
              </w:rPr>
              <w:t>Tumors</w:t>
            </w:r>
            <w:bookmarkStart w:id="4" w:name="OLE_LINK2"/>
            <w:r>
              <w:rPr>
                <w:rFonts w:hint="default" w:ascii="Arial" w:hAnsi="Arial" w:eastAsia="微软雅黑" w:cs="Arial"/>
                <w:color w:val="000000"/>
                <w:spacing w:val="10"/>
                <w:sz w:val="18"/>
                <w:szCs w:val="18"/>
                <w:lang w:val="en-US" w:eastAsia="zh-CN"/>
              </w:rPr>
              <w:t>≤</w:t>
            </w:r>
            <w:bookmarkEnd w:id="4"/>
            <w:r>
              <w:rPr>
                <w:rFonts w:hint="default" w:ascii="Times New Roman" w:hAnsi="Times New Roman" w:eastAsia="微软雅黑" w:cs="Times New Roman"/>
                <w:color w:val="000000"/>
                <w:spacing w:val="10"/>
                <w:sz w:val="18"/>
                <w:szCs w:val="18"/>
                <w:lang w:val="en-US" w:eastAsia="zh-CN"/>
              </w:rPr>
              <w:t>2 cm in size and located≤2 cm from the main tumor</w:t>
            </w:r>
            <w:r>
              <w:rPr>
                <w:rFonts w:hint="eastAsia" w:ascii="Times New Roman" w:hAnsi="Times New Roman" w:eastAsia="微软雅黑" w:cs="Times New Roman"/>
                <w:color w:val="000000"/>
                <w:spacing w:val="1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pStyle w:val="39"/>
        <w:tabs>
          <w:tab w:val="left" w:pos="7797"/>
        </w:tabs>
        <w:spacing w:line="360" w:lineRule="auto"/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</w:pPr>
    </w:p>
    <w:p>
      <w:pPr>
        <w:pStyle w:val="39"/>
        <w:tabs>
          <w:tab w:val="left" w:pos="7797"/>
        </w:tabs>
        <w:ind w:left="-2" w:leftChars="-1"/>
        <w:jc w:val="center"/>
        <w:rPr>
          <w:rFonts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>S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linical 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 xml:space="preserve">and pathological </w:t>
      </w:r>
      <w:r>
        <w:rPr>
          <w:rFonts w:ascii="Times New Roman" w:hAnsi="Times New Roman"/>
          <w:b/>
          <w:sz w:val="24"/>
          <w:szCs w:val="24"/>
        </w:rPr>
        <w:t xml:space="preserve">characteristics 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 xml:space="preserve">of 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 xml:space="preserve">MVI-positive 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 xml:space="preserve">and 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MVI-negative in patients without p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>eritumoral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 xml:space="preserve"> HBP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 xml:space="preserve"> hypointensity</w:t>
      </w:r>
    </w:p>
    <w:tbl>
      <w:tblPr>
        <w:tblStyle w:val="13"/>
        <w:tblW w:w="8898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708"/>
        <w:gridCol w:w="2491"/>
        <w:gridCol w:w="144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Characteristic</w:t>
            </w:r>
          </w:p>
        </w:tc>
        <w:tc>
          <w:tcPr>
            <w:tcW w:w="270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0"/>
              <w:spacing w:line="240" w:lineRule="auto"/>
              <w:jc w:val="center"/>
              <w:rPr>
                <w:rFonts w:ascii="Times New Roman" w:hAnsi="Times New Roman" w:eastAsia="宋体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MVI positive(n=48)</w:t>
            </w:r>
          </w:p>
        </w:tc>
        <w:tc>
          <w:tcPr>
            <w:tcW w:w="249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pStyle w:val="40"/>
              <w:spacing w:line="240" w:lineRule="auto"/>
              <w:jc w:val="center"/>
              <w:rPr>
                <w:rFonts w:ascii="Times New Roman" w:hAnsi="Times New Roman" w:eastAsia="宋体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MVI negative</w:t>
            </w:r>
            <w:r>
              <w:rPr>
                <w:rFonts w:hint="eastAsia" w:ascii="Times New Roman" w:hAnsi="Times New Roman" w:eastAsia="宋体"/>
                <w:b/>
                <w:bCs/>
                <w:lang w:eastAsia="zh-CN"/>
              </w:rPr>
              <w:t>(n=</w:t>
            </w: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61</w:t>
            </w:r>
            <w:r>
              <w:rPr>
                <w:rFonts w:hint="eastAsia" w:ascii="Times New Roman" w:hAnsi="Times New Roman" w:eastAsia="宋体"/>
                <w:b/>
                <w:bCs/>
                <w:lang w:eastAsia="zh-CN"/>
              </w:rPr>
              <w:t>)</w:t>
            </w:r>
          </w:p>
        </w:tc>
        <w:tc>
          <w:tcPr>
            <w:tcW w:w="14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</w:t>
            </w:r>
            <w:r>
              <w:rPr>
                <w:rFonts w:hint="eastAsia" w:ascii="Times New Roman" w:hAnsi="Times New Roman" w:eastAsia="宋体"/>
                <w:b/>
                <w:bCs/>
                <w:lang w:eastAsia="zh-CN"/>
              </w:rPr>
              <w:t xml:space="preserve"> value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2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Age (year)</w:t>
            </w:r>
          </w:p>
        </w:tc>
        <w:tc>
          <w:tcPr>
            <w:tcW w:w="2708" w:type="dxa"/>
            <w:tcBorders>
              <w:top w:val="single" w:color="auto" w:sz="4" w:space="0"/>
            </w:tcBorders>
            <w:vAlign w:val="center"/>
          </w:tcPr>
          <w:p>
            <w:pPr>
              <w:pStyle w:val="40"/>
              <w:spacing w:line="240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55.6±11.6</w:t>
            </w:r>
          </w:p>
        </w:tc>
        <w:tc>
          <w:tcPr>
            <w:tcW w:w="2491" w:type="dxa"/>
            <w:tcBorders>
              <w:top w:val="single" w:color="auto" w:sz="4" w:space="0"/>
            </w:tcBorders>
            <w:vAlign w:val="center"/>
          </w:tcPr>
          <w:p>
            <w:pPr>
              <w:pStyle w:val="40"/>
              <w:spacing w:line="240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55.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/>
                <w:lang w:val="en-US" w:eastAsia="zh-CN"/>
              </w:rPr>
              <w:t>±1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/>
                <w:lang w:val="en-US" w:eastAsia="zh-CN"/>
              </w:rPr>
              <w:t>.4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center"/>
              <w:rPr>
                <w:rFonts w:hint="default" w:ascii="Times New Roman" w:hAnsi="Times New Roman" w:eastAsia="宋体"/>
                <w:lang w:val="en-US"/>
              </w:rPr>
            </w:pPr>
            <w:r>
              <w:rPr>
                <w:rFonts w:ascii="Times New Roman" w:hAnsi="Times New Roman" w:eastAsia="宋体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863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Gender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 w:eastAsia="宋体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144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ind w:firstLine="200" w:firstLineChars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bCs/>
              </w:rPr>
              <w:t>Female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8.3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11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hint="eastAsia" w:ascii="Times New Roman" w:hAnsi="Times New Roman" w:eastAsia="宋体"/>
                <w:lang w:eastAsia="zh-CN"/>
              </w:rPr>
              <w:t>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8.0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ind w:firstLine="200" w:firstLineChars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bCs/>
              </w:rPr>
              <w:t>Male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44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91.7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50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hint="eastAsia" w:ascii="Times New Roman" w:hAnsi="Times New Roman" w:eastAsia="宋体"/>
                <w:lang w:eastAsia="zh-CN"/>
              </w:rPr>
              <w:t>8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2.0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宋体"/>
                <w:lang w:eastAsia="zh-CN"/>
              </w:rPr>
              <w:t>BC (×10</w:t>
            </w:r>
            <w:r>
              <w:rPr>
                <w:rFonts w:hint="eastAsia" w:ascii="Times New Roman" w:hAnsi="Times New Roman" w:eastAsia="宋体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/>
                <w:lang w:eastAsia="zh-CN"/>
              </w:rPr>
              <w:t>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5.85(5.10-6.96)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5.67(4.36-6.87)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0.544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RBC (×10</w:t>
            </w:r>
            <w:r>
              <w:rPr>
                <w:rFonts w:hint="eastAsia" w:ascii="Times New Roman" w:hAnsi="Times New Roman" w:eastAsia="宋体"/>
                <w:vertAlign w:val="superscript"/>
                <w:lang w:eastAsia="zh-CN"/>
              </w:rPr>
              <w:t>12</w:t>
            </w:r>
            <w:r>
              <w:rPr>
                <w:rFonts w:hint="eastAsia" w:ascii="Times New Roman" w:hAnsi="Times New Roman" w:eastAsia="宋体"/>
                <w:lang w:eastAsia="zh-CN"/>
              </w:rPr>
              <w:t>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4.</w:t>
            </w:r>
            <w:r>
              <w:rPr>
                <w:rFonts w:hint="eastAsia" w:ascii="Times New Roman" w:hAnsi="Times New Roman"/>
                <w:lang w:val="en-US" w:eastAsia="zh-CN"/>
              </w:rPr>
              <w:t>63±0.63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4.7</w:t>
            </w:r>
            <w:r>
              <w:rPr>
                <w:rFonts w:hint="eastAsia" w:ascii="Times New Roman" w:hAnsi="Times New Roman"/>
                <w:lang w:val="en-US" w:eastAsia="zh-CN"/>
              </w:rPr>
              <w:t>4±0.67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399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HG (g/L)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14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lang w:eastAsia="zh-C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28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eastAsia="zh-CN"/>
              </w:rPr>
              <w:t>15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42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lang w:eastAsia="zh-C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30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eastAsia="zh-CN"/>
              </w:rPr>
              <w:t>15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744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hint="eastAsia" w:ascii="Times New Roman" w:hAnsi="Times New Roman" w:eastAsia="宋体"/>
                <w:lang w:eastAsia="zh-CN"/>
              </w:rPr>
              <w:t>LT</w:t>
            </w:r>
            <w:r>
              <w:rPr>
                <w:rFonts w:ascii="Times New Roman" w:hAnsi="Times New Roman"/>
              </w:rPr>
              <w:t xml:space="preserve"> (×10</w:t>
            </w:r>
            <w:r>
              <w:rPr>
                <w:rFonts w:ascii="Times New Roman" w:hAnsi="Times New Roman"/>
                <w:vertAlign w:val="superscript"/>
              </w:rPr>
              <w:t>9</w:t>
            </w:r>
            <w:r>
              <w:rPr>
                <w:rFonts w:ascii="Times New Roman" w:hAnsi="Times New Roman"/>
              </w:rPr>
              <w:t>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67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34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199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174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29</w:t>
            </w:r>
            <w:r>
              <w:rPr>
                <w:rFonts w:ascii="Times New Roman" w:hAnsi="Times New Roman"/>
              </w:rPr>
              <w:t>-2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884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PT(s)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12.9±1.3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13.3±1.3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0.145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INR(R)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1.02(0.95-1.09)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1.04(0.97-1.11)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0.312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APTT(s)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35.4(28.1-39.7)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36.8(34.4-39.7)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0.311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FIB(g/L)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2.90(2.52-3.41)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2.86(2.47-3.33)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0.730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 (U/L)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lang w:eastAsia="zh-CN"/>
              </w:rPr>
              <w:t>.0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/>
                <w:lang w:eastAsia="zh-CN"/>
              </w:rPr>
              <w:t>.0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 w:eastAsia="宋体"/>
                <w:lang w:eastAsia="zh-CN"/>
              </w:rPr>
              <w:t>4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/>
                <w:lang w:eastAsia="zh-CN"/>
              </w:rPr>
              <w:t>.0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/>
                <w:lang w:eastAsia="zh-CN"/>
              </w:rPr>
              <w:t>.0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41</w:t>
            </w:r>
            <w:r>
              <w:rPr>
                <w:rFonts w:ascii="Times New Roman" w:hAnsi="Times New Roman"/>
              </w:rPr>
              <w:t>.0)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0.</w:t>
            </w:r>
            <w:r>
              <w:rPr>
                <w:rFonts w:hint="eastAsia" w:ascii="Times New Roman" w:hAnsi="Times New Roman"/>
                <w:lang w:val="en-US" w:eastAsia="zh-CN"/>
              </w:rPr>
              <w:t>595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 (U/L)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8.5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20.5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50.0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0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22.0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-38</w:t>
            </w:r>
            <w:r>
              <w:rPr>
                <w:rFonts w:hint="eastAsia" w:ascii="Times New Roman" w:hAnsi="Times New Roman" w:eastAsia="宋体"/>
                <w:lang w:eastAsia="zh-CN"/>
              </w:rPr>
              <w:t>.0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812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ALB(g/L)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43.4±4.3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43.2±4.4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820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GLB(g/L)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28.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lang w:eastAsia="zh-C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3.5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2</w:t>
            </w:r>
            <w:r>
              <w:rPr>
                <w:rFonts w:hint="eastAsia" w:ascii="Times New Roman" w:hAnsi="Times New Roman"/>
                <w:lang w:val="en-US" w:eastAsia="zh-CN"/>
              </w:rPr>
              <w:t>9.0</w:t>
            </w:r>
            <w:r>
              <w:rPr>
                <w:rFonts w:hint="eastAsia" w:ascii="Times New Roman" w:hAnsi="Times New Roman"/>
                <w:lang w:eastAsia="zh-CN"/>
              </w:rPr>
              <w:t>±4.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630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ALP(U/L)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78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65.5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109</w:t>
            </w:r>
            <w:r>
              <w:rPr>
                <w:rFonts w:hint="eastAsia" w:ascii="Times New Roman" w:hAnsi="Times New Roman" w:eastAsia="宋体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83.0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67.0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106</w:t>
            </w:r>
            <w:r>
              <w:rPr>
                <w:rFonts w:hint="eastAsia" w:ascii="Times New Roman" w:hAnsi="Times New Roman"/>
                <w:lang w:eastAsia="zh-CN"/>
              </w:rPr>
              <w:t>.0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728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GGT(U/L)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47.5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30.0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86</w:t>
            </w:r>
            <w:r>
              <w:rPr>
                <w:rFonts w:hint="eastAsia" w:ascii="Times New Roman" w:hAnsi="Times New Roman" w:eastAsia="宋体"/>
                <w:lang w:eastAsia="zh-CN"/>
              </w:rPr>
              <w:t>.0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44</w:t>
            </w:r>
            <w:r>
              <w:rPr>
                <w:rFonts w:hint="eastAsia" w:ascii="Times New Roman" w:hAnsi="Times New Roman"/>
                <w:lang w:eastAsia="zh-CN"/>
              </w:rPr>
              <w:t>.0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5.0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77</w:t>
            </w:r>
            <w:r>
              <w:rPr>
                <w:rFonts w:hint="eastAsia" w:ascii="Times New Roman" w:hAnsi="Times New Roman" w:eastAsia="宋体"/>
                <w:lang w:eastAsia="zh-CN"/>
              </w:rPr>
              <w:t>.0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687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TBIL(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μ</w:t>
            </w:r>
            <w:r>
              <w:rPr>
                <w:rFonts w:hint="eastAsia" w:ascii="Times New Roman" w:hAnsi="Times New Roman" w:eastAsia="宋体"/>
                <w:lang w:eastAsia="zh-CN"/>
              </w:rPr>
              <w:t>mol/L)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11.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8.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 w:eastAsia="宋体"/>
                <w:lang w:eastAsia="zh-CN"/>
              </w:rPr>
              <w:t>15.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7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2.3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8.4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 w:eastAsia="宋体"/>
                <w:lang w:eastAsia="zh-CN"/>
              </w:rPr>
              <w:t>1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6.2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959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Cr</w:t>
            </w:r>
            <w:r>
              <w:rPr>
                <w:rFonts w:hint="eastAsia" w:ascii="Times New Roman" w:hAnsi="Times New Roman" w:eastAsia="宋体"/>
                <w:lang w:eastAsia="zh-CN"/>
              </w:rPr>
              <w:t>(μmol/L)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80.0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lang w:val="en-US" w:eastAsia="zh-CN"/>
              </w:rPr>
              <w:t>71.</w:t>
            </w:r>
            <w:r>
              <w:rPr>
                <w:rFonts w:hint="eastAsia" w:ascii="Times New Roman" w:hAnsi="Times New Roman"/>
                <w:lang w:eastAsia="zh-CN"/>
              </w:rPr>
              <w:t>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89.5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80.0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lang w:val="en-US" w:eastAsia="zh-CN"/>
              </w:rPr>
              <w:t>68.</w:t>
            </w:r>
            <w:r>
              <w:rPr>
                <w:rFonts w:hint="eastAsia" w:ascii="Times New Roman" w:hAnsi="Times New Roman"/>
                <w:lang w:eastAsia="zh-CN"/>
              </w:rPr>
              <w:t>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88.0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658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AFP</w:t>
            </w:r>
            <w:r>
              <w:rPr>
                <w:rFonts w:hint="eastAsia" w:ascii="Times New Roman" w:hAnsi="Times New Roman" w:eastAsia="宋体"/>
                <w:lang w:eastAsia="zh-CN"/>
              </w:rPr>
              <w:t>(ng/ml)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25.9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lang w:val="en-US" w:eastAsia="zh-CN"/>
              </w:rPr>
              <w:t>4.2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332.3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15.2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lang w:val="en-US" w:eastAsia="zh-CN"/>
              </w:rPr>
              <w:t>4.9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189.2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983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CTP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5.0(5.0-6.0)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5.0(5.0-6.0)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395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MELD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4.26</w:t>
            </w:r>
            <w:r>
              <w:rPr>
                <w:rFonts w:hint="eastAsia" w:ascii="Times New Roman" w:hAnsi="Times New Roman"/>
                <w:lang w:val="en-US" w:eastAsia="zh-CN"/>
              </w:rPr>
              <w:t>±2.69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4.19±3.58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902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Edmondson grade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/>
                <w:b w:val="0"/>
                <w:bCs w:val="0"/>
                <w:lang w:eastAsia="zh-CN"/>
              </w:rPr>
              <w:t>0.</w:t>
            </w:r>
            <w:r>
              <w:rPr>
                <w:rFonts w:hint="eastAsia" w:ascii="Times New Roman" w:hAnsi="Times New Roman" w:eastAsia="宋体"/>
                <w:b w:val="0"/>
                <w:bCs w:val="0"/>
                <w:lang w:val="en-US" w:eastAsia="zh-CN"/>
              </w:rPr>
              <w:t>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ind w:firstLine="200" w:firstLineChars="1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lang w:val="en-US" w:eastAsia="zh-CN"/>
              </w:rPr>
              <w:t>Ⅰ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1</w:t>
            </w:r>
            <w:r>
              <w:rPr>
                <w:rFonts w:ascii="Times New Roman" w:hAnsi="Times New Roman" w:eastAsiaTheme="minorEastAsia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2.1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 xml:space="preserve">4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6.6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ind w:firstLine="200" w:firstLineChars="100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lang w:eastAsia="zh-CN"/>
              </w:rPr>
              <w:t>Ⅱ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17</w:t>
            </w:r>
            <w:r>
              <w:rPr>
                <w:rFonts w:ascii="Times New Roman" w:hAnsi="Times New Roman" w:eastAsiaTheme="minorEastAsia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7.1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37</w:t>
            </w:r>
            <w:r>
              <w:rPr>
                <w:rFonts w:hint="eastAsia" w:ascii="Times New Roman" w:hAnsi="Times New Roman" w:eastAsiaTheme="minorEastAsia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60.7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ind w:firstLine="200" w:firstLineChars="100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lang w:eastAsia="zh-CN"/>
              </w:rPr>
              <w:t>Ⅲ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inorEastAsia"/>
                <w:lang w:eastAsia="zh-CN"/>
              </w:rPr>
              <w:t>7</w:t>
            </w:r>
            <w:r>
              <w:rPr>
                <w:rFonts w:ascii="Times New Roman" w:hAnsi="Times New Roman" w:eastAsiaTheme="minorEastAsia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56.3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19</w:t>
            </w:r>
            <w:r>
              <w:rPr>
                <w:rFonts w:hint="eastAsia" w:ascii="Times New Roman" w:hAnsi="Times New Roman" w:eastAsiaTheme="minorEastAsia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31.1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256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ind w:firstLine="200" w:firstLineChars="100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lang w:eastAsia="zh-CN"/>
              </w:rPr>
              <w:t>Ⅳ</w:t>
            </w:r>
          </w:p>
        </w:tc>
        <w:tc>
          <w:tcPr>
            <w:tcW w:w="2708" w:type="dxa"/>
          </w:tcPr>
          <w:p>
            <w:pPr>
              <w:pStyle w:val="40"/>
              <w:spacing w:line="240" w:lineRule="auto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8</w:t>
            </w:r>
            <w:r>
              <w:rPr>
                <w:rFonts w:ascii="Times New Roman" w:hAnsi="Times New Roman" w:eastAsiaTheme="minorEastAsia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14.6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2491" w:type="dxa"/>
          </w:tcPr>
          <w:p>
            <w:pPr>
              <w:pStyle w:val="40"/>
              <w:spacing w:line="240" w:lineRule="auto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1</w:t>
            </w:r>
            <w:r>
              <w:rPr>
                <w:rFonts w:ascii="Times New Roman" w:hAnsi="Times New Roman" w:eastAsiaTheme="minorEastAsia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ascii="Times New Roman" w:hAnsi="Times New Roman" w:eastAsia="宋体"/>
                <w:lang w:eastAsia="zh-CN"/>
              </w:rPr>
            </w:pPr>
          </w:p>
        </w:tc>
      </w:tr>
    </w:tbl>
    <w:p>
      <w:pPr>
        <w:pStyle w:val="38"/>
        <w:spacing w:after="0"/>
        <w:ind w:left="-1134" w:leftChars="-540" w:right="-1191" w:rightChars="-567" w:firstLine="0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Abbreviation: </w:t>
      </w:r>
      <w:r>
        <w:rPr>
          <w:rFonts w:hint="eastAsia" w:ascii="Times New Roman" w:hAnsi="Times New Roman"/>
          <w:sz w:val="18"/>
          <w:szCs w:val="18"/>
          <w:lang w:eastAsia="zh-CN"/>
        </w:rPr>
        <w:t xml:space="preserve">WBC, white blood cell count; RBC, red blood cell count; HB hemoglobin; PLT, platelets; ALT, alanine aminotransferase;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 xml:space="preserve">PT, prothrombin time;INR, international normalized ratio of prothrombin; APTT, activated partial thromboplastin time, FIB, fibrinogen, </w:t>
      </w:r>
      <w:r>
        <w:rPr>
          <w:rFonts w:hint="eastAsia" w:ascii="Times New Roman" w:hAnsi="Times New Roman"/>
          <w:sz w:val="18"/>
          <w:szCs w:val="18"/>
          <w:lang w:eastAsia="zh-CN"/>
        </w:rPr>
        <w:t xml:space="preserve">AST, aspartate aminotransaminase; ALB, albumin; GLB, globulin; ALP, alkaline phosphatase; GGT, gamma-glutamyl transferase; TBIL, total bilirubin;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Cr</w:t>
      </w:r>
      <w:r>
        <w:rPr>
          <w:rFonts w:hint="eastAsia" w:ascii="Times New Roman" w:hAnsi="Times New Roman"/>
          <w:sz w:val="18"/>
          <w:szCs w:val="18"/>
          <w:lang w:eastAsia="zh-CN"/>
        </w:rPr>
        <w:t xml:space="preserve">,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albumin creatinine</w:t>
      </w:r>
      <w:r>
        <w:rPr>
          <w:rFonts w:hint="eastAsia" w:ascii="Times New Roman" w:hAnsi="Times New Roman"/>
          <w:sz w:val="18"/>
          <w:szCs w:val="18"/>
          <w:lang w:eastAsia="zh-CN"/>
        </w:rPr>
        <w:t>;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AFP</w:t>
      </w:r>
      <w:r>
        <w:rPr>
          <w:rFonts w:hint="eastAsia" w:ascii="Times New Roman" w:hAnsi="Times New Roman"/>
          <w:sz w:val="18"/>
          <w:szCs w:val="18"/>
          <w:lang w:eastAsia="zh-CN"/>
        </w:rPr>
        <w:t xml:space="preserve">,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serum alpha-fetoprotein</w:t>
      </w:r>
      <w:r>
        <w:rPr>
          <w:rFonts w:hint="eastAsia" w:ascii="Times New Roman" w:hAnsi="Times New Roman"/>
          <w:sz w:val="18"/>
          <w:szCs w:val="18"/>
          <w:lang w:eastAsia="zh-CN"/>
        </w:rPr>
        <w:t>; C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T</w:t>
      </w:r>
      <w:r>
        <w:rPr>
          <w:rFonts w:hint="eastAsia" w:ascii="Times New Roman" w:hAnsi="Times New Roman"/>
          <w:sz w:val="18"/>
          <w:szCs w:val="18"/>
          <w:lang w:eastAsia="zh-CN"/>
        </w:rPr>
        <w:t xml:space="preserve">P,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Child-Turcotte-Pugh stage</w:t>
      </w:r>
      <w:r>
        <w:rPr>
          <w:rFonts w:hint="eastAsia" w:ascii="Times New Roman" w:hAnsi="Times New Roman"/>
          <w:sz w:val="18"/>
          <w:szCs w:val="18"/>
          <w:lang w:eastAsia="zh-CN"/>
        </w:rPr>
        <w:t xml:space="preserve">; MELD,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model for end-stage liver disease</w:t>
      </w:r>
      <w:r>
        <w:rPr>
          <w:rFonts w:hint="eastAsia" w:ascii="Times New Roman" w:hAnsi="Times New Roman"/>
          <w:sz w:val="18"/>
          <w:szCs w:val="18"/>
          <w:lang w:eastAsia="zh-CN"/>
        </w:rPr>
        <w:t xml:space="preserve"> score.  </w:t>
      </w:r>
    </w:p>
    <w:p>
      <w:pPr>
        <w:pStyle w:val="38"/>
        <w:spacing w:after="0"/>
        <w:ind w:left="-1134" w:leftChars="-540" w:right="-1191" w:rightChars="-567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Note: </w:t>
      </w:r>
      <w:r>
        <w:rPr>
          <w:rFonts w:ascii="Times New Roman" w:hAnsi="Times New Roman"/>
          <w:sz w:val="18"/>
          <w:szCs w:val="18"/>
        </w:rPr>
        <w:t xml:space="preserve">Chi-square test or </w:t>
      </w:r>
      <w:r>
        <w:rPr>
          <w:rFonts w:hint="eastAsia" w:ascii="Times New Roman" w:hAnsi="Times New Roman"/>
          <w:sz w:val="18"/>
          <w:szCs w:val="18"/>
        </w:rPr>
        <w:t>Fisher exact probability test</w:t>
      </w:r>
      <w:r>
        <w:rPr>
          <w:rFonts w:ascii="Times New Roman" w:hAnsi="Times New Roman"/>
          <w:sz w:val="18"/>
          <w:szCs w:val="18"/>
        </w:rPr>
        <w:t xml:space="preserve">, as appropriate, were used to compare the difference in categorical variables among different groups. </w:t>
      </w:r>
      <w:r>
        <w:rPr>
          <w:rFonts w:hint="eastAsia" w:ascii="Times New Roman" w:hAnsi="Times New Roman"/>
          <w:sz w:val="18"/>
          <w:szCs w:val="18"/>
        </w:rPr>
        <w:t>Student t test</w:t>
      </w:r>
      <w:r>
        <w:rPr>
          <w:rFonts w:hint="eastAsia" w:ascii="Times New Roman" w:hAnsi="Times New Roman"/>
          <w:sz w:val="18"/>
          <w:szCs w:val="18"/>
          <w:lang w:eastAsia="zh-CN"/>
        </w:rPr>
        <w:t xml:space="preserve"> or </w:t>
      </w:r>
      <w:r>
        <w:rPr>
          <w:rFonts w:ascii="Times New Roman" w:hAnsi="Times New Roman"/>
          <w:sz w:val="18"/>
          <w:szCs w:val="18"/>
        </w:rPr>
        <w:t>Mann-Whitney U test, as appropriate, were used to compare the difference in continuous variables</w:t>
      </w:r>
      <w:r>
        <w:rPr>
          <w:rFonts w:ascii="Times New Roman" w:hAnsi="Times New Roman"/>
          <w:i/>
          <w:iCs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</w:p>
    <w:p>
      <w:pPr>
        <w:widowControl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>
      <w:pPr>
        <w:pStyle w:val="39"/>
        <w:tabs>
          <w:tab w:val="left" w:pos="7797"/>
        </w:tabs>
        <w:ind w:left="-2" w:leftChars="-1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>S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Univatiate and multivariate Cox regression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 xml:space="preserve"> of 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MRI feature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 xml:space="preserve">s in 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p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 xml:space="preserve">redicting 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intrahepatic r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>ecurrence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 xml:space="preserve"> in whole cohort</w:t>
      </w:r>
    </w:p>
    <w:tbl>
      <w:tblPr>
        <w:tblStyle w:val="13"/>
        <w:tblW w:w="8658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792"/>
        <w:gridCol w:w="1276"/>
        <w:gridCol w:w="240"/>
        <w:gridCol w:w="2025"/>
        <w:gridCol w:w="110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21" w:type="dxa"/>
            <w:vMerge w:val="restart"/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lang w:val="en-US" w:eastAsia="zh-CN"/>
              </w:rPr>
              <w:t>Imaging feature</w:t>
            </w:r>
          </w:p>
        </w:tc>
        <w:tc>
          <w:tcPr>
            <w:tcW w:w="3068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pStyle w:val="40"/>
              <w:spacing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lang w:eastAsia="zh-CN"/>
              </w:rPr>
              <w:t>Univariable Analysis</w:t>
            </w:r>
          </w:p>
        </w:tc>
        <w:tc>
          <w:tcPr>
            <w:tcW w:w="240" w:type="dxa"/>
            <w:vMerge w:val="restart"/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9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pStyle w:val="40"/>
              <w:spacing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lang w:eastAsia="zh-CN"/>
              </w:rPr>
              <w:t>Multivariable Analysis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2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40"/>
              <w:spacing w:line="240" w:lineRule="auto"/>
              <w:jc w:val="both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pStyle w:val="40"/>
              <w:spacing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Hazard Ratio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(95%CI)</w:t>
            </w:r>
          </w:p>
        </w:tc>
        <w:tc>
          <w:tcPr>
            <w:tcW w:w="1276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pStyle w:val="40"/>
              <w:spacing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  <w:lang w:eastAsia="zh-CN"/>
              </w:rPr>
            </w:pPr>
            <w:bookmarkStart w:id="5" w:name="_GoBack"/>
            <w:r>
              <w:rPr>
                <w:rFonts w:hint="eastAsia" w:ascii="Times New Roman" w:hAnsi="Times New Roman" w:eastAsia="宋体"/>
                <w:i/>
                <w:iCs/>
                <w:lang w:eastAsia="zh-CN"/>
              </w:rPr>
              <w:t>P</w:t>
            </w:r>
            <w:bookmarkEnd w:id="5"/>
            <w:r>
              <w:rPr>
                <w:rFonts w:hint="eastAsia" w:ascii="Times New Roman" w:hAnsi="Times New Roman" w:eastAsia="宋体"/>
                <w:lang w:eastAsia="zh-CN"/>
              </w:rPr>
              <w:t xml:space="preserve"> value</w:t>
            </w:r>
          </w:p>
        </w:tc>
        <w:tc>
          <w:tcPr>
            <w:tcW w:w="24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40"/>
              <w:spacing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pStyle w:val="40"/>
              <w:spacing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Hazard Ratio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(95%CI)</w:t>
            </w:r>
          </w:p>
        </w:tc>
        <w:tc>
          <w:tcPr>
            <w:tcW w:w="1104" w:type="dxa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pStyle w:val="40"/>
              <w:spacing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lang w:eastAsia="zh-CN"/>
              </w:rPr>
              <w:t>P</w:t>
            </w:r>
            <w:r>
              <w:rPr>
                <w:rFonts w:hint="eastAsia" w:ascii="Times New Roman" w:hAnsi="Times New Roman" w:eastAsia="宋体"/>
                <w:lang w:eastAsia="zh-CN"/>
              </w:rPr>
              <w:t xml:space="preserve"> value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21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Gender</w:t>
            </w:r>
          </w:p>
        </w:tc>
        <w:tc>
          <w:tcPr>
            <w:tcW w:w="1792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1.387(0.545-3.531)</w:t>
            </w:r>
          </w:p>
        </w:tc>
        <w:tc>
          <w:tcPr>
            <w:tcW w:w="127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0.493</w:t>
            </w:r>
          </w:p>
        </w:tc>
        <w:tc>
          <w:tcPr>
            <w:tcW w:w="240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104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Age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0.997(0.971-1.025)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0.852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Tumor  size &gt;5.0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4.032(1.734-9.372)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0.001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3.588(1.438-8.954)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0.006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22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Nonsmooth tumor margin</w:t>
            </w:r>
          </w:p>
        </w:tc>
        <w:tc>
          <w:tcPr>
            <w:tcW w:w="1792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2.453(1.226-4.904)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0.011</w:t>
            </w:r>
          </w:p>
        </w:tc>
        <w:tc>
          <w:tcPr>
            <w:tcW w:w="2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104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22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Radiological capsule</w:t>
            </w:r>
          </w:p>
        </w:tc>
        <w:tc>
          <w:tcPr>
            <w:tcW w:w="1792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0.945(0.484-1.844)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0.869</w:t>
            </w:r>
          </w:p>
        </w:tc>
        <w:tc>
          <w:tcPr>
            <w:tcW w:w="2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104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Mosaic sign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1.900(1.085-3.329)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0.025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Intratumoral necrosis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3.109（1.774-5.448）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&lt;0.001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2.155(1.066-4.354)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0.032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Intratumoral bleeding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2.058（1.181-3.587）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0.011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Intratumoral fat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1.103（0.516-2.357）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0.800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Low vascular composition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1.467（1.040-2.070）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0.029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Intratumoral artery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1.540（0.881-2.691）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0.130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0.252(0.114-0.557)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Satellite nodule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3.401（1.932-5.989）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0.000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2.560(1.278-5.129)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0.008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Corona enhancement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0.771（0.347-1.713）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0.523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Peritumoral hypointensity</w:t>
            </w:r>
          </w:p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2.762（1.427-5.346）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0.003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2.381(1.162-4.881)</w:t>
            </w:r>
          </w:p>
        </w:tc>
        <w:tc>
          <w:tcPr>
            <w:tcW w:w="110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0.018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Increased uptake in HBP</w:t>
            </w:r>
          </w:p>
        </w:tc>
        <w:tc>
          <w:tcPr>
            <w:tcW w:w="179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0.637（0.155-2.622）</w:t>
            </w: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0.532</w:t>
            </w:r>
          </w:p>
        </w:tc>
        <w:tc>
          <w:tcPr>
            <w:tcW w:w="24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2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10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</w:tbl>
    <w:p>
      <w:pPr>
        <w:widowControl/>
        <w:adjustRightInd w:val="0"/>
        <w:snapToGrid w:val="0"/>
        <w:spacing w:after="0" w:line="260" w:lineRule="atLeast"/>
        <w:ind w:left="-420" w:leftChars="-200" w:right="-1191" w:rightChars="-567" w:firstLine="0" w:firstLineChars="0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18"/>
          <w:szCs w:val="18"/>
          <w:lang w:val="en-US" w:eastAsia="de-DE" w:bidi="en-US"/>
        </w:rPr>
        <w:t>Abbreviation:</w:t>
      </w:r>
      <w:r>
        <w:rPr>
          <w:rFonts w:hint="eastAsia" w:ascii="Times New Roman" w:hAnsi="Times New Roman" w:eastAsia="Times New Roman" w:cs="Times New Roman"/>
          <w:snapToGrid w:val="0"/>
          <w:color w:val="000000"/>
          <w:kern w:val="0"/>
          <w:sz w:val="18"/>
          <w:szCs w:val="18"/>
          <w:lang w:val="en-US" w:eastAsia="de-DE" w:bidi="en-US"/>
        </w:rPr>
        <w:t xml:space="preserve"> </w:t>
      </w:r>
      <w:r>
        <w:rPr>
          <w:rFonts w:hint="eastAsia" w:ascii="Times New Roman" w:hAnsi="Times New Roman" w:eastAsia="Times New Roman" w:cs="Times New Roman"/>
          <w:snapToGrid w:val="0"/>
          <w:color w:val="000000"/>
          <w:kern w:val="0"/>
          <w:sz w:val="18"/>
          <w:szCs w:val="18"/>
          <w:lang w:val="en-US" w:eastAsia="zh-CN" w:bidi="en-US"/>
        </w:rPr>
        <w:t xml:space="preserve">CI, </w:t>
      </w:r>
      <w:r>
        <w:rPr>
          <w:rFonts w:hint="eastAsia" w:ascii="Times New Roman" w:hAnsi="Times New Roman" w:eastAsia="Times New Roman" w:cs="Times New Roman"/>
          <w:snapToGrid w:val="0"/>
          <w:color w:val="000000"/>
          <w:kern w:val="0"/>
          <w:sz w:val="18"/>
          <w:szCs w:val="18"/>
          <w:rtl w:val="0"/>
          <w:cs w:val="0"/>
          <w:lang w:val="en-US" w:eastAsia="zh-CN" w:bidi="en-US"/>
        </w:rPr>
        <w:t>confidence interval.</w:t>
      </w:r>
    </w:p>
    <w:p>
      <w:pPr>
        <w:widowControl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sectPr>
      <w:footerReference r:id="rId3" w:type="default"/>
      <w:footnotePr>
        <w:numFmt w:val="lowerLetter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526251"/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29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lowerLetter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NTJjMzlhNzhjY2E4NTgwN2JhNjM0YTVhZWQ2NDcifQ=="/>
  </w:docVars>
  <w:rsids>
    <w:rsidRoot w:val="00172A27"/>
    <w:rsid w:val="000012C1"/>
    <w:rsid w:val="00003BD8"/>
    <w:rsid w:val="0000503C"/>
    <w:rsid w:val="00007561"/>
    <w:rsid w:val="00010693"/>
    <w:rsid w:val="000124DD"/>
    <w:rsid w:val="00013F4A"/>
    <w:rsid w:val="00015215"/>
    <w:rsid w:val="00015B11"/>
    <w:rsid w:val="00015C85"/>
    <w:rsid w:val="00021510"/>
    <w:rsid w:val="000220CD"/>
    <w:rsid w:val="00022532"/>
    <w:rsid w:val="0002461E"/>
    <w:rsid w:val="00024EFA"/>
    <w:rsid w:val="0002598C"/>
    <w:rsid w:val="0002640D"/>
    <w:rsid w:val="000271BF"/>
    <w:rsid w:val="00030037"/>
    <w:rsid w:val="00035550"/>
    <w:rsid w:val="00035CFA"/>
    <w:rsid w:val="00043C90"/>
    <w:rsid w:val="00046A3D"/>
    <w:rsid w:val="00046C70"/>
    <w:rsid w:val="00047033"/>
    <w:rsid w:val="000477F8"/>
    <w:rsid w:val="000517BD"/>
    <w:rsid w:val="00055537"/>
    <w:rsid w:val="000567FA"/>
    <w:rsid w:val="00056C10"/>
    <w:rsid w:val="00061E81"/>
    <w:rsid w:val="00063E88"/>
    <w:rsid w:val="00064CB2"/>
    <w:rsid w:val="00071443"/>
    <w:rsid w:val="000716EA"/>
    <w:rsid w:val="0007693A"/>
    <w:rsid w:val="00076A93"/>
    <w:rsid w:val="000778B1"/>
    <w:rsid w:val="00081AB6"/>
    <w:rsid w:val="00083626"/>
    <w:rsid w:val="00084D38"/>
    <w:rsid w:val="00085218"/>
    <w:rsid w:val="00086642"/>
    <w:rsid w:val="00087043"/>
    <w:rsid w:val="00091209"/>
    <w:rsid w:val="000949E2"/>
    <w:rsid w:val="00096CED"/>
    <w:rsid w:val="000A3D9D"/>
    <w:rsid w:val="000A3FC3"/>
    <w:rsid w:val="000B095E"/>
    <w:rsid w:val="000B3DB2"/>
    <w:rsid w:val="000B7EC7"/>
    <w:rsid w:val="000C0247"/>
    <w:rsid w:val="000C054D"/>
    <w:rsid w:val="000C1C9F"/>
    <w:rsid w:val="000C1E11"/>
    <w:rsid w:val="000C2D2F"/>
    <w:rsid w:val="000C5B3B"/>
    <w:rsid w:val="000C6B6A"/>
    <w:rsid w:val="000C6F5C"/>
    <w:rsid w:val="000D01CA"/>
    <w:rsid w:val="000D0511"/>
    <w:rsid w:val="000D5B16"/>
    <w:rsid w:val="000D6643"/>
    <w:rsid w:val="000E11E9"/>
    <w:rsid w:val="000E21B9"/>
    <w:rsid w:val="000E3E1A"/>
    <w:rsid w:val="000E5201"/>
    <w:rsid w:val="000E6158"/>
    <w:rsid w:val="000F7039"/>
    <w:rsid w:val="000F75EE"/>
    <w:rsid w:val="0010376C"/>
    <w:rsid w:val="00103835"/>
    <w:rsid w:val="00107F59"/>
    <w:rsid w:val="00113DC7"/>
    <w:rsid w:val="0011736B"/>
    <w:rsid w:val="00120C67"/>
    <w:rsid w:val="0012229F"/>
    <w:rsid w:val="0012317A"/>
    <w:rsid w:val="0012353A"/>
    <w:rsid w:val="00124FBE"/>
    <w:rsid w:val="00126A91"/>
    <w:rsid w:val="00130E20"/>
    <w:rsid w:val="00132F5F"/>
    <w:rsid w:val="00133957"/>
    <w:rsid w:val="001354D3"/>
    <w:rsid w:val="00135D4B"/>
    <w:rsid w:val="00136333"/>
    <w:rsid w:val="00136C32"/>
    <w:rsid w:val="00143292"/>
    <w:rsid w:val="00144007"/>
    <w:rsid w:val="00144614"/>
    <w:rsid w:val="00144DC2"/>
    <w:rsid w:val="001450E0"/>
    <w:rsid w:val="001457AD"/>
    <w:rsid w:val="00145934"/>
    <w:rsid w:val="00146C3D"/>
    <w:rsid w:val="00152DC6"/>
    <w:rsid w:val="00155717"/>
    <w:rsid w:val="0015659D"/>
    <w:rsid w:val="00160522"/>
    <w:rsid w:val="00163B9C"/>
    <w:rsid w:val="00164291"/>
    <w:rsid w:val="00166E8A"/>
    <w:rsid w:val="0017217F"/>
    <w:rsid w:val="001724D4"/>
    <w:rsid w:val="001736CB"/>
    <w:rsid w:val="00182B60"/>
    <w:rsid w:val="00183497"/>
    <w:rsid w:val="00183C8B"/>
    <w:rsid w:val="00190618"/>
    <w:rsid w:val="00192262"/>
    <w:rsid w:val="001936C9"/>
    <w:rsid w:val="00194101"/>
    <w:rsid w:val="0019494D"/>
    <w:rsid w:val="0019532C"/>
    <w:rsid w:val="001A3EA1"/>
    <w:rsid w:val="001A4E1D"/>
    <w:rsid w:val="001B0B9E"/>
    <w:rsid w:val="001B12F5"/>
    <w:rsid w:val="001B191E"/>
    <w:rsid w:val="001B25E0"/>
    <w:rsid w:val="001B2EDE"/>
    <w:rsid w:val="001C1835"/>
    <w:rsid w:val="001C36AB"/>
    <w:rsid w:val="001C3949"/>
    <w:rsid w:val="001C7708"/>
    <w:rsid w:val="001C7A8B"/>
    <w:rsid w:val="001C7D2B"/>
    <w:rsid w:val="001D0864"/>
    <w:rsid w:val="001D61B1"/>
    <w:rsid w:val="001D65F4"/>
    <w:rsid w:val="001D77E3"/>
    <w:rsid w:val="001D78ED"/>
    <w:rsid w:val="001D79C0"/>
    <w:rsid w:val="001E5851"/>
    <w:rsid w:val="001F0564"/>
    <w:rsid w:val="001F1D03"/>
    <w:rsid w:val="001F270E"/>
    <w:rsid w:val="001F5AA1"/>
    <w:rsid w:val="001F6976"/>
    <w:rsid w:val="00202429"/>
    <w:rsid w:val="00204728"/>
    <w:rsid w:val="00210737"/>
    <w:rsid w:val="00211731"/>
    <w:rsid w:val="00212055"/>
    <w:rsid w:val="00212826"/>
    <w:rsid w:val="00213919"/>
    <w:rsid w:val="00213CA4"/>
    <w:rsid w:val="00221CA0"/>
    <w:rsid w:val="002222BA"/>
    <w:rsid w:val="00225184"/>
    <w:rsid w:val="00225A72"/>
    <w:rsid w:val="00232FF9"/>
    <w:rsid w:val="002340EE"/>
    <w:rsid w:val="002368B4"/>
    <w:rsid w:val="00237839"/>
    <w:rsid w:val="002401EE"/>
    <w:rsid w:val="0024040F"/>
    <w:rsid w:val="002427F0"/>
    <w:rsid w:val="00243386"/>
    <w:rsid w:val="00243667"/>
    <w:rsid w:val="00243B01"/>
    <w:rsid w:val="00244633"/>
    <w:rsid w:val="00244AE7"/>
    <w:rsid w:val="002468C9"/>
    <w:rsid w:val="002475F3"/>
    <w:rsid w:val="00250D42"/>
    <w:rsid w:val="00253779"/>
    <w:rsid w:val="00255DF7"/>
    <w:rsid w:val="00260B68"/>
    <w:rsid w:val="00262C8B"/>
    <w:rsid w:val="00263288"/>
    <w:rsid w:val="00265547"/>
    <w:rsid w:val="00267EF8"/>
    <w:rsid w:val="0027028E"/>
    <w:rsid w:val="00270DD6"/>
    <w:rsid w:val="002711DD"/>
    <w:rsid w:val="00273786"/>
    <w:rsid w:val="00277F55"/>
    <w:rsid w:val="00281DFD"/>
    <w:rsid w:val="00282A1D"/>
    <w:rsid w:val="00286A74"/>
    <w:rsid w:val="002914D5"/>
    <w:rsid w:val="00297178"/>
    <w:rsid w:val="00297267"/>
    <w:rsid w:val="002974B2"/>
    <w:rsid w:val="00297F3B"/>
    <w:rsid w:val="002A0FAC"/>
    <w:rsid w:val="002A11AE"/>
    <w:rsid w:val="002A3AD1"/>
    <w:rsid w:val="002A41A4"/>
    <w:rsid w:val="002A4905"/>
    <w:rsid w:val="002A5BA5"/>
    <w:rsid w:val="002A6B7F"/>
    <w:rsid w:val="002B0EE3"/>
    <w:rsid w:val="002B2323"/>
    <w:rsid w:val="002B2ED1"/>
    <w:rsid w:val="002C016B"/>
    <w:rsid w:val="002C1CF8"/>
    <w:rsid w:val="002C4C59"/>
    <w:rsid w:val="002C5404"/>
    <w:rsid w:val="002D3D3C"/>
    <w:rsid w:val="002D4079"/>
    <w:rsid w:val="002D5494"/>
    <w:rsid w:val="002D55A4"/>
    <w:rsid w:val="002D5DB7"/>
    <w:rsid w:val="002E2119"/>
    <w:rsid w:val="002E2DAF"/>
    <w:rsid w:val="002E3F77"/>
    <w:rsid w:val="002E6712"/>
    <w:rsid w:val="002E6815"/>
    <w:rsid w:val="002F08FF"/>
    <w:rsid w:val="002F0DA0"/>
    <w:rsid w:val="002F105B"/>
    <w:rsid w:val="002F14A4"/>
    <w:rsid w:val="002F275A"/>
    <w:rsid w:val="002F5FBB"/>
    <w:rsid w:val="002F5FC3"/>
    <w:rsid w:val="002F6049"/>
    <w:rsid w:val="002F6A4B"/>
    <w:rsid w:val="002F6D8C"/>
    <w:rsid w:val="003029B3"/>
    <w:rsid w:val="00303CEE"/>
    <w:rsid w:val="00307914"/>
    <w:rsid w:val="0031004B"/>
    <w:rsid w:val="00312852"/>
    <w:rsid w:val="00316739"/>
    <w:rsid w:val="00316DD6"/>
    <w:rsid w:val="003202C3"/>
    <w:rsid w:val="0032665B"/>
    <w:rsid w:val="003408FF"/>
    <w:rsid w:val="0034181D"/>
    <w:rsid w:val="00343109"/>
    <w:rsid w:val="0034477A"/>
    <w:rsid w:val="003470C6"/>
    <w:rsid w:val="00347E82"/>
    <w:rsid w:val="00352664"/>
    <w:rsid w:val="00354F94"/>
    <w:rsid w:val="00363607"/>
    <w:rsid w:val="00371407"/>
    <w:rsid w:val="00372105"/>
    <w:rsid w:val="00372769"/>
    <w:rsid w:val="00372FD9"/>
    <w:rsid w:val="0037393C"/>
    <w:rsid w:val="003749DF"/>
    <w:rsid w:val="00377BC3"/>
    <w:rsid w:val="00380161"/>
    <w:rsid w:val="0038035D"/>
    <w:rsid w:val="003839A6"/>
    <w:rsid w:val="0038711E"/>
    <w:rsid w:val="0039013E"/>
    <w:rsid w:val="00391AEA"/>
    <w:rsid w:val="0039285B"/>
    <w:rsid w:val="0039372E"/>
    <w:rsid w:val="00394CF9"/>
    <w:rsid w:val="003968FB"/>
    <w:rsid w:val="003A01AD"/>
    <w:rsid w:val="003A0CF6"/>
    <w:rsid w:val="003A0E3C"/>
    <w:rsid w:val="003A47A3"/>
    <w:rsid w:val="003A5987"/>
    <w:rsid w:val="003B0802"/>
    <w:rsid w:val="003B2BF7"/>
    <w:rsid w:val="003B385D"/>
    <w:rsid w:val="003B593B"/>
    <w:rsid w:val="003B6B00"/>
    <w:rsid w:val="003B75A7"/>
    <w:rsid w:val="003C5013"/>
    <w:rsid w:val="003C713B"/>
    <w:rsid w:val="003D08A9"/>
    <w:rsid w:val="003D4193"/>
    <w:rsid w:val="003D66F3"/>
    <w:rsid w:val="003D76CE"/>
    <w:rsid w:val="003E0EDC"/>
    <w:rsid w:val="003E16F9"/>
    <w:rsid w:val="003E37BC"/>
    <w:rsid w:val="003E4E7B"/>
    <w:rsid w:val="003E553E"/>
    <w:rsid w:val="003E7563"/>
    <w:rsid w:val="003F3A00"/>
    <w:rsid w:val="003F71AF"/>
    <w:rsid w:val="00402D6F"/>
    <w:rsid w:val="004057A0"/>
    <w:rsid w:val="00410756"/>
    <w:rsid w:val="004114DF"/>
    <w:rsid w:val="00411F11"/>
    <w:rsid w:val="00411FD8"/>
    <w:rsid w:val="0041218C"/>
    <w:rsid w:val="00412784"/>
    <w:rsid w:val="00416609"/>
    <w:rsid w:val="004204E9"/>
    <w:rsid w:val="004207EE"/>
    <w:rsid w:val="00423058"/>
    <w:rsid w:val="004230D9"/>
    <w:rsid w:val="00424A0C"/>
    <w:rsid w:val="004266DD"/>
    <w:rsid w:val="00427BEB"/>
    <w:rsid w:val="004306F5"/>
    <w:rsid w:val="00432CBF"/>
    <w:rsid w:val="0043597B"/>
    <w:rsid w:val="00450283"/>
    <w:rsid w:val="004516BF"/>
    <w:rsid w:val="0045417A"/>
    <w:rsid w:val="00454DF0"/>
    <w:rsid w:val="00462EB6"/>
    <w:rsid w:val="00463B86"/>
    <w:rsid w:val="00464805"/>
    <w:rsid w:val="0046610C"/>
    <w:rsid w:val="00470F4D"/>
    <w:rsid w:val="00472B33"/>
    <w:rsid w:val="00477A26"/>
    <w:rsid w:val="004811F4"/>
    <w:rsid w:val="00492595"/>
    <w:rsid w:val="004937E6"/>
    <w:rsid w:val="004955A8"/>
    <w:rsid w:val="004976F0"/>
    <w:rsid w:val="004A06C6"/>
    <w:rsid w:val="004A7344"/>
    <w:rsid w:val="004B0506"/>
    <w:rsid w:val="004B4F32"/>
    <w:rsid w:val="004B763C"/>
    <w:rsid w:val="004C246C"/>
    <w:rsid w:val="004C2F87"/>
    <w:rsid w:val="004C4C32"/>
    <w:rsid w:val="004C56D0"/>
    <w:rsid w:val="004C57BF"/>
    <w:rsid w:val="004C5F4D"/>
    <w:rsid w:val="004D075D"/>
    <w:rsid w:val="004D1B3F"/>
    <w:rsid w:val="004D265A"/>
    <w:rsid w:val="004D438C"/>
    <w:rsid w:val="004D59A2"/>
    <w:rsid w:val="004D67B3"/>
    <w:rsid w:val="004E200E"/>
    <w:rsid w:val="004E48D3"/>
    <w:rsid w:val="004E5790"/>
    <w:rsid w:val="004E6618"/>
    <w:rsid w:val="004F0C1E"/>
    <w:rsid w:val="004F7127"/>
    <w:rsid w:val="00500E1D"/>
    <w:rsid w:val="00502092"/>
    <w:rsid w:val="005043F9"/>
    <w:rsid w:val="00505203"/>
    <w:rsid w:val="005056C0"/>
    <w:rsid w:val="00511934"/>
    <w:rsid w:val="00511CA1"/>
    <w:rsid w:val="00512150"/>
    <w:rsid w:val="00512C50"/>
    <w:rsid w:val="005140D0"/>
    <w:rsid w:val="00515B76"/>
    <w:rsid w:val="0051682E"/>
    <w:rsid w:val="005172F0"/>
    <w:rsid w:val="00517723"/>
    <w:rsid w:val="0052316E"/>
    <w:rsid w:val="00524682"/>
    <w:rsid w:val="00526006"/>
    <w:rsid w:val="00531F80"/>
    <w:rsid w:val="005336D2"/>
    <w:rsid w:val="00536BAD"/>
    <w:rsid w:val="0054023B"/>
    <w:rsid w:val="00542902"/>
    <w:rsid w:val="00550676"/>
    <w:rsid w:val="005508EE"/>
    <w:rsid w:val="00550A00"/>
    <w:rsid w:val="00551582"/>
    <w:rsid w:val="00555821"/>
    <w:rsid w:val="005570D1"/>
    <w:rsid w:val="0055750B"/>
    <w:rsid w:val="00557CB0"/>
    <w:rsid w:val="00563048"/>
    <w:rsid w:val="0056392A"/>
    <w:rsid w:val="0056400C"/>
    <w:rsid w:val="0056653D"/>
    <w:rsid w:val="00567990"/>
    <w:rsid w:val="005705B1"/>
    <w:rsid w:val="005711FC"/>
    <w:rsid w:val="00574112"/>
    <w:rsid w:val="00575295"/>
    <w:rsid w:val="00577B6E"/>
    <w:rsid w:val="00586D6E"/>
    <w:rsid w:val="005871A9"/>
    <w:rsid w:val="00594B1A"/>
    <w:rsid w:val="00595C8E"/>
    <w:rsid w:val="005A2390"/>
    <w:rsid w:val="005A2FDB"/>
    <w:rsid w:val="005A6781"/>
    <w:rsid w:val="005A79D7"/>
    <w:rsid w:val="005B0990"/>
    <w:rsid w:val="005B10AC"/>
    <w:rsid w:val="005B112C"/>
    <w:rsid w:val="005B30AF"/>
    <w:rsid w:val="005B5D50"/>
    <w:rsid w:val="005B6A34"/>
    <w:rsid w:val="005C00E4"/>
    <w:rsid w:val="005C0427"/>
    <w:rsid w:val="005C0E68"/>
    <w:rsid w:val="005C169E"/>
    <w:rsid w:val="005C2652"/>
    <w:rsid w:val="005C5620"/>
    <w:rsid w:val="005C593B"/>
    <w:rsid w:val="005C6353"/>
    <w:rsid w:val="005D2056"/>
    <w:rsid w:val="005D26A9"/>
    <w:rsid w:val="005D2BD8"/>
    <w:rsid w:val="005D3F40"/>
    <w:rsid w:val="005E09EB"/>
    <w:rsid w:val="005E0E26"/>
    <w:rsid w:val="005E13BF"/>
    <w:rsid w:val="005E18A5"/>
    <w:rsid w:val="005E484B"/>
    <w:rsid w:val="005E4AF2"/>
    <w:rsid w:val="005F0019"/>
    <w:rsid w:val="005F1D2B"/>
    <w:rsid w:val="005F2DA4"/>
    <w:rsid w:val="00602ED0"/>
    <w:rsid w:val="006046DB"/>
    <w:rsid w:val="00611989"/>
    <w:rsid w:val="00613081"/>
    <w:rsid w:val="0061428A"/>
    <w:rsid w:val="00614B14"/>
    <w:rsid w:val="00617FD0"/>
    <w:rsid w:val="00625A43"/>
    <w:rsid w:val="00625F01"/>
    <w:rsid w:val="00631D07"/>
    <w:rsid w:val="00634C07"/>
    <w:rsid w:val="00634E60"/>
    <w:rsid w:val="00637ED1"/>
    <w:rsid w:val="00641619"/>
    <w:rsid w:val="00641A3E"/>
    <w:rsid w:val="00641C84"/>
    <w:rsid w:val="00643CC4"/>
    <w:rsid w:val="00643FED"/>
    <w:rsid w:val="0064484F"/>
    <w:rsid w:val="00647395"/>
    <w:rsid w:val="00650F82"/>
    <w:rsid w:val="00652746"/>
    <w:rsid w:val="00656150"/>
    <w:rsid w:val="0065688B"/>
    <w:rsid w:val="00657373"/>
    <w:rsid w:val="0066044B"/>
    <w:rsid w:val="00660A7D"/>
    <w:rsid w:val="00661B4B"/>
    <w:rsid w:val="00663344"/>
    <w:rsid w:val="0066480B"/>
    <w:rsid w:val="00666B23"/>
    <w:rsid w:val="006743B8"/>
    <w:rsid w:val="00674F8F"/>
    <w:rsid w:val="00676F35"/>
    <w:rsid w:val="006817A8"/>
    <w:rsid w:val="0068242D"/>
    <w:rsid w:val="00683F84"/>
    <w:rsid w:val="00685234"/>
    <w:rsid w:val="006911F2"/>
    <w:rsid w:val="00692DD2"/>
    <w:rsid w:val="0069423B"/>
    <w:rsid w:val="006946D5"/>
    <w:rsid w:val="006A0010"/>
    <w:rsid w:val="006A3F85"/>
    <w:rsid w:val="006B1248"/>
    <w:rsid w:val="006B1EF7"/>
    <w:rsid w:val="006B4E69"/>
    <w:rsid w:val="006B5C51"/>
    <w:rsid w:val="006C01B5"/>
    <w:rsid w:val="006C1108"/>
    <w:rsid w:val="006C4F82"/>
    <w:rsid w:val="006C5158"/>
    <w:rsid w:val="006C57EF"/>
    <w:rsid w:val="006C6086"/>
    <w:rsid w:val="006C6F9E"/>
    <w:rsid w:val="006D14FB"/>
    <w:rsid w:val="006D5D87"/>
    <w:rsid w:val="006E302E"/>
    <w:rsid w:val="006E7069"/>
    <w:rsid w:val="006E76D7"/>
    <w:rsid w:val="006F02F4"/>
    <w:rsid w:val="006F0C07"/>
    <w:rsid w:val="006F2711"/>
    <w:rsid w:val="006F2E60"/>
    <w:rsid w:val="006F4046"/>
    <w:rsid w:val="006F63C9"/>
    <w:rsid w:val="006F76CD"/>
    <w:rsid w:val="0070145C"/>
    <w:rsid w:val="00701D2A"/>
    <w:rsid w:val="00705971"/>
    <w:rsid w:val="00707DCC"/>
    <w:rsid w:val="00710629"/>
    <w:rsid w:val="00712D29"/>
    <w:rsid w:val="00713D6A"/>
    <w:rsid w:val="007143BF"/>
    <w:rsid w:val="00717159"/>
    <w:rsid w:val="0071727D"/>
    <w:rsid w:val="007204B8"/>
    <w:rsid w:val="00721D19"/>
    <w:rsid w:val="0072377E"/>
    <w:rsid w:val="00725C3D"/>
    <w:rsid w:val="00725E08"/>
    <w:rsid w:val="00726DB6"/>
    <w:rsid w:val="007315CD"/>
    <w:rsid w:val="00731CBF"/>
    <w:rsid w:val="00732815"/>
    <w:rsid w:val="007375A3"/>
    <w:rsid w:val="00740879"/>
    <w:rsid w:val="00740CAA"/>
    <w:rsid w:val="00741679"/>
    <w:rsid w:val="00742F1A"/>
    <w:rsid w:val="00747FD2"/>
    <w:rsid w:val="00753721"/>
    <w:rsid w:val="00753B99"/>
    <w:rsid w:val="00754087"/>
    <w:rsid w:val="00756DEB"/>
    <w:rsid w:val="0076028F"/>
    <w:rsid w:val="00760AAC"/>
    <w:rsid w:val="00761219"/>
    <w:rsid w:val="00762053"/>
    <w:rsid w:val="00762BE9"/>
    <w:rsid w:val="00766D87"/>
    <w:rsid w:val="007704DC"/>
    <w:rsid w:val="007714DE"/>
    <w:rsid w:val="00773AAB"/>
    <w:rsid w:val="0077412A"/>
    <w:rsid w:val="00775F89"/>
    <w:rsid w:val="007763BF"/>
    <w:rsid w:val="007768CF"/>
    <w:rsid w:val="00776D79"/>
    <w:rsid w:val="00780603"/>
    <w:rsid w:val="007849E9"/>
    <w:rsid w:val="0078748B"/>
    <w:rsid w:val="00790975"/>
    <w:rsid w:val="00792EE3"/>
    <w:rsid w:val="0079424C"/>
    <w:rsid w:val="007952F2"/>
    <w:rsid w:val="00796485"/>
    <w:rsid w:val="0079658B"/>
    <w:rsid w:val="00796A21"/>
    <w:rsid w:val="007973E3"/>
    <w:rsid w:val="00797E06"/>
    <w:rsid w:val="007A5A37"/>
    <w:rsid w:val="007A5BF4"/>
    <w:rsid w:val="007A6D2E"/>
    <w:rsid w:val="007A797C"/>
    <w:rsid w:val="007B0B55"/>
    <w:rsid w:val="007B0CB6"/>
    <w:rsid w:val="007B5DE4"/>
    <w:rsid w:val="007B7DBD"/>
    <w:rsid w:val="007C1A22"/>
    <w:rsid w:val="007C215A"/>
    <w:rsid w:val="007C3E36"/>
    <w:rsid w:val="007C61CE"/>
    <w:rsid w:val="007C7DD8"/>
    <w:rsid w:val="007C7FB1"/>
    <w:rsid w:val="007D27B7"/>
    <w:rsid w:val="007D3DA9"/>
    <w:rsid w:val="007D431D"/>
    <w:rsid w:val="007E0BED"/>
    <w:rsid w:val="007E2938"/>
    <w:rsid w:val="007E3705"/>
    <w:rsid w:val="007E437F"/>
    <w:rsid w:val="007E48BF"/>
    <w:rsid w:val="007E679D"/>
    <w:rsid w:val="007E79C7"/>
    <w:rsid w:val="007F1DB4"/>
    <w:rsid w:val="007F6020"/>
    <w:rsid w:val="0080314D"/>
    <w:rsid w:val="00804DD8"/>
    <w:rsid w:val="008056DC"/>
    <w:rsid w:val="008105CF"/>
    <w:rsid w:val="0081071B"/>
    <w:rsid w:val="00812BBA"/>
    <w:rsid w:val="0081515A"/>
    <w:rsid w:val="00815EA3"/>
    <w:rsid w:val="00823DA9"/>
    <w:rsid w:val="00826258"/>
    <w:rsid w:val="00830725"/>
    <w:rsid w:val="0083296B"/>
    <w:rsid w:val="00833975"/>
    <w:rsid w:val="00836505"/>
    <w:rsid w:val="0083663A"/>
    <w:rsid w:val="0084036F"/>
    <w:rsid w:val="0084201E"/>
    <w:rsid w:val="0084350B"/>
    <w:rsid w:val="00843E90"/>
    <w:rsid w:val="00844234"/>
    <w:rsid w:val="008535B9"/>
    <w:rsid w:val="00856662"/>
    <w:rsid w:val="00860A5F"/>
    <w:rsid w:val="00861153"/>
    <w:rsid w:val="00861ADE"/>
    <w:rsid w:val="00862094"/>
    <w:rsid w:val="00862A2E"/>
    <w:rsid w:val="00863B8C"/>
    <w:rsid w:val="00864538"/>
    <w:rsid w:val="00865ECE"/>
    <w:rsid w:val="00866422"/>
    <w:rsid w:val="00867BBF"/>
    <w:rsid w:val="00870659"/>
    <w:rsid w:val="0087405F"/>
    <w:rsid w:val="008762A9"/>
    <w:rsid w:val="00876356"/>
    <w:rsid w:val="00876C76"/>
    <w:rsid w:val="00877625"/>
    <w:rsid w:val="008809DD"/>
    <w:rsid w:val="0088105F"/>
    <w:rsid w:val="008815C7"/>
    <w:rsid w:val="0088213E"/>
    <w:rsid w:val="00884C4A"/>
    <w:rsid w:val="0088547B"/>
    <w:rsid w:val="008862AA"/>
    <w:rsid w:val="008907DD"/>
    <w:rsid w:val="00890EE3"/>
    <w:rsid w:val="00892A9D"/>
    <w:rsid w:val="0089410B"/>
    <w:rsid w:val="0089498C"/>
    <w:rsid w:val="008953B0"/>
    <w:rsid w:val="00895CF2"/>
    <w:rsid w:val="00896168"/>
    <w:rsid w:val="008A0625"/>
    <w:rsid w:val="008A237F"/>
    <w:rsid w:val="008A3308"/>
    <w:rsid w:val="008A3CDF"/>
    <w:rsid w:val="008A5980"/>
    <w:rsid w:val="008A79AD"/>
    <w:rsid w:val="008B03FC"/>
    <w:rsid w:val="008B175F"/>
    <w:rsid w:val="008B1C4E"/>
    <w:rsid w:val="008B30C4"/>
    <w:rsid w:val="008B33CA"/>
    <w:rsid w:val="008B40F9"/>
    <w:rsid w:val="008B4292"/>
    <w:rsid w:val="008B54E0"/>
    <w:rsid w:val="008B6478"/>
    <w:rsid w:val="008B6F9E"/>
    <w:rsid w:val="008B755C"/>
    <w:rsid w:val="008C01F0"/>
    <w:rsid w:val="008C101F"/>
    <w:rsid w:val="008C1B19"/>
    <w:rsid w:val="008C2324"/>
    <w:rsid w:val="008C40E5"/>
    <w:rsid w:val="008C640B"/>
    <w:rsid w:val="008C6480"/>
    <w:rsid w:val="008C6925"/>
    <w:rsid w:val="008C7BC0"/>
    <w:rsid w:val="008D0277"/>
    <w:rsid w:val="008D0EE1"/>
    <w:rsid w:val="008D2D56"/>
    <w:rsid w:val="008D36BD"/>
    <w:rsid w:val="008D52C5"/>
    <w:rsid w:val="008D6AD3"/>
    <w:rsid w:val="008D6BC7"/>
    <w:rsid w:val="008D7F9D"/>
    <w:rsid w:val="008E122C"/>
    <w:rsid w:val="008E22E6"/>
    <w:rsid w:val="008E31AB"/>
    <w:rsid w:val="008E472F"/>
    <w:rsid w:val="008E482F"/>
    <w:rsid w:val="008E57DF"/>
    <w:rsid w:val="008E5EA6"/>
    <w:rsid w:val="008E71F1"/>
    <w:rsid w:val="008E7A75"/>
    <w:rsid w:val="008E7C72"/>
    <w:rsid w:val="008F16A3"/>
    <w:rsid w:val="008F275E"/>
    <w:rsid w:val="008F3D36"/>
    <w:rsid w:val="008F6150"/>
    <w:rsid w:val="008F627B"/>
    <w:rsid w:val="008F637F"/>
    <w:rsid w:val="008F6D5B"/>
    <w:rsid w:val="008F7E27"/>
    <w:rsid w:val="00900AE2"/>
    <w:rsid w:val="00902801"/>
    <w:rsid w:val="009042E5"/>
    <w:rsid w:val="00906A5C"/>
    <w:rsid w:val="00906AF5"/>
    <w:rsid w:val="00906D07"/>
    <w:rsid w:val="009104FC"/>
    <w:rsid w:val="00911EED"/>
    <w:rsid w:val="009134FF"/>
    <w:rsid w:val="00914D14"/>
    <w:rsid w:val="009176DF"/>
    <w:rsid w:val="00920DF7"/>
    <w:rsid w:val="00920E20"/>
    <w:rsid w:val="00921ADF"/>
    <w:rsid w:val="00926946"/>
    <w:rsid w:val="00927B8E"/>
    <w:rsid w:val="00930164"/>
    <w:rsid w:val="00930C2C"/>
    <w:rsid w:val="00930F5A"/>
    <w:rsid w:val="009310F7"/>
    <w:rsid w:val="00931D75"/>
    <w:rsid w:val="009331DF"/>
    <w:rsid w:val="00933BCB"/>
    <w:rsid w:val="0094034C"/>
    <w:rsid w:val="0094089D"/>
    <w:rsid w:val="009430F0"/>
    <w:rsid w:val="00943B5D"/>
    <w:rsid w:val="009444E5"/>
    <w:rsid w:val="00944F5D"/>
    <w:rsid w:val="00950979"/>
    <w:rsid w:val="00955EBF"/>
    <w:rsid w:val="00955FD0"/>
    <w:rsid w:val="009623F4"/>
    <w:rsid w:val="00963AC2"/>
    <w:rsid w:val="00971558"/>
    <w:rsid w:val="00971749"/>
    <w:rsid w:val="00971985"/>
    <w:rsid w:val="0097233B"/>
    <w:rsid w:val="00972F92"/>
    <w:rsid w:val="00974C01"/>
    <w:rsid w:val="00975805"/>
    <w:rsid w:val="0098019B"/>
    <w:rsid w:val="0098512E"/>
    <w:rsid w:val="00985B04"/>
    <w:rsid w:val="009875C1"/>
    <w:rsid w:val="009875DD"/>
    <w:rsid w:val="009904E9"/>
    <w:rsid w:val="009916DB"/>
    <w:rsid w:val="00992183"/>
    <w:rsid w:val="00992F07"/>
    <w:rsid w:val="00993F14"/>
    <w:rsid w:val="00995DFF"/>
    <w:rsid w:val="00997891"/>
    <w:rsid w:val="009A1D57"/>
    <w:rsid w:val="009A23BB"/>
    <w:rsid w:val="009A2902"/>
    <w:rsid w:val="009A2BD4"/>
    <w:rsid w:val="009A3947"/>
    <w:rsid w:val="009A7661"/>
    <w:rsid w:val="009B2601"/>
    <w:rsid w:val="009B2B69"/>
    <w:rsid w:val="009B67E3"/>
    <w:rsid w:val="009C05EA"/>
    <w:rsid w:val="009C1D99"/>
    <w:rsid w:val="009C1E81"/>
    <w:rsid w:val="009C5968"/>
    <w:rsid w:val="009C5DA5"/>
    <w:rsid w:val="009C6ADE"/>
    <w:rsid w:val="009D6F7B"/>
    <w:rsid w:val="009E04A9"/>
    <w:rsid w:val="009E3BEF"/>
    <w:rsid w:val="009E4A87"/>
    <w:rsid w:val="009E57CF"/>
    <w:rsid w:val="009E5985"/>
    <w:rsid w:val="009E7017"/>
    <w:rsid w:val="009F42C2"/>
    <w:rsid w:val="009F6266"/>
    <w:rsid w:val="00A001B9"/>
    <w:rsid w:val="00A012CD"/>
    <w:rsid w:val="00A0740F"/>
    <w:rsid w:val="00A10880"/>
    <w:rsid w:val="00A12478"/>
    <w:rsid w:val="00A12E99"/>
    <w:rsid w:val="00A133C5"/>
    <w:rsid w:val="00A134EE"/>
    <w:rsid w:val="00A138F6"/>
    <w:rsid w:val="00A14C9B"/>
    <w:rsid w:val="00A15980"/>
    <w:rsid w:val="00A17E0C"/>
    <w:rsid w:val="00A21394"/>
    <w:rsid w:val="00A2265C"/>
    <w:rsid w:val="00A26F43"/>
    <w:rsid w:val="00A312AF"/>
    <w:rsid w:val="00A326BF"/>
    <w:rsid w:val="00A360F0"/>
    <w:rsid w:val="00A364CD"/>
    <w:rsid w:val="00A37AE3"/>
    <w:rsid w:val="00A41BBA"/>
    <w:rsid w:val="00A42751"/>
    <w:rsid w:val="00A43C67"/>
    <w:rsid w:val="00A44CCA"/>
    <w:rsid w:val="00A44F54"/>
    <w:rsid w:val="00A478F8"/>
    <w:rsid w:val="00A501F3"/>
    <w:rsid w:val="00A51D8E"/>
    <w:rsid w:val="00A5461B"/>
    <w:rsid w:val="00A555F3"/>
    <w:rsid w:val="00A55A3A"/>
    <w:rsid w:val="00A55C6E"/>
    <w:rsid w:val="00A56BE8"/>
    <w:rsid w:val="00A619EF"/>
    <w:rsid w:val="00A63AC5"/>
    <w:rsid w:val="00A645D6"/>
    <w:rsid w:val="00A67D13"/>
    <w:rsid w:val="00A70D26"/>
    <w:rsid w:val="00A739ED"/>
    <w:rsid w:val="00A76215"/>
    <w:rsid w:val="00A765E8"/>
    <w:rsid w:val="00A77B66"/>
    <w:rsid w:val="00A86555"/>
    <w:rsid w:val="00A9047A"/>
    <w:rsid w:val="00A90837"/>
    <w:rsid w:val="00A910F0"/>
    <w:rsid w:val="00A92809"/>
    <w:rsid w:val="00A96BBC"/>
    <w:rsid w:val="00AA15BF"/>
    <w:rsid w:val="00AA2121"/>
    <w:rsid w:val="00AA230A"/>
    <w:rsid w:val="00AA52A4"/>
    <w:rsid w:val="00AA5757"/>
    <w:rsid w:val="00AA62D5"/>
    <w:rsid w:val="00AB19AE"/>
    <w:rsid w:val="00AB2350"/>
    <w:rsid w:val="00AB3A95"/>
    <w:rsid w:val="00AB3AE8"/>
    <w:rsid w:val="00AB5ECF"/>
    <w:rsid w:val="00AC122B"/>
    <w:rsid w:val="00AC2AFE"/>
    <w:rsid w:val="00AC37DE"/>
    <w:rsid w:val="00AC3D58"/>
    <w:rsid w:val="00AC3E94"/>
    <w:rsid w:val="00AC4011"/>
    <w:rsid w:val="00AC41BC"/>
    <w:rsid w:val="00AC5460"/>
    <w:rsid w:val="00AC7139"/>
    <w:rsid w:val="00AD05C7"/>
    <w:rsid w:val="00AD10D0"/>
    <w:rsid w:val="00AD43A9"/>
    <w:rsid w:val="00AD61E2"/>
    <w:rsid w:val="00AD6570"/>
    <w:rsid w:val="00AD67F5"/>
    <w:rsid w:val="00AD7C61"/>
    <w:rsid w:val="00AE0A9B"/>
    <w:rsid w:val="00AE0BBA"/>
    <w:rsid w:val="00AE347A"/>
    <w:rsid w:val="00AE4EDE"/>
    <w:rsid w:val="00AE67EB"/>
    <w:rsid w:val="00AF1EBD"/>
    <w:rsid w:val="00B00FF7"/>
    <w:rsid w:val="00B013F6"/>
    <w:rsid w:val="00B0254C"/>
    <w:rsid w:val="00B02C6A"/>
    <w:rsid w:val="00B03B7E"/>
    <w:rsid w:val="00B06304"/>
    <w:rsid w:val="00B10D71"/>
    <w:rsid w:val="00B115C4"/>
    <w:rsid w:val="00B12260"/>
    <w:rsid w:val="00B151A2"/>
    <w:rsid w:val="00B1526B"/>
    <w:rsid w:val="00B16D46"/>
    <w:rsid w:val="00B17FF0"/>
    <w:rsid w:val="00B2051F"/>
    <w:rsid w:val="00B21537"/>
    <w:rsid w:val="00B21A7C"/>
    <w:rsid w:val="00B220F6"/>
    <w:rsid w:val="00B2371E"/>
    <w:rsid w:val="00B243B4"/>
    <w:rsid w:val="00B25788"/>
    <w:rsid w:val="00B2785B"/>
    <w:rsid w:val="00B31252"/>
    <w:rsid w:val="00B33761"/>
    <w:rsid w:val="00B337F7"/>
    <w:rsid w:val="00B349E9"/>
    <w:rsid w:val="00B359F7"/>
    <w:rsid w:val="00B4163C"/>
    <w:rsid w:val="00B51AB4"/>
    <w:rsid w:val="00B53D71"/>
    <w:rsid w:val="00B55AB9"/>
    <w:rsid w:val="00B56F39"/>
    <w:rsid w:val="00B61386"/>
    <w:rsid w:val="00B6343F"/>
    <w:rsid w:val="00B64B10"/>
    <w:rsid w:val="00B65554"/>
    <w:rsid w:val="00B67300"/>
    <w:rsid w:val="00B70C4F"/>
    <w:rsid w:val="00B767EF"/>
    <w:rsid w:val="00B809CD"/>
    <w:rsid w:val="00B857B8"/>
    <w:rsid w:val="00B85EAF"/>
    <w:rsid w:val="00B873BC"/>
    <w:rsid w:val="00B91511"/>
    <w:rsid w:val="00B92B83"/>
    <w:rsid w:val="00B967B2"/>
    <w:rsid w:val="00B9715F"/>
    <w:rsid w:val="00BA07EA"/>
    <w:rsid w:val="00BA09F0"/>
    <w:rsid w:val="00BA119E"/>
    <w:rsid w:val="00BA1C5F"/>
    <w:rsid w:val="00BA1E1D"/>
    <w:rsid w:val="00BA32F6"/>
    <w:rsid w:val="00BA3D5A"/>
    <w:rsid w:val="00BA49C9"/>
    <w:rsid w:val="00BB0049"/>
    <w:rsid w:val="00BB1BC3"/>
    <w:rsid w:val="00BB376A"/>
    <w:rsid w:val="00BB39D1"/>
    <w:rsid w:val="00BB4475"/>
    <w:rsid w:val="00BB447A"/>
    <w:rsid w:val="00BB4D91"/>
    <w:rsid w:val="00BB59D2"/>
    <w:rsid w:val="00BB6804"/>
    <w:rsid w:val="00BB7125"/>
    <w:rsid w:val="00BC107D"/>
    <w:rsid w:val="00BC10DB"/>
    <w:rsid w:val="00BC48C8"/>
    <w:rsid w:val="00BC4A2F"/>
    <w:rsid w:val="00BC50DB"/>
    <w:rsid w:val="00BC5AFF"/>
    <w:rsid w:val="00BD016E"/>
    <w:rsid w:val="00BD18C0"/>
    <w:rsid w:val="00BD1E8D"/>
    <w:rsid w:val="00BD2E11"/>
    <w:rsid w:val="00BD4164"/>
    <w:rsid w:val="00BD46C9"/>
    <w:rsid w:val="00BD6B9A"/>
    <w:rsid w:val="00BE2B21"/>
    <w:rsid w:val="00BF036C"/>
    <w:rsid w:val="00BF1E1A"/>
    <w:rsid w:val="00BF2BAF"/>
    <w:rsid w:val="00BF2EAF"/>
    <w:rsid w:val="00BF3034"/>
    <w:rsid w:val="00C01177"/>
    <w:rsid w:val="00C012B5"/>
    <w:rsid w:val="00C02A21"/>
    <w:rsid w:val="00C037A4"/>
    <w:rsid w:val="00C0799C"/>
    <w:rsid w:val="00C11D96"/>
    <w:rsid w:val="00C16EF7"/>
    <w:rsid w:val="00C21C91"/>
    <w:rsid w:val="00C220E8"/>
    <w:rsid w:val="00C2314B"/>
    <w:rsid w:val="00C258B1"/>
    <w:rsid w:val="00C305BD"/>
    <w:rsid w:val="00C31042"/>
    <w:rsid w:val="00C310C8"/>
    <w:rsid w:val="00C31A7A"/>
    <w:rsid w:val="00C32271"/>
    <w:rsid w:val="00C34F59"/>
    <w:rsid w:val="00C377DE"/>
    <w:rsid w:val="00C409FB"/>
    <w:rsid w:val="00C4126F"/>
    <w:rsid w:val="00C41A87"/>
    <w:rsid w:val="00C42AFD"/>
    <w:rsid w:val="00C459A6"/>
    <w:rsid w:val="00C45C5B"/>
    <w:rsid w:val="00C47413"/>
    <w:rsid w:val="00C51B40"/>
    <w:rsid w:val="00C521F6"/>
    <w:rsid w:val="00C534EC"/>
    <w:rsid w:val="00C538D8"/>
    <w:rsid w:val="00C5649E"/>
    <w:rsid w:val="00C60507"/>
    <w:rsid w:val="00C61742"/>
    <w:rsid w:val="00C62404"/>
    <w:rsid w:val="00C624DA"/>
    <w:rsid w:val="00C63688"/>
    <w:rsid w:val="00C7143F"/>
    <w:rsid w:val="00C724DA"/>
    <w:rsid w:val="00C73E30"/>
    <w:rsid w:val="00C7428F"/>
    <w:rsid w:val="00C7532D"/>
    <w:rsid w:val="00C75909"/>
    <w:rsid w:val="00C8123C"/>
    <w:rsid w:val="00C818B0"/>
    <w:rsid w:val="00C879F6"/>
    <w:rsid w:val="00C905EA"/>
    <w:rsid w:val="00C90B17"/>
    <w:rsid w:val="00C92AAF"/>
    <w:rsid w:val="00C95ED2"/>
    <w:rsid w:val="00C97DBE"/>
    <w:rsid w:val="00C97E09"/>
    <w:rsid w:val="00CA0343"/>
    <w:rsid w:val="00CA1B04"/>
    <w:rsid w:val="00CA4E98"/>
    <w:rsid w:val="00CB222C"/>
    <w:rsid w:val="00CB382C"/>
    <w:rsid w:val="00CB61CD"/>
    <w:rsid w:val="00CC1C92"/>
    <w:rsid w:val="00CC3175"/>
    <w:rsid w:val="00CC31EA"/>
    <w:rsid w:val="00CC3746"/>
    <w:rsid w:val="00CC3E8E"/>
    <w:rsid w:val="00CC4CD3"/>
    <w:rsid w:val="00CC51BF"/>
    <w:rsid w:val="00CD0C6C"/>
    <w:rsid w:val="00CD1FF9"/>
    <w:rsid w:val="00CD4FEA"/>
    <w:rsid w:val="00CD5655"/>
    <w:rsid w:val="00CD64FA"/>
    <w:rsid w:val="00CD663D"/>
    <w:rsid w:val="00CE385B"/>
    <w:rsid w:val="00CE4DD0"/>
    <w:rsid w:val="00CE5B34"/>
    <w:rsid w:val="00CE6DDB"/>
    <w:rsid w:val="00CE6E95"/>
    <w:rsid w:val="00CF29B1"/>
    <w:rsid w:val="00CF493E"/>
    <w:rsid w:val="00CF4E7A"/>
    <w:rsid w:val="00CF6F44"/>
    <w:rsid w:val="00CF74C4"/>
    <w:rsid w:val="00CF7E39"/>
    <w:rsid w:val="00D02263"/>
    <w:rsid w:val="00D06711"/>
    <w:rsid w:val="00D12677"/>
    <w:rsid w:val="00D1361D"/>
    <w:rsid w:val="00D13ABC"/>
    <w:rsid w:val="00D14AC9"/>
    <w:rsid w:val="00D168F8"/>
    <w:rsid w:val="00D176BA"/>
    <w:rsid w:val="00D21658"/>
    <w:rsid w:val="00D24236"/>
    <w:rsid w:val="00D24628"/>
    <w:rsid w:val="00D25F76"/>
    <w:rsid w:val="00D27BC7"/>
    <w:rsid w:val="00D301A2"/>
    <w:rsid w:val="00D31A8F"/>
    <w:rsid w:val="00D332F2"/>
    <w:rsid w:val="00D3555E"/>
    <w:rsid w:val="00D36C21"/>
    <w:rsid w:val="00D4047C"/>
    <w:rsid w:val="00D41148"/>
    <w:rsid w:val="00D41E09"/>
    <w:rsid w:val="00D4369E"/>
    <w:rsid w:val="00D43CEB"/>
    <w:rsid w:val="00D45125"/>
    <w:rsid w:val="00D4623D"/>
    <w:rsid w:val="00D46F4C"/>
    <w:rsid w:val="00D50361"/>
    <w:rsid w:val="00D53E05"/>
    <w:rsid w:val="00D54166"/>
    <w:rsid w:val="00D56334"/>
    <w:rsid w:val="00D602AC"/>
    <w:rsid w:val="00D60842"/>
    <w:rsid w:val="00D62233"/>
    <w:rsid w:val="00D641E1"/>
    <w:rsid w:val="00D80184"/>
    <w:rsid w:val="00D81122"/>
    <w:rsid w:val="00D82093"/>
    <w:rsid w:val="00D87C00"/>
    <w:rsid w:val="00D905B9"/>
    <w:rsid w:val="00D92676"/>
    <w:rsid w:val="00D970F0"/>
    <w:rsid w:val="00D97381"/>
    <w:rsid w:val="00D97E9F"/>
    <w:rsid w:val="00DA519C"/>
    <w:rsid w:val="00DA769F"/>
    <w:rsid w:val="00DB1871"/>
    <w:rsid w:val="00DB303A"/>
    <w:rsid w:val="00DB5E5F"/>
    <w:rsid w:val="00DC1A5B"/>
    <w:rsid w:val="00DC221B"/>
    <w:rsid w:val="00DC2BAF"/>
    <w:rsid w:val="00DC444D"/>
    <w:rsid w:val="00DC61C4"/>
    <w:rsid w:val="00DC7B80"/>
    <w:rsid w:val="00DD0CD9"/>
    <w:rsid w:val="00DD1E6D"/>
    <w:rsid w:val="00DD2E65"/>
    <w:rsid w:val="00DD3FEC"/>
    <w:rsid w:val="00DD44FF"/>
    <w:rsid w:val="00DD4A44"/>
    <w:rsid w:val="00DD7789"/>
    <w:rsid w:val="00DE0BBD"/>
    <w:rsid w:val="00DE1A6A"/>
    <w:rsid w:val="00DE2D92"/>
    <w:rsid w:val="00DE38EB"/>
    <w:rsid w:val="00DE4A9A"/>
    <w:rsid w:val="00DF0B20"/>
    <w:rsid w:val="00DF0B33"/>
    <w:rsid w:val="00DF33D1"/>
    <w:rsid w:val="00DF4CAC"/>
    <w:rsid w:val="00DF68BA"/>
    <w:rsid w:val="00E01F60"/>
    <w:rsid w:val="00E05F1F"/>
    <w:rsid w:val="00E06667"/>
    <w:rsid w:val="00E0695D"/>
    <w:rsid w:val="00E07C59"/>
    <w:rsid w:val="00E11F1C"/>
    <w:rsid w:val="00E11FB0"/>
    <w:rsid w:val="00E154E9"/>
    <w:rsid w:val="00E15873"/>
    <w:rsid w:val="00E217A8"/>
    <w:rsid w:val="00E26236"/>
    <w:rsid w:val="00E3342F"/>
    <w:rsid w:val="00E347D0"/>
    <w:rsid w:val="00E36239"/>
    <w:rsid w:val="00E37CAD"/>
    <w:rsid w:val="00E4374A"/>
    <w:rsid w:val="00E46860"/>
    <w:rsid w:val="00E468E6"/>
    <w:rsid w:val="00E4747B"/>
    <w:rsid w:val="00E561F8"/>
    <w:rsid w:val="00E56E50"/>
    <w:rsid w:val="00E60254"/>
    <w:rsid w:val="00E63D3E"/>
    <w:rsid w:val="00E641DC"/>
    <w:rsid w:val="00E66629"/>
    <w:rsid w:val="00E67E39"/>
    <w:rsid w:val="00E7597A"/>
    <w:rsid w:val="00E77319"/>
    <w:rsid w:val="00E811DE"/>
    <w:rsid w:val="00E81927"/>
    <w:rsid w:val="00E81BF7"/>
    <w:rsid w:val="00E82C4E"/>
    <w:rsid w:val="00E837D1"/>
    <w:rsid w:val="00E8550F"/>
    <w:rsid w:val="00E86F36"/>
    <w:rsid w:val="00E926B6"/>
    <w:rsid w:val="00E93134"/>
    <w:rsid w:val="00E94097"/>
    <w:rsid w:val="00E946FE"/>
    <w:rsid w:val="00EA2CF4"/>
    <w:rsid w:val="00EA3885"/>
    <w:rsid w:val="00EA4C2B"/>
    <w:rsid w:val="00EA5023"/>
    <w:rsid w:val="00EA5F2F"/>
    <w:rsid w:val="00EA6C6D"/>
    <w:rsid w:val="00EB0472"/>
    <w:rsid w:val="00EB3BD0"/>
    <w:rsid w:val="00EB496C"/>
    <w:rsid w:val="00EB4C27"/>
    <w:rsid w:val="00EB538F"/>
    <w:rsid w:val="00EB75FE"/>
    <w:rsid w:val="00EB7C4B"/>
    <w:rsid w:val="00EC0858"/>
    <w:rsid w:val="00EC1AFA"/>
    <w:rsid w:val="00EC1C82"/>
    <w:rsid w:val="00EC26AA"/>
    <w:rsid w:val="00EC290C"/>
    <w:rsid w:val="00EC36DD"/>
    <w:rsid w:val="00EC72C8"/>
    <w:rsid w:val="00EC7927"/>
    <w:rsid w:val="00ED15DC"/>
    <w:rsid w:val="00ED402C"/>
    <w:rsid w:val="00EE1669"/>
    <w:rsid w:val="00EE3A0C"/>
    <w:rsid w:val="00EE45D7"/>
    <w:rsid w:val="00EE478B"/>
    <w:rsid w:val="00EE5D8E"/>
    <w:rsid w:val="00EF1E51"/>
    <w:rsid w:val="00EF6AED"/>
    <w:rsid w:val="00EF73AF"/>
    <w:rsid w:val="00F1043F"/>
    <w:rsid w:val="00F112FA"/>
    <w:rsid w:val="00F13B36"/>
    <w:rsid w:val="00F13F1F"/>
    <w:rsid w:val="00F143CC"/>
    <w:rsid w:val="00F151F6"/>
    <w:rsid w:val="00F15DD4"/>
    <w:rsid w:val="00F16AE8"/>
    <w:rsid w:val="00F1749E"/>
    <w:rsid w:val="00F20073"/>
    <w:rsid w:val="00F209D9"/>
    <w:rsid w:val="00F210F8"/>
    <w:rsid w:val="00F22133"/>
    <w:rsid w:val="00F228F3"/>
    <w:rsid w:val="00F2316E"/>
    <w:rsid w:val="00F2546E"/>
    <w:rsid w:val="00F25C77"/>
    <w:rsid w:val="00F2657A"/>
    <w:rsid w:val="00F27015"/>
    <w:rsid w:val="00F30CDA"/>
    <w:rsid w:val="00F328B8"/>
    <w:rsid w:val="00F36DF2"/>
    <w:rsid w:val="00F428CD"/>
    <w:rsid w:val="00F43E76"/>
    <w:rsid w:val="00F44C41"/>
    <w:rsid w:val="00F44C86"/>
    <w:rsid w:val="00F46020"/>
    <w:rsid w:val="00F47D29"/>
    <w:rsid w:val="00F5315E"/>
    <w:rsid w:val="00F5485B"/>
    <w:rsid w:val="00F55E0D"/>
    <w:rsid w:val="00F63224"/>
    <w:rsid w:val="00F63E00"/>
    <w:rsid w:val="00F65094"/>
    <w:rsid w:val="00F6520F"/>
    <w:rsid w:val="00F660F3"/>
    <w:rsid w:val="00F67850"/>
    <w:rsid w:val="00F704BF"/>
    <w:rsid w:val="00F705A1"/>
    <w:rsid w:val="00F76AC5"/>
    <w:rsid w:val="00F77C65"/>
    <w:rsid w:val="00F80DD4"/>
    <w:rsid w:val="00F836C5"/>
    <w:rsid w:val="00F852B1"/>
    <w:rsid w:val="00F856DB"/>
    <w:rsid w:val="00F8606F"/>
    <w:rsid w:val="00F86A27"/>
    <w:rsid w:val="00F90185"/>
    <w:rsid w:val="00F9172C"/>
    <w:rsid w:val="00F94691"/>
    <w:rsid w:val="00FA543A"/>
    <w:rsid w:val="00FA606B"/>
    <w:rsid w:val="00FA7CEC"/>
    <w:rsid w:val="00FB2FCB"/>
    <w:rsid w:val="00FB36E5"/>
    <w:rsid w:val="00FB5BCA"/>
    <w:rsid w:val="00FB68FD"/>
    <w:rsid w:val="00FC451C"/>
    <w:rsid w:val="00FC5095"/>
    <w:rsid w:val="00FC61E3"/>
    <w:rsid w:val="00FC6B85"/>
    <w:rsid w:val="00FD3B7D"/>
    <w:rsid w:val="00FD4EAD"/>
    <w:rsid w:val="00FD5BF1"/>
    <w:rsid w:val="00FD746A"/>
    <w:rsid w:val="00FE2ED9"/>
    <w:rsid w:val="00FE3B49"/>
    <w:rsid w:val="00FE564E"/>
    <w:rsid w:val="00FE6672"/>
    <w:rsid w:val="00FE727D"/>
    <w:rsid w:val="02756FE1"/>
    <w:rsid w:val="038340E9"/>
    <w:rsid w:val="039E3415"/>
    <w:rsid w:val="09547F28"/>
    <w:rsid w:val="0CAD0A7A"/>
    <w:rsid w:val="0CB57ECD"/>
    <w:rsid w:val="0DE53505"/>
    <w:rsid w:val="0E7877E0"/>
    <w:rsid w:val="10105551"/>
    <w:rsid w:val="104B0A9E"/>
    <w:rsid w:val="132A705C"/>
    <w:rsid w:val="13C16439"/>
    <w:rsid w:val="14B44A7E"/>
    <w:rsid w:val="14B46B18"/>
    <w:rsid w:val="14EE604C"/>
    <w:rsid w:val="15A45382"/>
    <w:rsid w:val="18FA3396"/>
    <w:rsid w:val="19FA3551"/>
    <w:rsid w:val="1A8144C9"/>
    <w:rsid w:val="1B2F6776"/>
    <w:rsid w:val="1B96016F"/>
    <w:rsid w:val="1BE86C96"/>
    <w:rsid w:val="1C33298F"/>
    <w:rsid w:val="1CD37C14"/>
    <w:rsid w:val="1EC17646"/>
    <w:rsid w:val="1F7F2E84"/>
    <w:rsid w:val="204E551C"/>
    <w:rsid w:val="20CB0EF1"/>
    <w:rsid w:val="21244C48"/>
    <w:rsid w:val="21E76998"/>
    <w:rsid w:val="232812DC"/>
    <w:rsid w:val="232963C1"/>
    <w:rsid w:val="27D24E53"/>
    <w:rsid w:val="2896676D"/>
    <w:rsid w:val="2B1A2FE1"/>
    <w:rsid w:val="2C0A4E3F"/>
    <w:rsid w:val="2C2202FE"/>
    <w:rsid w:val="312C177D"/>
    <w:rsid w:val="3297007E"/>
    <w:rsid w:val="36C96AD0"/>
    <w:rsid w:val="386F0EE0"/>
    <w:rsid w:val="391549E8"/>
    <w:rsid w:val="3BA82AE5"/>
    <w:rsid w:val="3BAF4E9E"/>
    <w:rsid w:val="3D9B3144"/>
    <w:rsid w:val="3E0C7AAA"/>
    <w:rsid w:val="3E960727"/>
    <w:rsid w:val="413F48BA"/>
    <w:rsid w:val="42157AA4"/>
    <w:rsid w:val="42790B4E"/>
    <w:rsid w:val="428F7D59"/>
    <w:rsid w:val="42FD2BF7"/>
    <w:rsid w:val="43EC172B"/>
    <w:rsid w:val="44781444"/>
    <w:rsid w:val="45A57CDC"/>
    <w:rsid w:val="47A203BC"/>
    <w:rsid w:val="49AA29F7"/>
    <w:rsid w:val="49BA4107"/>
    <w:rsid w:val="49E601CE"/>
    <w:rsid w:val="4A521D79"/>
    <w:rsid w:val="4A82441A"/>
    <w:rsid w:val="4BA140A0"/>
    <w:rsid w:val="4D97019E"/>
    <w:rsid w:val="4E8C6112"/>
    <w:rsid w:val="4ED748C7"/>
    <w:rsid w:val="4FC56E9F"/>
    <w:rsid w:val="508A7186"/>
    <w:rsid w:val="510E120B"/>
    <w:rsid w:val="512838AF"/>
    <w:rsid w:val="526C508D"/>
    <w:rsid w:val="52B42C76"/>
    <w:rsid w:val="53202D9C"/>
    <w:rsid w:val="54367B35"/>
    <w:rsid w:val="55645DD4"/>
    <w:rsid w:val="55E30A84"/>
    <w:rsid w:val="56427575"/>
    <w:rsid w:val="5691418E"/>
    <w:rsid w:val="56D352FA"/>
    <w:rsid w:val="5929513C"/>
    <w:rsid w:val="5B4F23A7"/>
    <w:rsid w:val="5E3A10B7"/>
    <w:rsid w:val="5E775E5E"/>
    <w:rsid w:val="60734456"/>
    <w:rsid w:val="60B63CA2"/>
    <w:rsid w:val="61FE2114"/>
    <w:rsid w:val="625D4CB6"/>
    <w:rsid w:val="64952CEF"/>
    <w:rsid w:val="65B02098"/>
    <w:rsid w:val="689F3167"/>
    <w:rsid w:val="691C0118"/>
    <w:rsid w:val="69F3773F"/>
    <w:rsid w:val="6BEE5DCB"/>
    <w:rsid w:val="6C3E478A"/>
    <w:rsid w:val="6C5D48BC"/>
    <w:rsid w:val="6CEF47DB"/>
    <w:rsid w:val="6D0C7F51"/>
    <w:rsid w:val="6EF57D5A"/>
    <w:rsid w:val="6F0205AD"/>
    <w:rsid w:val="6F161FC9"/>
    <w:rsid w:val="6F7D0B95"/>
    <w:rsid w:val="6FEF058D"/>
    <w:rsid w:val="71212EFE"/>
    <w:rsid w:val="71490E75"/>
    <w:rsid w:val="72B15CE6"/>
    <w:rsid w:val="730F6202"/>
    <w:rsid w:val="73A57DD2"/>
    <w:rsid w:val="74BB486A"/>
    <w:rsid w:val="75906ACB"/>
    <w:rsid w:val="76771402"/>
    <w:rsid w:val="77721495"/>
    <w:rsid w:val="77EB207D"/>
    <w:rsid w:val="7A4E5508"/>
    <w:rsid w:val="7A6005AE"/>
    <w:rsid w:val="7AAF45B2"/>
    <w:rsid w:val="7ABD3D2A"/>
    <w:rsid w:val="7AD71C36"/>
    <w:rsid w:val="7CD41068"/>
    <w:rsid w:val="7DC25F95"/>
    <w:rsid w:val="7DDC6548"/>
    <w:rsid w:val="7F24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kern w:val="0"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  <w:rPr>
      <w:rFonts w:ascii="等线" w:hAnsi="等线" w:eastAsia="等线" w:cs="Times New Roman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paragraph" w:styleId="12">
    <w:name w:val="annotation subject"/>
    <w:basedOn w:val="6"/>
    <w:next w:val="6"/>
    <w:link w:val="25"/>
    <w:semiHidden/>
    <w:unhideWhenUsed/>
    <w:qFormat/>
    <w:uiPriority w:val="99"/>
    <w:rPr>
      <w:rFonts w:asciiTheme="minorHAnsi" w:hAnsiTheme="minorHAnsi" w:eastAsiaTheme="minorEastAsia" w:cstheme="minorBidi"/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line number"/>
    <w:basedOn w:val="15"/>
    <w:semiHidden/>
    <w:unhideWhenUsed/>
    <w:qFormat/>
    <w:uiPriority w:val="99"/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annotation reference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21">
    <w:name w:val="Heading 3 Char"/>
    <w:basedOn w:val="15"/>
    <w:link w:val="4"/>
    <w:qFormat/>
    <w:uiPriority w:val="9"/>
    <w:rPr>
      <w:rFonts w:ascii="等线" w:hAnsi="等线" w:eastAsia="等线" w:cs="Times New Roman"/>
      <w:b/>
      <w:bCs/>
      <w:kern w:val="0"/>
      <w:sz w:val="32"/>
      <w:szCs w:val="32"/>
    </w:rPr>
  </w:style>
  <w:style w:type="character" w:customStyle="1" w:styleId="22">
    <w:name w:val="Heading 4 Char"/>
    <w:basedOn w:val="15"/>
    <w:link w:val="5"/>
    <w:qFormat/>
    <w:uiPriority w:val="9"/>
    <w:rPr>
      <w:rFonts w:ascii="等线 Light" w:hAnsi="等线 Light" w:eastAsia="等线 Light" w:cs="Times New Roman"/>
      <w:b/>
      <w:bCs/>
      <w:kern w:val="0"/>
      <w:sz w:val="28"/>
      <w:szCs w:val="28"/>
    </w:rPr>
  </w:style>
  <w:style w:type="character" w:customStyle="1" w:styleId="23">
    <w:name w:val="Balloon Text Char"/>
    <w:basedOn w:val="15"/>
    <w:link w:val="7"/>
    <w:semiHidden/>
    <w:qFormat/>
    <w:uiPriority w:val="99"/>
    <w:rPr>
      <w:sz w:val="18"/>
      <w:szCs w:val="18"/>
    </w:rPr>
  </w:style>
  <w:style w:type="character" w:customStyle="1" w:styleId="24">
    <w:name w:val="Comment Text Char"/>
    <w:basedOn w:val="15"/>
    <w:link w:val="6"/>
    <w:semiHidden/>
    <w:qFormat/>
    <w:uiPriority w:val="99"/>
    <w:rPr>
      <w:rFonts w:ascii="等线" w:hAnsi="等线" w:eastAsia="等线" w:cs="Times New Roman"/>
    </w:rPr>
  </w:style>
  <w:style w:type="character" w:customStyle="1" w:styleId="25">
    <w:name w:val="Comment Subject Char"/>
    <w:basedOn w:val="24"/>
    <w:link w:val="12"/>
    <w:semiHidden/>
    <w:qFormat/>
    <w:uiPriority w:val="99"/>
    <w:rPr>
      <w:rFonts w:ascii="等线" w:hAnsi="等线" w:eastAsia="等线" w:cs="Times New Roman"/>
      <w:b/>
      <w:bCs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Revision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28">
    <w:name w:val="Placeholder Text"/>
    <w:basedOn w:val="15"/>
    <w:semiHidden/>
    <w:qFormat/>
    <w:uiPriority w:val="99"/>
    <w:rPr>
      <w:color w:val="808080"/>
    </w:rPr>
  </w:style>
  <w:style w:type="character" w:customStyle="1" w:styleId="29">
    <w:name w:val="Unresolved Mention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Heading 1 Char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1">
    <w:name w:val="Heading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Paragraph 字符"/>
    <w:basedOn w:val="15"/>
    <w:link w:val="33"/>
    <w:qFormat/>
    <w:locked/>
    <w:uiPriority w:val="0"/>
    <w:rPr>
      <w:rFonts w:ascii="Times New Roman" w:hAnsi="Times New Roman" w:eastAsia="Times New Roman" w:cs="Times New Roman"/>
    </w:rPr>
  </w:style>
  <w:style w:type="paragraph" w:customStyle="1" w:styleId="33">
    <w:name w:val="Paragraph"/>
    <w:basedOn w:val="1"/>
    <w:link w:val="32"/>
    <w:qFormat/>
    <w:uiPriority w:val="0"/>
    <w:pPr>
      <w:widowControl/>
      <w:spacing w:before="120"/>
      <w:ind w:firstLine="720"/>
      <w:jc w:val="left"/>
    </w:pPr>
    <w:rPr>
      <w:rFonts w:ascii="Times New Roman" w:hAnsi="Times New Roman" w:eastAsia="Times New Roman" w:cs="Times New Roman"/>
    </w:rPr>
  </w:style>
  <w:style w:type="character" w:customStyle="1" w:styleId="34">
    <w:name w:val="Header Char"/>
    <w:basedOn w:val="15"/>
    <w:link w:val="9"/>
    <w:qFormat/>
    <w:uiPriority w:val="99"/>
    <w:rPr>
      <w:sz w:val="18"/>
      <w:szCs w:val="18"/>
    </w:rPr>
  </w:style>
  <w:style w:type="character" w:customStyle="1" w:styleId="35">
    <w:name w:val="Footer Char"/>
    <w:basedOn w:val="15"/>
    <w:link w:val="8"/>
    <w:qFormat/>
    <w:uiPriority w:val="99"/>
    <w:rPr>
      <w:sz w:val="18"/>
      <w:szCs w:val="18"/>
    </w:rPr>
  </w:style>
  <w:style w:type="character" w:customStyle="1" w:styleId="36">
    <w:name w:val="Footnote Text Char"/>
    <w:basedOn w:val="15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Unresolved Mention2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MDPI_3.5_text_before_list"/>
    <w:basedOn w:val="1"/>
    <w:qFormat/>
    <w:uiPriority w:val="0"/>
    <w:pPr>
      <w:widowControl/>
      <w:adjustRightInd w:val="0"/>
      <w:snapToGrid w:val="0"/>
      <w:spacing w:after="120" w:line="260" w:lineRule="atLeast"/>
      <w:ind w:firstLine="425"/>
    </w:pPr>
    <w:rPr>
      <w:rFonts w:ascii="Palatino Linotype" w:hAnsi="Palatino Linotype" w:eastAsia="Times New Roman" w:cs="Times New Roman"/>
      <w:snapToGrid w:val="0"/>
      <w:color w:val="000000"/>
      <w:kern w:val="0"/>
      <w:sz w:val="20"/>
      <w:lang w:eastAsia="de-DE" w:bidi="en-US"/>
    </w:rPr>
  </w:style>
  <w:style w:type="paragraph" w:customStyle="1" w:styleId="39">
    <w:name w:val="MDPI_4.1_table_caption"/>
    <w:basedOn w:val="1"/>
    <w:qFormat/>
    <w:uiPriority w:val="0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hAnsi="Palatino Linotype" w:eastAsia="Times New Roman" w:cs="Times New Roman"/>
      <w:color w:val="000000"/>
      <w:kern w:val="0"/>
      <w:sz w:val="18"/>
      <w:lang w:eastAsia="de-DE" w:bidi="en-US"/>
    </w:rPr>
  </w:style>
  <w:style w:type="paragraph" w:customStyle="1" w:styleId="40">
    <w:name w:val="MDPI_4.2_table_body"/>
    <w:qFormat/>
    <w:uiPriority w:val="0"/>
    <w:pPr>
      <w:adjustRightInd w:val="0"/>
      <w:snapToGrid w:val="0"/>
      <w:spacing w:line="260" w:lineRule="atLeast"/>
      <w:jc w:val="center"/>
    </w:pPr>
    <w:rPr>
      <w:rFonts w:ascii="Palatino Linotype" w:hAnsi="Palatino Linotype" w:eastAsia="Times New Roman" w:cs="Times New Roman"/>
      <w:snapToGrid w:val="0"/>
      <w:color w:val="000000"/>
      <w:lang w:val="en-US" w:eastAsia="de-DE" w:bidi="en-US"/>
    </w:rPr>
  </w:style>
  <w:style w:type="paragraph" w:customStyle="1" w:styleId="4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2">
    <w:name w:val="result-text-hl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EE1C-8F46-4D4E-9AD7-9677E8357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781</Words>
  <Characters>4762</Characters>
  <Lines>473</Lines>
  <Paragraphs>133</Paragraphs>
  <TotalTime>13</TotalTime>
  <ScaleCrop>false</ScaleCrop>
  <LinksUpToDate>false</LinksUpToDate>
  <CharactersWithSpaces>5202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2019-11-22T01:55:00Z</dcterms:created>
  <dc:creator>admin</dc:creator>
  <cp:lastModifiedBy>chzhiy7</cp:lastModifiedBy>
  <dcterms:modified xsi:type="dcterms:W3CDTF">2023-08-25T13:30:32Z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BAD0E0041AA64A6DAFB88844744ACB1E</vt:lpwstr>
  </property>
</Properties>
</file>