
<file path=[Content_Types].xml><?xml version="1.0" encoding="utf-8"?>
<Types xmlns="http://schemas.openxmlformats.org/package/2006/content-types">
  <Default Extension="xml" ContentType="application/xml"/>
  <Default Extension="tiff" ContentType="image/tif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071745" cy="8863330"/>
            <wp:effectExtent l="0" t="0" r="0" b="0"/>
            <wp:docPr id="11703303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30325" name="图片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71745" cy="886333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S1. The MEGENA network showing the two largest gene modules (A, C1_2; B, C1_3) generated by Cytoscape. Darker colors and larger sizes represent larger degree values for nodes.</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3676650"/>
            <wp:effectExtent l="0" t="0" r="2540" b="0"/>
            <wp:docPr id="10415015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501511" name="图片 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67665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S2. The consensus score matrix of all samples when k = 2-6 (Merged cohort).</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1440815"/>
            <wp:effectExtent l="0" t="0" r="2540" b="6985"/>
            <wp:docPr id="11684228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22842" name="图片 4"/>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1440815"/>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S3. UMAP (A) and pie (B) plots showing the tissue origin of keratinocytes, respectively.</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2337435"/>
            <wp:effectExtent l="0" t="0" r="2540" b="5715"/>
            <wp:docPr id="11670626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062678" name="图片 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2337435"/>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 xml:space="preserve">Figrue S4. UMAP (A) and violin (B) plots showing the expression level of </w:t>
      </w:r>
      <w:r>
        <w:rPr>
          <w:rFonts w:ascii="Times New Roman" w:hAnsi="Times New Roman" w:cs="Times New Roman"/>
          <w:i/>
          <w:iCs/>
          <w:sz w:val="24"/>
        </w:rPr>
        <w:t xml:space="preserve">KRT1/10/16/17 </w:t>
      </w:r>
      <w:r>
        <w:rPr>
          <w:rFonts w:ascii="Times New Roman" w:hAnsi="Times New Roman" w:cs="Times New Roman"/>
          <w:sz w:val="24"/>
        </w:rPr>
        <w:t>in all keratinocytes at the single cell level.</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2517140"/>
            <wp:effectExtent l="0" t="0" r="2540" b="0"/>
            <wp:docPr id="182146905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469050" name="图片 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251714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S5. Enrichment analysis for Cluster 1 (A) and Cluster 2 (B).</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5764530"/>
            <wp:effectExtent l="0" t="0" r="2540" b="7620"/>
            <wp:docPr id="19347581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758160" name="图片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576453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S6. scMetabolism estimates the metabolic level of each keratinocyte based on the KEGG database. Bubble plots showing the activity of all metabolic pathways and UMAP plots showing the activity of glycolysis, TCA cycle, sulfur metabolism and fatty acid biosynthesis in different keratinocyte clusters.</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7169785"/>
            <wp:effectExtent l="0" t="0" r="2540" b="0"/>
            <wp:docPr id="182747856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78563"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74310" cy="7169785"/>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 xml:space="preserve">Figure S7. Volcano plots showing the differential genes after perturbing the target genes in each dataset and bubble diagram showing the corresponding function enrichment. </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1977390"/>
            <wp:effectExtent l="0" t="0" r="2540" b="3810"/>
            <wp:docPr id="127762798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27982" name="图片 9"/>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97739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w:t>
      </w:r>
      <w:r>
        <w:rPr>
          <w:rFonts w:hint="eastAsia" w:ascii="Times New Roman" w:hAnsi="Times New Roman" w:cs="Times New Roman"/>
          <w:sz w:val="24"/>
          <w:lang w:val="en-US" w:eastAsia="zh-CN"/>
        </w:rPr>
        <w:t>8</w:t>
      </w:r>
      <w:r>
        <w:rPr>
          <w:rFonts w:ascii="Times New Roman" w:hAnsi="Times New Roman" w:cs="Times New Roman"/>
          <w:sz w:val="24"/>
        </w:rPr>
        <w:t>. Scatter plot demonstrating the correlation between RHCG and pbgenes in normal (A) and psoriasis (B) samples.</w:t>
      </w:r>
    </w:p>
    <w:p>
      <w:pPr>
        <w:spacing w:line="360" w:lineRule="auto"/>
        <w:rPr>
          <w:rFonts w:ascii="Times New Roman" w:hAnsi="Times New Roman" w:cs="Times New Roman"/>
          <w:sz w:val="24"/>
        </w:rPr>
      </w:pPr>
      <w:r>
        <w:rPr>
          <w:rFonts w:ascii="Times New Roman" w:hAnsi="Times New Roman" w:cs="Times New Roman"/>
          <w:sz w:val="24"/>
        </w:rPr>
        <w:drawing>
          <wp:inline distT="0" distB="0" distL="0" distR="0">
            <wp:extent cx="5274310" cy="1471930"/>
            <wp:effectExtent l="0" t="0" r="2540" b="13970"/>
            <wp:docPr id="14643183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318361" name="图片 10"/>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47193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w:t>
      </w:r>
      <w:r>
        <w:rPr>
          <w:rFonts w:hint="eastAsia" w:ascii="Times New Roman" w:hAnsi="Times New Roman" w:cs="Times New Roman"/>
          <w:sz w:val="24"/>
          <w:lang w:val="en-US" w:eastAsia="zh-CN"/>
        </w:rPr>
        <w:t>9</w:t>
      </w:r>
      <w:r>
        <w:rPr>
          <w:rFonts w:ascii="Times New Roman" w:hAnsi="Times New Roman" w:cs="Times New Roman"/>
          <w:sz w:val="24"/>
        </w:rPr>
        <w:t>. Scatter plot demonstrating the correlation between RHCG and DC cell maturation markers (LAMP3 and LY75).</w:t>
      </w:r>
      <w:bookmarkStart w:id="0" w:name="_GoBack"/>
      <w:bookmarkEnd w:id="0"/>
    </w:p>
    <w:p>
      <w:pPr>
        <w:spacing w:line="360" w:lineRule="auto"/>
        <w:rPr>
          <w:rFonts w:ascii="Times New Roman" w:hAnsi="Times New Roman" w:cs="Times New Roman"/>
          <w:sz w:val="24"/>
        </w:rPr>
      </w:pPr>
      <w:r>
        <w:rPr>
          <w:sz w:val="16"/>
          <w:szCs w:val="16"/>
        </w:rPr>
        <w:drawing>
          <wp:inline distT="0" distB="0" distL="0" distR="0">
            <wp:extent cx="5274310" cy="7192010"/>
            <wp:effectExtent l="0" t="0" r="2540" b="8890"/>
            <wp:docPr id="12177222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22291" name="图片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7192010"/>
                    </a:xfrm>
                    <a:prstGeom prst="rect">
                      <a:avLst/>
                    </a:prstGeom>
                  </pic:spPr>
                </pic:pic>
              </a:graphicData>
            </a:graphic>
          </wp:inline>
        </w:drawing>
      </w:r>
    </w:p>
    <w:p>
      <w:pPr>
        <w:spacing w:line="360" w:lineRule="auto"/>
        <w:rPr>
          <w:rFonts w:ascii="Times New Roman" w:hAnsi="Times New Roman" w:cs="Times New Roman"/>
          <w:sz w:val="24"/>
        </w:rPr>
      </w:pPr>
      <w:r>
        <w:rPr>
          <w:rFonts w:ascii="Times New Roman" w:hAnsi="Times New Roman" w:cs="Times New Roman"/>
          <w:sz w:val="24"/>
        </w:rPr>
        <w:t>Figure S10.</w:t>
      </w:r>
      <w:r>
        <w:rPr>
          <w:rFonts w:hint="eastAsia" w:ascii="Times New Roman" w:hAnsi="Times New Roman" w:cs="Times New Roman"/>
          <w:sz w:val="24"/>
        </w:rPr>
        <w:t xml:space="preserve"> </w:t>
      </w:r>
      <w:r>
        <w:rPr>
          <w:rFonts w:ascii="Times New Roman" w:hAnsi="Times New Roman" w:cs="Times New Roman"/>
          <w:sz w:val="24"/>
        </w:rPr>
        <w:t xml:space="preserve">Network pharmacological analysis of </w:t>
      </w:r>
      <w:r>
        <w:rPr>
          <w:rFonts w:hint="eastAsia" w:ascii="Times New Roman" w:hAnsi="Times New Roman" w:cs="Times New Roman"/>
          <w:sz w:val="24"/>
        </w:rPr>
        <w:t xml:space="preserve">CR and TR. (A-B) </w:t>
      </w:r>
      <w:r>
        <w:rPr>
          <w:rFonts w:ascii="Times New Roman" w:hAnsi="Times New Roman" w:cs="Times New Roman"/>
          <w:sz w:val="24"/>
        </w:rPr>
        <w:t>Drug- key compounds- hub targets-pathways network</w:t>
      </w:r>
      <w:r>
        <w:rPr>
          <w:rFonts w:hint="eastAsia" w:ascii="Times New Roman" w:hAnsi="Times New Roman" w:cs="Times New Roman"/>
          <w:sz w:val="24"/>
        </w:rPr>
        <w:t xml:space="preserve"> for CR (A) and TR (B)</w:t>
      </w:r>
      <w:r>
        <w:rPr>
          <w:rFonts w:ascii="Times New Roman" w:hAnsi="Times New Roman" w:cs="Times New Roman"/>
          <w:sz w:val="24"/>
        </w:rPr>
        <w:t>.</w:t>
      </w:r>
      <w:r>
        <w:rPr>
          <w:rFonts w:hint="eastAsia" w:ascii="Times New Roman" w:hAnsi="Times New Roman" w:cs="Times New Roman"/>
          <w:sz w:val="24"/>
        </w:rPr>
        <w:t xml:space="preserve"> </w:t>
      </w:r>
      <w:r>
        <w:rPr>
          <w:rFonts w:ascii="Times New Roman" w:hAnsi="Times New Roman" w:cs="Times New Roman"/>
          <w:sz w:val="24"/>
        </w:rPr>
        <w:t>The node size for each hub gene represents the relative hubness, and connection color indicates both the direction and degree of correlation with other hub genes.</w:t>
      </w:r>
      <w:r>
        <w:rPr>
          <w:rFonts w:hint="eastAsia" w:ascii="Times New Roman" w:hAnsi="Times New Roman" w:cs="Times New Roman"/>
          <w:sz w:val="24"/>
        </w:rPr>
        <w:t xml:space="preserve"> (</w:t>
      </w:r>
      <w:r>
        <w:rPr>
          <w:rFonts w:ascii="Times New Roman" w:hAnsi="Times New Roman" w:cs="Times New Roman"/>
          <w:sz w:val="24"/>
        </w:rPr>
        <w:t>C</w:t>
      </w:r>
      <w:r>
        <w:rPr>
          <w:rFonts w:hint="eastAsia" w:ascii="Times New Roman" w:hAnsi="Times New Roman" w:cs="Times New Roman"/>
          <w:sz w:val="24"/>
        </w:rPr>
        <w:t>)</w:t>
      </w:r>
      <w:r>
        <w:rPr>
          <w:rFonts w:ascii="Times New Roman" w:hAnsi="Times New Roman" w:cs="Times New Roman"/>
          <w:sz w:val="24"/>
        </w:rPr>
        <w:t xml:space="preserve"> Bar Plot displaying the most enriched </w:t>
      </w:r>
      <w:r>
        <w:rPr>
          <w:rFonts w:hint="eastAsia" w:ascii="Times New Roman" w:hAnsi="Times New Roman" w:cs="Times New Roman"/>
          <w:sz w:val="24"/>
        </w:rPr>
        <w:t>GO</w:t>
      </w:r>
      <w:r>
        <w:rPr>
          <w:rFonts w:ascii="Times New Roman" w:hAnsi="Times New Roman" w:cs="Times New Roman"/>
          <w:sz w:val="24"/>
        </w:rPr>
        <w:t xml:space="preserve"> </w:t>
      </w:r>
      <w:r>
        <w:rPr>
          <w:rFonts w:hint="eastAsia" w:ascii="Times New Roman" w:hAnsi="Times New Roman" w:cs="Times New Roman"/>
          <w:sz w:val="24"/>
        </w:rPr>
        <w:t xml:space="preserve">(including </w:t>
      </w:r>
      <w:r>
        <w:rPr>
          <w:rFonts w:ascii="Times New Roman" w:hAnsi="Times New Roman" w:cs="Times New Roman"/>
          <w:sz w:val="24"/>
        </w:rPr>
        <w:t>Biological processes</w:t>
      </w:r>
      <w:r>
        <w:rPr>
          <w:rFonts w:hint="eastAsia" w:ascii="Times New Roman" w:hAnsi="Times New Roman" w:cs="Times New Roman"/>
          <w:sz w:val="24"/>
        </w:rPr>
        <w:t xml:space="preserve">, </w:t>
      </w:r>
      <w:r>
        <w:rPr>
          <w:rFonts w:ascii="Times New Roman" w:hAnsi="Times New Roman" w:cs="Times New Roman"/>
          <w:sz w:val="24"/>
        </w:rPr>
        <w:t>Cellular components</w:t>
      </w:r>
      <w:r>
        <w:rPr>
          <w:rFonts w:hint="eastAsia" w:ascii="Times New Roman" w:hAnsi="Times New Roman" w:cs="Times New Roman"/>
          <w:sz w:val="24"/>
        </w:rPr>
        <w:t xml:space="preserve">, and </w:t>
      </w:r>
      <w:r>
        <w:rPr>
          <w:rFonts w:ascii="Times New Roman" w:hAnsi="Times New Roman" w:cs="Times New Roman"/>
          <w:sz w:val="24"/>
        </w:rPr>
        <w:t>Molecular function</w:t>
      </w:r>
      <w:r>
        <w:rPr>
          <w:rFonts w:hint="eastAsia" w:ascii="Times New Roman" w:hAnsi="Times New Roman" w:cs="Times New Roman"/>
          <w:sz w:val="24"/>
        </w:rPr>
        <w:t xml:space="preserve">) </w:t>
      </w:r>
      <w:r>
        <w:rPr>
          <w:rFonts w:ascii="Times New Roman" w:hAnsi="Times New Roman" w:cs="Times New Roman"/>
          <w:sz w:val="24"/>
        </w:rPr>
        <w:t xml:space="preserve">and KEGG terms. </w:t>
      </w:r>
      <w:r>
        <w:rPr>
          <w:rFonts w:hint="eastAsia" w:ascii="Times New Roman" w:hAnsi="Times New Roman" w:cs="Times New Roman"/>
          <w:sz w:val="24"/>
        </w:rPr>
        <w:t>(D-E) Gene list intersection among TR targets, CR targets, and DEGs in merged GEO dataset.</w:t>
      </w:r>
    </w:p>
    <w:p>
      <w:pPr>
        <w:spacing w:line="360" w:lineRule="auto"/>
        <w:rPr>
          <w:rFonts w:ascii="Times New Roman" w:hAnsi="Times New Roman" w:cs="Times New Roman"/>
          <w:sz w:val="24"/>
        </w:rPr>
      </w:pPr>
    </w:p>
    <w:p>
      <w:pPr>
        <w:spacing w:line="360" w:lineRule="auto"/>
        <w:jc w:val="center"/>
        <w:rPr>
          <w:rFonts w:ascii="Times New Roman" w:hAnsi="Times New Roman" w:cs="Times New Roman"/>
          <w:sz w:val="24"/>
        </w:rPr>
      </w:pPr>
    </w:p>
    <w:p>
      <w:pPr>
        <w:spacing w:line="360" w:lineRule="auto"/>
        <w:rPr>
          <w:rFonts w:ascii="Times New Roman" w:hAnsi="Times New Roman" w:cs="Times New Roman"/>
          <w:sz w:val="24"/>
        </w:rPr>
      </w:pPr>
      <w:r>
        <w:drawing>
          <wp:inline distT="0" distB="0" distL="0" distR="0">
            <wp:extent cx="5274310" cy="3162935"/>
            <wp:effectExtent l="0" t="0" r="2540" b="0"/>
            <wp:docPr id="247529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529287"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74310" cy="3162935"/>
                    </a:xfrm>
                    <a:prstGeom prst="rect">
                      <a:avLst/>
                    </a:prstGeom>
                    <a:noFill/>
                    <a:ln>
                      <a:noFill/>
                    </a:ln>
                  </pic:spPr>
                </pic:pic>
              </a:graphicData>
            </a:graphic>
          </wp:inline>
        </w:drawing>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r>
        <w:rPr>
          <w:rFonts w:ascii="Times New Roman" w:hAnsi="Times New Roman" w:cs="Times New Roman"/>
          <w:sz w:val="24"/>
        </w:rPr>
        <w:t>Figure S1</w:t>
      </w:r>
      <w:r>
        <w:rPr>
          <w:rFonts w:hint="eastAsia" w:ascii="Times New Roman" w:hAnsi="Times New Roman" w:cs="Times New Roman"/>
          <w:sz w:val="24"/>
        </w:rPr>
        <w:t>1. Immunofluorescence intensities showing NFKB2, TRPV3, and YAP1 expression across different intervention conditions (n = 4). One-way ANOVA was conducted. *P &lt; 0.05, **P &lt; 0.01, ****P &lt; 0.0001. Model, imiquimod; Low dose, 0.585 g/kg/day; medium dose, 1.17 g/kg/day; high dose, 2.34 g/kg/day.</w:t>
      </w: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spacing w:line="360" w:lineRule="auto"/>
        <w:rPr>
          <w:rFonts w:ascii="Times New Roman" w:hAnsi="Times New Roman" w:cs="Times New Roman"/>
          <w:sz w:val="24"/>
        </w:rPr>
      </w:pPr>
    </w:p>
    <w:p>
      <w:pPr>
        <w:pStyle w:val="2"/>
        <w:tabs>
          <w:tab w:val="left" w:pos="567"/>
        </w:tabs>
        <w:ind w:left="567" w:hanging="567"/>
      </w:pPr>
      <w:r>
        <w:t>Supplementary</w:t>
      </w:r>
      <w:r>
        <w:rPr>
          <w:rFonts w:hint="eastAsia"/>
        </w:rPr>
        <w:t xml:space="preserve"> </w:t>
      </w:r>
      <w:r>
        <w:t>Table 1</w:t>
      </w:r>
    </w:p>
    <w:tbl>
      <w:tblPr>
        <w:tblStyle w:val="9"/>
        <w:tblW w:w="90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2"/>
        <w:gridCol w:w="4294"/>
        <w:gridCol w:w="1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Antibodies and Reagents</w:t>
            </w:r>
          </w:p>
        </w:tc>
        <w:tc>
          <w:tcPr>
            <w:tcW w:w="4294" w:type="dxa"/>
          </w:tcPr>
          <w:p>
            <w:pPr>
              <w:rPr>
                <w:rFonts w:ascii="Times New Roman" w:hAnsi="Times New Roman" w:eastAsia="宋体" w:cs="Times New Roman"/>
              </w:rPr>
            </w:pPr>
            <w:r>
              <w:rPr>
                <w:rFonts w:ascii="Times New Roman" w:hAnsi="Times New Roman" w:eastAsia="宋体" w:cs="Times New Roman"/>
              </w:rPr>
              <w:t>Manufacturer, Country, C</w:t>
            </w:r>
            <w:r>
              <w:rPr>
                <w:rFonts w:hint="eastAsia" w:ascii="Times New Roman" w:hAnsi="Times New Roman" w:eastAsia="宋体" w:cs="Times New Roman"/>
              </w:rPr>
              <w:t>at</w:t>
            </w:r>
            <w:r>
              <w:rPr>
                <w:rFonts w:ascii="Times New Roman" w:hAnsi="Times New Roman" w:eastAsia="宋体" w:cs="Times New Roman"/>
              </w:rPr>
              <w:t xml:space="preserve"> number</w:t>
            </w:r>
          </w:p>
        </w:tc>
        <w:tc>
          <w:tcPr>
            <w:tcW w:w="1524" w:type="dxa"/>
          </w:tcPr>
          <w:p>
            <w:pPr>
              <w:rPr>
                <w:rFonts w:ascii="Times New Roman" w:hAnsi="Times New Roman" w:eastAsia="宋体" w:cs="Times New Roman"/>
              </w:rPr>
            </w:pPr>
            <w:r>
              <w:rPr>
                <w:rFonts w:ascii="Times New Roman" w:hAnsi="Times New Roman" w:eastAsia="宋体" w:cs="Times New Roman"/>
              </w:rPr>
              <w:t>Concentration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KRT1 monoclonal antibody</w:t>
            </w:r>
          </w:p>
        </w:tc>
        <w:tc>
          <w:tcPr>
            <w:tcW w:w="4294" w:type="dxa"/>
          </w:tcPr>
          <w:p>
            <w:pPr>
              <w:rPr>
                <w:rFonts w:ascii="Times New Roman" w:hAnsi="Times New Roman" w:eastAsia="宋体" w:cs="Times New Roman"/>
              </w:rPr>
            </w:pPr>
            <w:r>
              <w:rPr>
                <w:rFonts w:ascii="Times New Roman" w:hAnsi="Times New Roman" w:eastAsia="宋体" w:cs="Times New Roman"/>
              </w:rPr>
              <w:t>Abnova, US, #H00003848-M01</w:t>
            </w:r>
          </w:p>
        </w:tc>
        <w:tc>
          <w:tcPr>
            <w:tcW w:w="1524" w:type="dxa"/>
          </w:tcPr>
          <w:p>
            <w:pPr>
              <w:rPr>
                <w:rFonts w:ascii="Times New Roman" w:hAnsi="Times New Roman" w:eastAsia="宋体" w:cs="Times New Roman"/>
              </w:rPr>
            </w:pPr>
            <w:r>
              <w:rPr>
                <w:rFonts w:ascii="Times New Roman" w:hAnsi="Times New Roman" w:eastAsia="宋体" w:cs="Times New Roman"/>
              </w:rPr>
              <w:t>IF 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KRT17 monoclonal antibody</w:t>
            </w:r>
          </w:p>
        </w:tc>
        <w:tc>
          <w:tcPr>
            <w:tcW w:w="4294" w:type="dxa"/>
          </w:tcPr>
          <w:p>
            <w:pPr>
              <w:rPr>
                <w:rFonts w:ascii="Times New Roman" w:hAnsi="Times New Roman" w:eastAsia="宋体" w:cs="Times New Roman"/>
              </w:rPr>
            </w:pPr>
            <w:r>
              <w:rPr>
                <w:rFonts w:ascii="Times New Roman" w:hAnsi="Times New Roman" w:eastAsia="宋体" w:cs="Times New Roman"/>
              </w:rPr>
              <w:t>Abnova, US, #MAB11306</w:t>
            </w:r>
          </w:p>
        </w:tc>
        <w:tc>
          <w:tcPr>
            <w:tcW w:w="1524" w:type="dxa"/>
          </w:tcPr>
          <w:p>
            <w:pPr>
              <w:rPr>
                <w:rFonts w:ascii="Times New Roman" w:hAnsi="Times New Roman" w:eastAsia="宋体" w:cs="Times New Roman"/>
              </w:rPr>
            </w:pPr>
            <w:r>
              <w:rPr>
                <w:rFonts w:ascii="Times New Roman" w:hAnsi="Times New Roman" w:eastAsia="宋体" w:cs="Times New Roman"/>
              </w:rPr>
              <w:t>IF 1:100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RHCG Polyclonal Antibody</w:t>
            </w:r>
          </w:p>
        </w:tc>
        <w:tc>
          <w:tcPr>
            <w:tcW w:w="4294" w:type="dxa"/>
          </w:tcPr>
          <w:p>
            <w:pPr>
              <w:rPr>
                <w:rFonts w:ascii="Times New Roman" w:hAnsi="Times New Roman" w:eastAsia="宋体" w:cs="Times New Roman"/>
              </w:rPr>
            </w:pPr>
            <w:r>
              <w:rPr>
                <w:rFonts w:ascii="Times New Roman" w:hAnsi="Times New Roman" w:eastAsia="宋体" w:cs="Times New Roman"/>
              </w:rPr>
              <w:t>Thermo Fisher Scientific, US, # PA5-59767</w:t>
            </w:r>
          </w:p>
        </w:tc>
        <w:tc>
          <w:tcPr>
            <w:tcW w:w="1524" w:type="dxa"/>
          </w:tcPr>
          <w:p>
            <w:pPr>
              <w:rPr>
                <w:rFonts w:ascii="Times New Roman" w:hAnsi="Times New Roman" w:eastAsia="宋体" w:cs="Times New Roman"/>
              </w:rPr>
            </w:pPr>
            <w:r>
              <w:rPr>
                <w:rFonts w:ascii="Times New Roman" w:hAnsi="Times New Roman" w:eastAsia="宋体" w:cs="Times New Roman"/>
              </w:rPr>
              <w:t>IF 1:200</w:t>
            </w:r>
          </w:p>
          <w:p>
            <w:pPr>
              <w:rPr>
                <w:rFonts w:ascii="Times New Roman" w:hAnsi="Times New Roman" w:eastAsia="宋体" w:cs="Times New Roman"/>
              </w:rPr>
            </w:pPr>
            <w:r>
              <w:rPr>
                <w:rFonts w:ascii="Times New Roman" w:hAnsi="Times New Roman" w:eastAsia="宋体" w:cs="Times New Roman"/>
              </w:rPr>
              <w:t>WB 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Hopx Polyclonal Antibody</w:t>
            </w:r>
          </w:p>
        </w:tc>
        <w:tc>
          <w:tcPr>
            <w:tcW w:w="4294" w:type="dxa"/>
          </w:tcPr>
          <w:p>
            <w:pPr>
              <w:rPr>
                <w:rFonts w:ascii="Times New Roman" w:hAnsi="Times New Roman" w:eastAsia="宋体" w:cs="Times New Roman"/>
              </w:rPr>
            </w:pPr>
            <w:r>
              <w:rPr>
                <w:rFonts w:ascii="Times New Roman" w:hAnsi="Times New Roman" w:eastAsia="宋体" w:cs="Times New Roman"/>
              </w:rPr>
              <w:t>Thermo Fisher Scientific, US, # PA5-90538</w:t>
            </w:r>
          </w:p>
        </w:tc>
        <w:tc>
          <w:tcPr>
            <w:tcW w:w="1524" w:type="dxa"/>
          </w:tcPr>
          <w:p>
            <w:pPr>
              <w:rPr>
                <w:rFonts w:ascii="Times New Roman" w:hAnsi="Times New Roman" w:eastAsia="宋体" w:cs="Times New Roman"/>
              </w:rPr>
            </w:pPr>
            <w:r>
              <w:rPr>
                <w:rFonts w:ascii="Times New Roman" w:hAnsi="Times New Roman" w:eastAsia="宋体" w:cs="Times New Roman"/>
              </w:rPr>
              <w:t>IF 1:100</w:t>
            </w:r>
          </w:p>
          <w:p>
            <w:pPr>
              <w:rPr>
                <w:rFonts w:ascii="Times New Roman" w:hAnsi="Times New Roman" w:eastAsia="宋体" w:cs="Times New Roman"/>
              </w:rPr>
            </w:pPr>
            <w:r>
              <w:rPr>
                <w:rFonts w:ascii="Times New Roman" w:hAnsi="Times New Roman" w:eastAsia="宋体" w:cs="Times New Roman"/>
              </w:rPr>
              <w:t>WB 1:1000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Anti-β-actin Mouse polyclonal Antibody</w:t>
            </w:r>
          </w:p>
        </w:tc>
        <w:tc>
          <w:tcPr>
            <w:tcW w:w="4294" w:type="dxa"/>
          </w:tcPr>
          <w:p>
            <w:pPr>
              <w:rPr>
                <w:rFonts w:ascii="Times New Roman" w:hAnsi="Times New Roman" w:eastAsia="宋体" w:cs="Times New Roman"/>
              </w:rPr>
            </w:pPr>
            <w:r>
              <w:rPr>
                <w:rFonts w:ascii="Times New Roman" w:hAnsi="Times New Roman" w:eastAsia="宋体" w:cs="Times New Roman"/>
              </w:rPr>
              <w:t>Proteintech, China, 20536-1-AP</w:t>
            </w:r>
          </w:p>
        </w:tc>
        <w:tc>
          <w:tcPr>
            <w:tcW w:w="1524" w:type="dxa"/>
          </w:tcPr>
          <w:p>
            <w:pPr>
              <w:rPr>
                <w:rFonts w:ascii="Times New Roman" w:hAnsi="Times New Roman" w:eastAsia="宋体" w:cs="Times New Roman"/>
              </w:rPr>
            </w:pPr>
            <w:r>
              <w:rPr>
                <w:rFonts w:ascii="Times New Roman" w:hAnsi="Times New Roman" w:eastAsia="宋体" w:cs="Times New Roman"/>
              </w:rPr>
              <w:t>WB 1:5000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HE staining kit</w:t>
            </w:r>
          </w:p>
        </w:tc>
        <w:tc>
          <w:tcPr>
            <w:tcW w:w="4294" w:type="dxa"/>
          </w:tcPr>
          <w:p>
            <w:pPr>
              <w:rPr>
                <w:rFonts w:ascii="Times New Roman" w:hAnsi="Times New Roman" w:eastAsia="宋体" w:cs="Times New Roman"/>
              </w:rPr>
            </w:pPr>
            <w:r>
              <w:rPr>
                <w:rFonts w:ascii="Times New Roman" w:hAnsi="Times New Roman" w:eastAsia="宋体" w:cs="Times New Roman"/>
              </w:rPr>
              <w:t xml:space="preserve">Beyotime Biotechnology, China, #C0105, </w:t>
            </w:r>
          </w:p>
        </w:tc>
        <w:tc>
          <w:tcPr>
            <w:tcW w:w="1524" w:type="dxa"/>
          </w:tcPr>
          <w:p>
            <w:pPr>
              <w:rPr>
                <w:rFonts w:ascii="Times New Roman" w:hAnsi="Times New Roman" w:eastAsia="宋体" w:cs="Times New Roman"/>
              </w:rPr>
            </w:pPr>
            <w:r>
              <w:rPr>
                <w:rFonts w:hint="eastAsia"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LAMP3 Polyclonal Antibody</w:t>
            </w:r>
          </w:p>
        </w:tc>
        <w:tc>
          <w:tcPr>
            <w:tcW w:w="4294" w:type="dxa"/>
          </w:tcPr>
          <w:p>
            <w:pPr>
              <w:rPr>
                <w:rFonts w:ascii="Times New Roman" w:hAnsi="Times New Roman" w:eastAsia="宋体" w:cs="Times New Roman"/>
              </w:rPr>
            </w:pPr>
            <w:r>
              <w:rPr>
                <w:rFonts w:ascii="Times New Roman" w:hAnsi="Times New Roman" w:eastAsia="宋体" w:cs="Times New Roman"/>
              </w:rPr>
              <w:t>Thermo Fisher Scientific, US, #PA5-84069</w:t>
            </w:r>
          </w:p>
        </w:tc>
        <w:tc>
          <w:tcPr>
            <w:tcW w:w="1524" w:type="dxa"/>
          </w:tcPr>
          <w:p>
            <w:pPr>
              <w:rPr>
                <w:rFonts w:ascii="Times New Roman" w:hAnsi="Times New Roman" w:eastAsia="宋体" w:cs="Times New Roman"/>
              </w:rPr>
            </w:pPr>
            <w:r>
              <w:rPr>
                <w:rFonts w:ascii="Times New Roman" w:hAnsi="Times New Roman" w:eastAsia="宋体" w:cs="Times New Roman"/>
              </w:rPr>
              <w:t>IF 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2" w:type="dxa"/>
          </w:tcPr>
          <w:p>
            <w:pPr>
              <w:rPr>
                <w:rFonts w:ascii="Times New Roman" w:hAnsi="Times New Roman" w:eastAsia="宋体" w:cs="Times New Roman"/>
              </w:rPr>
            </w:pPr>
            <w:r>
              <w:rPr>
                <w:rFonts w:ascii="Times New Roman" w:hAnsi="Times New Roman" w:eastAsia="宋体" w:cs="Times New Roman"/>
              </w:rPr>
              <w:t>NF-κB2 p100/p52 (18D10) Rabbit mAb</w:t>
            </w:r>
          </w:p>
        </w:tc>
        <w:tc>
          <w:tcPr>
            <w:tcW w:w="4294" w:type="dxa"/>
          </w:tcPr>
          <w:p>
            <w:pPr>
              <w:rPr>
                <w:rFonts w:ascii="Times New Roman" w:hAnsi="Times New Roman" w:eastAsia="宋体" w:cs="Times New Roman"/>
              </w:rPr>
            </w:pPr>
            <w:r>
              <w:rPr>
                <w:rFonts w:ascii="Times New Roman" w:hAnsi="Times New Roman" w:eastAsia="宋体" w:cs="Times New Roman"/>
              </w:rPr>
              <w:t>Cell Signaling Technology, US, # 3017</w:t>
            </w:r>
          </w:p>
        </w:tc>
        <w:tc>
          <w:tcPr>
            <w:tcW w:w="1524" w:type="dxa"/>
          </w:tcPr>
          <w:p>
            <w:pPr>
              <w:rPr>
                <w:rFonts w:ascii="Times New Roman" w:hAnsi="Times New Roman" w:eastAsia="宋体" w:cs="Times New Roman"/>
              </w:rPr>
            </w:pPr>
            <w:r>
              <w:rPr>
                <w:rFonts w:ascii="Times New Roman" w:hAnsi="Times New Roman" w:eastAsia="宋体" w:cs="Times New Roman"/>
              </w:rPr>
              <w:t>IHC: 1:300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2" w:type="dxa"/>
          </w:tcPr>
          <w:p>
            <w:pPr>
              <w:rPr>
                <w:rFonts w:ascii="Times New Roman" w:hAnsi="Times New Roman" w:eastAsia="宋体" w:cs="Times New Roman"/>
              </w:rPr>
            </w:pPr>
            <w:r>
              <w:rPr>
                <w:rFonts w:ascii="Times New Roman" w:hAnsi="Times New Roman" w:eastAsia="宋体" w:cs="Times New Roman"/>
              </w:rPr>
              <w:t>Anti-TRPV3 Antibody</w:t>
            </w:r>
          </w:p>
        </w:tc>
        <w:tc>
          <w:tcPr>
            <w:tcW w:w="4294" w:type="dxa"/>
          </w:tcPr>
          <w:p>
            <w:pPr>
              <w:rPr>
                <w:rFonts w:ascii="Times New Roman" w:hAnsi="Times New Roman" w:eastAsia="宋体" w:cs="Times New Roman"/>
              </w:rPr>
            </w:pPr>
            <w:r>
              <w:rPr>
                <w:rFonts w:hint="eastAsia" w:ascii="Times New Roman" w:hAnsi="Times New Roman" w:eastAsia="宋体" w:cs="Times New Roman"/>
              </w:rPr>
              <w:t>Abcam</w:t>
            </w:r>
            <w:r>
              <w:rPr>
                <w:rFonts w:ascii="Times New Roman" w:hAnsi="Times New Roman" w:eastAsia="宋体" w:cs="Times New Roman"/>
              </w:rPr>
              <w:t>, UK, # ab231150</w:t>
            </w:r>
          </w:p>
        </w:tc>
        <w:tc>
          <w:tcPr>
            <w:tcW w:w="1524" w:type="dxa"/>
          </w:tcPr>
          <w:p>
            <w:pPr>
              <w:rPr>
                <w:rFonts w:ascii="Times New Roman" w:hAnsi="Times New Roman" w:eastAsia="宋体" w:cs="Times New Roman"/>
              </w:rPr>
            </w:pPr>
            <w:r>
              <w:rPr>
                <w:rFonts w:ascii="Times New Roman" w:hAnsi="Times New Roman" w:eastAsia="宋体" w:cs="Times New Roman"/>
              </w:rPr>
              <w:t>IHC: 10 µg/ml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YAP1 Polyclonal Antibody</w:t>
            </w:r>
          </w:p>
        </w:tc>
        <w:tc>
          <w:tcPr>
            <w:tcW w:w="4294" w:type="dxa"/>
          </w:tcPr>
          <w:p>
            <w:pPr>
              <w:rPr>
                <w:rFonts w:ascii="Times New Roman" w:hAnsi="Times New Roman" w:eastAsia="宋体" w:cs="Times New Roman"/>
              </w:rPr>
            </w:pPr>
            <w:r>
              <w:rPr>
                <w:rFonts w:ascii="Times New Roman" w:hAnsi="Times New Roman" w:eastAsia="宋体" w:cs="Times New Roman"/>
              </w:rPr>
              <w:t>Thermo Fisher Scientific, US, # PA1-46189</w:t>
            </w:r>
          </w:p>
        </w:tc>
        <w:tc>
          <w:tcPr>
            <w:tcW w:w="1524" w:type="dxa"/>
          </w:tcPr>
          <w:p>
            <w:pPr>
              <w:rPr>
                <w:rFonts w:ascii="Times New Roman" w:hAnsi="Times New Roman" w:eastAsia="宋体" w:cs="Times New Roman"/>
              </w:rPr>
            </w:pPr>
            <w:r>
              <w:rPr>
                <w:rFonts w:ascii="Times New Roman" w:hAnsi="Times New Roman" w:eastAsia="宋体" w:cs="Times New Roman"/>
              </w:rPr>
              <w:t>IHC: 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 xml:space="preserve">Alexa Fluor 488 AffiniPure goat anti-mouse IgG (H+L) </w:t>
            </w:r>
          </w:p>
        </w:tc>
        <w:tc>
          <w:tcPr>
            <w:tcW w:w="4294" w:type="dxa"/>
          </w:tcPr>
          <w:p>
            <w:pPr>
              <w:rPr>
                <w:rFonts w:ascii="Times New Roman" w:hAnsi="Times New Roman" w:eastAsia="宋体" w:cs="Times New Roman"/>
              </w:rPr>
            </w:pPr>
            <w:r>
              <w:rPr>
                <w:rFonts w:ascii="Times New Roman" w:hAnsi="Times New Roman" w:eastAsia="宋体" w:cs="Times New Roman"/>
              </w:rPr>
              <w:t>FcMACS, China, #136908</w:t>
            </w:r>
          </w:p>
        </w:tc>
        <w:tc>
          <w:tcPr>
            <w:tcW w:w="1524" w:type="dxa"/>
          </w:tcPr>
          <w:p>
            <w:pPr>
              <w:rPr>
                <w:rFonts w:ascii="Times New Roman" w:hAnsi="Times New Roman" w:eastAsia="宋体" w:cs="Times New Roman"/>
              </w:rPr>
            </w:pPr>
            <w:r>
              <w:rPr>
                <w:rFonts w:ascii="Times New Roman" w:hAnsi="Times New Roman" w:eastAsia="宋体" w:cs="Times New Roman"/>
              </w:rPr>
              <w:t>IF1:500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 xml:space="preserve">Goat anti-mouse IgG (H+L) CoraLite594 </w:t>
            </w:r>
          </w:p>
        </w:tc>
        <w:tc>
          <w:tcPr>
            <w:tcW w:w="4294" w:type="dxa"/>
          </w:tcPr>
          <w:p>
            <w:pPr>
              <w:rPr>
                <w:rFonts w:ascii="Times New Roman" w:hAnsi="Times New Roman" w:eastAsia="宋体" w:cs="Times New Roman"/>
              </w:rPr>
            </w:pPr>
            <w:r>
              <w:rPr>
                <w:rFonts w:ascii="Times New Roman" w:hAnsi="Times New Roman" w:eastAsia="宋体" w:cs="Times New Roman"/>
              </w:rPr>
              <w:t>Proteintech, China, #SA00013-4</w:t>
            </w:r>
          </w:p>
        </w:tc>
        <w:tc>
          <w:tcPr>
            <w:tcW w:w="1524" w:type="dxa"/>
          </w:tcPr>
          <w:p>
            <w:pPr>
              <w:rPr>
                <w:rFonts w:ascii="Times New Roman" w:hAnsi="Times New Roman" w:eastAsia="宋体" w:cs="Times New Roman"/>
              </w:rPr>
            </w:pPr>
            <w:r>
              <w:rPr>
                <w:rFonts w:ascii="Times New Roman" w:hAnsi="Times New Roman" w:eastAsia="宋体" w:cs="Times New Roman"/>
              </w:rPr>
              <w:t>IF 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Fluorescein (FITC) conjugated Affinipure Goat Anti-Rabbit IgG(H+L)</w:t>
            </w:r>
          </w:p>
        </w:tc>
        <w:tc>
          <w:tcPr>
            <w:tcW w:w="4294" w:type="dxa"/>
          </w:tcPr>
          <w:p>
            <w:pPr>
              <w:rPr>
                <w:rFonts w:ascii="Times New Roman" w:hAnsi="Times New Roman" w:eastAsia="宋体" w:cs="Times New Roman"/>
              </w:rPr>
            </w:pPr>
            <w:r>
              <w:rPr>
                <w:rFonts w:ascii="Times New Roman" w:hAnsi="Times New Roman" w:eastAsia="宋体" w:cs="Times New Roman"/>
              </w:rPr>
              <w:t>Proteintech, China, # SA00003-2</w:t>
            </w:r>
          </w:p>
        </w:tc>
        <w:tc>
          <w:tcPr>
            <w:tcW w:w="1524" w:type="dxa"/>
          </w:tcPr>
          <w:p>
            <w:pPr>
              <w:rPr>
                <w:rFonts w:ascii="Times New Roman" w:hAnsi="Times New Roman" w:eastAsia="宋体" w:cs="Times New Roman"/>
              </w:rPr>
            </w:pPr>
            <w:r>
              <w:rPr>
                <w:rFonts w:ascii="Times New Roman" w:hAnsi="Times New Roman" w:eastAsia="宋体" w:cs="Times New Roman"/>
              </w:rPr>
              <w:t>IF 1:500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Dulbecco’s modified Eagle’s medium (DMEM)</w:t>
            </w:r>
          </w:p>
        </w:tc>
        <w:tc>
          <w:tcPr>
            <w:tcW w:w="4294" w:type="dxa"/>
          </w:tcPr>
          <w:p>
            <w:pPr>
              <w:rPr>
                <w:rFonts w:ascii="Times New Roman" w:hAnsi="Times New Roman" w:eastAsia="宋体" w:cs="Times New Roman"/>
              </w:rPr>
            </w:pPr>
            <w:r>
              <w:rPr>
                <w:rFonts w:ascii="Times New Roman" w:hAnsi="Times New Roman" w:eastAsia="宋体" w:cs="Times New Roman"/>
              </w:rPr>
              <w:t>Gibco, USA, #8121032</w:t>
            </w:r>
          </w:p>
        </w:tc>
        <w:tc>
          <w:tcPr>
            <w:tcW w:w="1524" w:type="dxa"/>
          </w:tcPr>
          <w:p>
            <w:pPr>
              <w:rPr>
                <w:rFonts w:ascii="Times New Roman" w:hAnsi="Times New Roman" w:eastAsia="宋体" w:cs="Times New Roman"/>
              </w:rPr>
            </w:pPr>
            <w:r>
              <w:rPr>
                <w:rFonts w:ascii="Times New Roman" w:hAnsi="Times New Roman" w:eastAsia="宋体"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rPr>
                <w:rFonts w:ascii="Times New Roman" w:hAnsi="Times New Roman" w:eastAsia="宋体" w:cs="Times New Roman"/>
              </w:rPr>
            </w:pPr>
            <w:r>
              <w:rPr>
                <w:rFonts w:ascii="Times New Roman" w:hAnsi="Times New Roman" w:eastAsia="宋体" w:cs="Times New Roman"/>
              </w:rPr>
              <w:t>Plasmid vectors for HOPX</w:t>
            </w:r>
          </w:p>
        </w:tc>
        <w:tc>
          <w:tcPr>
            <w:tcW w:w="4294" w:type="dxa"/>
          </w:tcPr>
          <w:p>
            <w:pPr>
              <w:rPr>
                <w:rFonts w:ascii="Times New Roman" w:hAnsi="Times New Roman" w:eastAsia="宋体" w:cs="Times New Roman"/>
              </w:rPr>
            </w:pPr>
            <w:r>
              <w:rPr>
                <w:rFonts w:ascii="Times New Roman" w:hAnsi="Times New Roman" w:eastAsia="宋体" w:cs="Times New Roman"/>
              </w:rPr>
              <w:t>GeneChem, China, #GIEE233618</w:t>
            </w:r>
          </w:p>
        </w:tc>
        <w:tc>
          <w:tcPr>
            <w:tcW w:w="1524" w:type="dxa"/>
          </w:tcPr>
          <w:p>
            <w:pPr>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宋体" w:cs="Times New Roman"/>
              </w:rPr>
            </w:pPr>
            <w:r>
              <w:rPr>
                <w:rFonts w:ascii="Times New Roman" w:hAnsi="Times New Roman" w:eastAsia="宋体" w:cs="Times New Roman"/>
              </w:rPr>
              <w:t>Imiquimod (IMQ) cream</w:t>
            </w:r>
          </w:p>
        </w:tc>
        <w:tc>
          <w:tcPr>
            <w:tcW w:w="4294" w:type="dxa"/>
          </w:tcPr>
          <w:p>
            <w:pPr>
              <w:spacing w:line="276" w:lineRule="auto"/>
              <w:rPr>
                <w:rFonts w:ascii="Times New Roman" w:hAnsi="Times New Roman" w:eastAsia="宋体" w:cs="Times New Roman"/>
              </w:rPr>
            </w:pPr>
            <w:r>
              <w:rPr>
                <w:rFonts w:ascii="Times New Roman" w:hAnsi="Times New Roman" w:eastAsia="宋体" w:cs="Times New Roman"/>
              </w:rPr>
              <w:t>3M Health Care, UK, #H20150172</w:t>
            </w:r>
          </w:p>
        </w:tc>
        <w:tc>
          <w:tcPr>
            <w:tcW w:w="1524" w:type="dxa"/>
          </w:tcPr>
          <w:p>
            <w:pPr>
              <w:spacing w:line="276" w:lineRule="auto"/>
              <w:rPr>
                <w:rFonts w:ascii="Times New Roman" w:hAnsi="Times New Roman" w:eastAsia="等线" w:cs="Times New Roman"/>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宋体" w:cs="Times New Roman"/>
              </w:rPr>
            </w:pPr>
            <w:r>
              <w:rPr>
                <w:rFonts w:ascii="Times New Roman" w:hAnsi="Times New Roman" w:eastAsia="宋体" w:cs="Times New Roman"/>
              </w:rPr>
              <w:t>Mometasone Furoate Cream</w:t>
            </w:r>
          </w:p>
        </w:tc>
        <w:tc>
          <w:tcPr>
            <w:tcW w:w="4294" w:type="dxa"/>
          </w:tcPr>
          <w:p>
            <w:pPr>
              <w:spacing w:line="276" w:lineRule="auto"/>
              <w:rPr>
                <w:rFonts w:ascii="Times New Roman" w:hAnsi="Times New Roman" w:eastAsia="宋体" w:cs="Times New Roman"/>
              </w:rPr>
            </w:pPr>
            <w:r>
              <w:rPr>
                <w:rFonts w:ascii="Times New Roman" w:hAnsi="Times New Roman" w:eastAsia="宋体" w:cs="Times New Roman"/>
              </w:rPr>
              <w:t>Bayer Pharmaceuticals, Germany</w:t>
            </w:r>
            <w:r>
              <w:rPr>
                <w:rFonts w:hint="eastAsia" w:ascii="Times New Roman" w:hAnsi="Times New Roman" w:eastAsia="宋体" w:cs="Times New Roman"/>
              </w:rPr>
              <w:t xml:space="preserve"> #</w:t>
            </w:r>
            <w:r>
              <w:rPr>
                <w:rFonts w:ascii="Times New Roman" w:hAnsi="Times New Roman" w:eastAsia="宋体" w:cs="Times New Roman"/>
              </w:rPr>
              <w:t xml:space="preserve"> H20040853</w:t>
            </w:r>
          </w:p>
        </w:tc>
        <w:tc>
          <w:tcPr>
            <w:tcW w:w="1524" w:type="dxa"/>
          </w:tcPr>
          <w:p>
            <w:pPr>
              <w:spacing w:line="276" w:lineRule="auto"/>
              <w:rPr>
                <w:rFonts w:ascii="Times New Roman" w:hAnsi="Times New Roman" w:eastAsia="宋体"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192" w:type="dxa"/>
          </w:tcPr>
          <w:p>
            <w:pPr>
              <w:spacing w:line="276" w:lineRule="auto"/>
              <w:rPr>
                <w:rFonts w:ascii="Times New Roman" w:hAnsi="Times New Roman" w:eastAsia="等线" w:cs="Times New Roman"/>
                <w:kern w:val="0"/>
                <w:sz w:val="22"/>
                <w:szCs w:val="22"/>
              </w:rPr>
            </w:pPr>
          </w:p>
        </w:tc>
        <w:tc>
          <w:tcPr>
            <w:tcW w:w="4294" w:type="dxa"/>
          </w:tcPr>
          <w:p>
            <w:pPr>
              <w:spacing w:line="276" w:lineRule="auto"/>
              <w:rPr>
                <w:rFonts w:ascii="Times New Roman" w:hAnsi="Times New Roman" w:eastAsia="等线" w:cs="Times New Roman"/>
                <w:kern w:val="0"/>
                <w:sz w:val="22"/>
                <w:szCs w:val="22"/>
              </w:rPr>
            </w:pPr>
          </w:p>
        </w:tc>
        <w:tc>
          <w:tcPr>
            <w:tcW w:w="1524" w:type="dxa"/>
          </w:tcPr>
          <w:p>
            <w:pPr>
              <w:spacing w:line="276" w:lineRule="auto"/>
              <w:rPr>
                <w:rFonts w:ascii="Times New Roman" w:hAnsi="Times New Roman" w:eastAsia="等线" w:cs="Times New Roman"/>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等线" w:cs="Times New Roman"/>
                <w:kern w:val="0"/>
                <w:sz w:val="22"/>
                <w:szCs w:val="22"/>
              </w:rPr>
            </w:pPr>
          </w:p>
        </w:tc>
        <w:tc>
          <w:tcPr>
            <w:tcW w:w="4294" w:type="dxa"/>
          </w:tcPr>
          <w:p>
            <w:pPr>
              <w:spacing w:line="276" w:lineRule="auto"/>
              <w:rPr>
                <w:rFonts w:ascii="Times New Roman" w:hAnsi="Times New Roman" w:eastAsia="等线" w:cs="Times New Roman"/>
                <w:kern w:val="0"/>
                <w:sz w:val="22"/>
                <w:szCs w:val="22"/>
              </w:rPr>
            </w:pPr>
          </w:p>
        </w:tc>
        <w:tc>
          <w:tcPr>
            <w:tcW w:w="1524" w:type="dxa"/>
          </w:tcPr>
          <w:p>
            <w:pPr>
              <w:spacing w:line="276" w:lineRule="auto"/>
              <w:rPr>
                <w:rFonts w:ascii="Times New Roman" w:hAnsi="Times New Roman" w:eastAsia="等线" w:cs="Times New Roman"/>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等线" w:cs="Times New Roman"/>
                <w:kern w:val="0"/>
                <w:sz w:val="22"/>
                <w:szCs w:val="22"/>
              </w:rPr>
            </w:pPr>
          </w:p>
        </w:tc>
        <w:tc>
          <w:tcPr>
            <w:tcW w:w="4294" w:type="dxa"/>
          </w:tcPr>
          <w:p>
            <w:pPr>
              <w:spacing w:line="276" w:lineRule="auto"/>
              <w:rPr>
                <w:rFonts w:ascii="Times New Roman" w:hAnsi="Times New Roman" w:eastAsia="等线" w:cs="Times New Roman"/>
                <w:kern w:val="0"/>
                <w:sz w:val="22"/>
                <w:szCs w:val="22"/>
              </w:rPr>
            </w:pPr>
          </w:p>
        </w:tc>
        <w:tc>
          <w:tcPr>
            <w:tcW w:w="1524" w:type="dxa"/>
          </w:tcPr>
          <w:p>
            <w:pPr>
              <w:spacing w:line="276" w:lineRule="auto"/>
              <w:rPr>
                <w:rFonts w:ascii="Times New Roman" w:hAnsi="Times New Roman" w:eastAsia="等线" w:cs="Times New Roman"/>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等线" w:cs="Times New Roman"/>
                <w:kern w:val="0"/>
                <w:sz w:val="22"/>
                <w:szCs w:val="22"/>
              </w:rPr>
            </w:pPr>
          </w:p>
        </w:tc>
        <w:tc>
          <w:tcPr>
            <w:tcW w:w="4294" w:type="dxa"/>
          </w:tcPr>
          <w:p>
            <w:pPr>
              <w:spacing w:line="276" w:lineRule="auto"/>
              <w:rPr>
                <w:rFonts w:ascii="Times New Roman" w:hAnsi="Times New Roman" w:eastAsia="等线" w:cs="Times New Roman"/>
                <w:kern w:val="0"/>
                <w:sz w:val="22"/>
                <w:szCs w:val="22"/>
              </w:rPr>
            </w:pPr>
          </w:p>
        </w:tc>
        <w:tc>
          <w:tcPr>
            <w:tcW w:w="1524" w:type="dxa"/>
          </w:tcPr>
          <w:p>
            <w:pPr>
              <w:spacing w:line="276" w:lineRule="auto"/>
              <w:rPr>
                <w:rFonts w:ascii="Times New Roman" w:hAnsi="Times New Roman" w:eastAsia="等线" w:cs="Times New Roman"/>
                <w:kern w:val="0"/>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92" w:type="dxa"/>
          </w:tcPr>
          <w:p>
            <w:pPr>
              <w:spacing w:line="276" w:lineRule="auto"/>
              <w:rPr>
                <w:rFonts w:ascii="Times New Roman" w:hAnsi="Times New Roman" w:eastAsia="等线" w:cs="Times New Roman"/>
                <w:kern w:val="0"/>
                <w:sz w:val="22"/>
                <w:szCs w:val="22"/>
              </w:rPr>
            </w:pPr>
          </w:p>
        </w:tc>
        <w:tc>
          <w:tcPr>
            <w:tcW w:w="4294" w:type="dxa"/>
          </w:tcPr>
          <w:p>
            <w:pPr>
              <w:spacing w:line="276" w:lineRule="auto"/>
              <w:rPr>
                <w:rFonts w:ascii="Times New Roman" w:hAnsi="Times New Roman" w:eastAsia="等线" w:cs="Times New Roman"/>
                <w:kern w:val="0"/>
                <w:sz w:val="22"/>
                <w:szCs w:val="22"/>
              </w:rPr>
            </w:pPr>
          </w:p>
        </w:tc>
        <w:tc>
          <w:tcPr>
            <w:tcW w:w="1524" w:type="dxa"/>
          </w:tcPr>
          <w:p>
            <w:pPr>
              <w:spacing w:line="276" w:lineRule="auto"/>
              <w:rPr>
                <w:rFonts w:ascii="Times New Roman" w:hAnsi="Times New Roman" w:eastAsia="等线" w:cs="Times New Roman"/>
                <w:kern w:val="0"/>
                <w:sz w:val="22"/>
                <w:szCs w:val="22"/>
              </w:rPr>
            </w:pPr>
          </w:p>
        </w:tc>
      </w:tr>
    </w:tbl>
    <w:p>
      <w:pPr>
        <w:spacing w:line="360" w:lineRule="auto"/>
        <w:rPr>
          <w:rFonts w:ascii="Times New Roman" w:hAnsi="Times New Roman" w:cs="Times New Roman"/>
          <w:sz w:val="22"/>
          <w:szCs w:val="22"/>
        </w:rPr>
      </w:pPr>
    </w:p>
    <w:sectPr>
      <w:footerReference r:id="rId5" w:type="first"/>
      <w:footerReference r:id="rId3" w:type="default"/>
      <w:footerReference r:id="rId4" w:type="even"/>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Rockwell">
    <w:altName w:val="Segoe Print"/>
    <w:panose1 w:val="02060603020205020403"/>
    <w:charset w:val="00"/>
    <w:family w:val="roman"/>
    <w:pitch w:val="default"/>
    <w:sig w:usb0="00000000" w:usb1="00000000" w:usb2="00000000" w:usb3="00000000" w:csb0="00000003"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61312" behindDoc="0" locked="0" layoutInCell="1" allowOverlap="1">
              <wp:simplePos x="0" y="0"/>
              <wp:positionH relativeFrom="page">
                <wp:align>left</wp:align>
              </wp:positionH>
              <wp:positionV relativeFrom="page">
                <wp:align>bottom</wp:align>
              </wp:positionV>
              <wp:extent cx="443865" cy="443865"/>
              <wp:effectExtent l="0" t="0" r="18415" b="0"/>
              <wp:wrapNone/>
              <wp:docPr id="2133688523" name="Text Box 3"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3" o:spid="_x0000_s1026" o:spt="202" alt="Information Classification: General" type="#_x0000_t202" style="position:absolute;left:0pt;height:34.95pt;width:34.95pt;mso-position-horizontal:left;mso-position-horizontal-relative:page;mso-position-vertical:bottom;mso-position-vertical-relative:page;mso-wrap-style:none;z-index:251661312;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MBQ6bRAAAAAwEAAA8AAAAAAAAAAQAgAAAAIgAAAGRycy9kb3du&#10;cmV2LnhtbFBLAQIUABQAAAAIAIdO4kBuGjslPwIAAIgEAAAOAAAAAAAAAAEAIAAAACABAABkcnMv&#10;ZTJvRG9jLnhtbFBLBQYAAAAABgAGAFkBAADRBQAAAAA=&#10;">
              <v:fill on="f" focussize="0,0"/>
              <v:stroke on="f"/>
              <v:imagedata o:title=""/>
              <o:lock v:ext="edit" aspectratio="f"/>
              <v:textbox inset="20pt,0mm,0mm,15pt" style="mso-fit-shape-to-text:t;">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60288" behindDoc="0" locked="0" layoutInCell="1" allowOverlap="1">
              <wp:simplePos x="0" y="0"/>
              <wp:positionH relativeFrom="page">
                <wp:align>left</wp:align>
              </wp:positionH>
              <wp:positionV relativeFrom="page">
                <wp:align>bottom</wp:align>
              </wp:positionV>
              <wp:extent cx="443865" cy="443865"/>
              <wp:effectExtent l="0" t="0" r="18415" b="0"/>
              <wp:wrapNone/>
              <wp:docPr id="959054889" name="Text Box 2"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2" o:spid="_x0000_s1026" o:spt="202" alt="Information Classification: General" type="#_x0000_t202" style="position:absolute;left:0pt;height:34.95pt;width:34.95pt;mso-position-horizontal:left;mso-position-horizontal-relative:page;mso-position-vertical:bottom;mso-position-vertical-relative:page;mso-wrap-style:none;z-index:251660288;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MBQ6bRAAAAAwEAAA8AAAAAAAAAAQAgAAAAIgAAAGRycy9kb3du&#10;cmV2LnhtbFBLAQIUABQAAAAIAIdO4kB82ZJZPwIAAIcEAAAOAAAAAAAAAAEAIAAAACABAABkcnMv&#10;ZTJvRG9jLnhtbFBLBQYAAAAABgAGAFkBAADRBQAAAAA=&#10;">
              <v:fill on="f" focussize="0,0"/>
              <v:stroke on="f"/>
              <v:imagedata o:title=""/>
              <o:lock v:ext="edit" aspectratio="f"/>
              <v:textbox inset="20pt,0mm,0mm,15pt" style="mso-fit-shape-to-text:t;">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0" distR="0" simplePos="0" relativeHeight="251659264" behindDoc="0" locked="0" layoutInCell="1" allowOverlap="1">
              <wp:simplePos x="0" y="0"/>
              <wp:positionH relativeFrom="page">
                <wp:align>left</wp:align>
              </wp:positionH>
              <wp:positionV relativeFrom="page">
                <wp:align>bottom</wp:align>
              </wp:positionV>
              <wp:extent cx="443865" cy="443865"/>
              <wp:effectExtent l="0" t="0" r="18415" b="0"/>
              <wp:wrapNone/>
              <wp:docPr id="1915209246" name="Text Box 1" descr="Information Classification: General"/>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spAutoFit/>
                    </wps:bodyPr>
                  </wps:wsp>
                </a:graphicData>
              </a:graphic>
            </wp:anchor>
          </w:drawing>
        </mc:Choice>
        <mc:Fallback>
          <w:pict>
            <v:shape id="Text Box 1" o:spid="_x0000_s1026" o:spt="202" alt="Information Classification: General" type="#_x0000_t202" style="position:absolute;left:0pt;height:34.95pt;width:34.95pt;mso-position-horizontal:left;mso-position-horizontal-relative:page;mso-position-vertical:bottom;mso-position-vertical-relative:page;mso-wrap-style:none;z-index:251659264;v-text-anchor:bottom;mso-width-relative:page;mso-height-relative:page;" filled="f" stroked="f" coordsize="21600,21600" o:gfxdata="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JMBQ6bRAAAAAwEAAA8AAAAAAAAAAQAgAAAAIgAAAGRycy9kb3du&#10;cmV2LnhtbFBLAQIUABQAAAAIAIdO4kDl4QUuPwIAAIgEAAAOAAAAAAAAAAEAIAAAACABAABkcnMv&#10;ZTJvRG9jLnhtbFBLBQYAAAAABgAGAFkBAADRBQAAAAA=&#10;">
              <v:fill on="f" focussize="0,0"/>
              <v:stroke on="f"/>
              <v:imagedata o:title=""/>
              <o:lock v:ext="edit" aspectratio="f"/>
              <v:textbox inset="20pt,0mm,0mm,15pt" style="mso-fit-shape-to-text:t;">
                <w:txbxContent>
                  <w:p>
                    <w:pPr>
                      <w:rPr>
                        <w:rFonts w:ascii="Rockwell" w:hAnsi="Rockwell" w:eastAsia="Rockwell" w:cs="Rockwell"/>
                        <w:color w:val="0078D7"/>
                        <w:sz w:val="18"/>
                        <w:szCs w:val="18"/>
                      </w:rPr>
                    </w:pPr>
                    <w:r>
                      <w:rPr>
                        <w:rFonts w:ascii="Rockwell" w:hAnsi="Rockwell" w:eastAsia="Rockwell" w:cs="Rockwell"/>
                        <w:color w:val="0078D7"/>
                        <w:sz w:val="18"/>
                        <w:szCs w:val="18"/>
                      </w:rPr>
                      <w:t>Information Classification: General</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5MzVlZTFkMzhiMzFkNDUyZDk5MzZiM2FjZDdkMTkifQ=="/>
  </w:docVars>
  <w:rsids>
    <w:rsidRoot w:val="00D20F14"/>
    <w:rsid w:val="000C0CDE"/>
    <w:rsid w:val="00297BEF"/>
    <w:rsid w:val="002F329D"/>
    <w:rsid w:val="003414D9"/>
    <w:rsid w:val="0038157F"/>
    <w:rsid w:val="003B7490"/>
    <w:rsid w:val="003E53B5"/>
    <w:rsid w:val="00464B1F"/>
    <w:rsid w:val="00541B82"/>
    <w:rsid w:val="006849B1"/>
    <w:rsid w:val="006E3756"/>
    <w:rsid w:val="007A7125"/>
    <w:rsid w:val="008471BE"/>
    <w:rsid w:val="0092707D"/>
    <w:rsid w:val="0097751E"/>
    <w:rsid w:val="00AA6A84"/>
    <w:rsid w:val="00B91EFE"/>
    <w:rsid w:val="00C10DE0"/>
    <w:rsid w:val="00D20F14"/>
    <w:rsid w:val="00D30DB2"/>
    <w:rsid w:val="00D534A9"/>
    <w:rsid w:val="00DB09D4"/>
    <w:rsid w:val="00DD249A"/>
    <w:rsid w:val="00FF7AC2"/>
    <w:rsid w:val="07F65A68"/>
    <w:rsid w:val="0BCE702A"/>
    <w:rsid w:val="31FD405F"/>
    <w:rsid w:val="34187E68"/>
    <w:rsid w:val="39084447"/>
    <w:rsid w:val="500C42B2"/>
    <w:rsid w:val="54B46294"/>
    <w:rsid w:val="5A0947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9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3"/>
    <w:next w:val="1"/>
    <w:link w:val="14"/>
    <w:qFormat/>
    <w:uiPriority w:val="2"/>
    <w:pPr>
      <w:widowControl/>
      <w:spacing w:before="240" w:after="240"/>
      <w:ind w:firstLine="0" w:firstLineChars="0"/>
      <w:jc w:val="left"/>
      <w:outlineLvl w:val="0"/>
    </w:pPr>
    <w:rPr>
      <w:rFonts w:ascii="Times New Roman" w:hAnsi="Times New Roman" w:eastAsia="Cambria" w:cs="Times New Roman"/>
      <w:b/>
      <w:kern w:val="0"/>
      <w:sz w:val="24"/>
      <w:lang w:eastAsia="en-US"/>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List Paragraph"/>
    <w:basedOn w:val="1"/>
    <w:uiPriority w:val="99"/>
    <w:pPr>
      <w:ind w:firstLine="420" w:firstLineChars="200"/>
    </w:pPr>
  </w:style>
  <w:style w:type="paragraph" w:styleId="4">
    <w:name w:val="annotation text"/>
    <w:basedOn w:val="1"/>
    <w:link w:val="15"/>
    <w:qFormat/>
    <w:uiPriority w:val="0"/>
    <w:rPr>
      <w:sz w:val="20"/>
      <w:szCs w:val="20"/>
    </w:rPr>
  </w:style>
  <w:style w:type="paragraph" w:styleId="5">
    <w:name w:val="footer"/>
    <w:basedOn w:val="1"/>
    <w:link w:val="13"/>
    <w:qFormat/>
    <w:uiPriority w:val="0"/>
    <w:pPr>
      <w:tabs>
        <w:tab w:val="center" w:pos="4153"/>
        <w:tab w:val="right" w:pos="8306"/>
      </w:tabs>
      <w:snapToGrid w:val="0"/>
      <w:jc w:val="left"/>
    </w:pPr>
    <w:rPr>
      <w:sz w:val="18"/>
      <w:szCs w:val="18"/>
    </w:rPr>
  </w:style>
  <w:style w:type="paragraph" w:styleId="6">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7">
    <w:name w:val="annotation subject"/>
    <w:basedOn w:val="4"/>
    <w:next w:val="4"/>
    <w:link w:val="16"/>
    <w:qFormat/>
    <w:uiPriority w:val="0"/>
    <w:rPr>
      <w:b/>
      <w:bCs/>
    </w:rPr>
  </w:style>
  <w:style w:type="table" w:styleId="9">
    <w:name w:val="Table Grid"/>
    <w:basedOn w:val="8"/>
    <w:qFormat/>
    <w:uiPriority w:val="99"/>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annotation reference"/>
    <w:basedOn w:val="10"/>
    <w:qFormat/>
    <w:uiPriority w:val="0"/>
    <w:rPr>
      <w:sz w:val="16"/>
      <w:szCs w:val="16"/>
    </w:rPr>
  </w:style>
  <w:style w:type="character" w:customStyle="1" w:styleId="12">
    <w:name w:val="页眉 字符"/>
    <w:basedOn w:val="10"/>
    <w:link w:val="6"/>
    <w:qFormat/>
    <w:uiPriority w:val="0"/>
    <w:rPr>
      <w:kern w:val="2"/>
      <w:sz w:val="18"/>
      <w:szCs w:val="18"/>
    </w:rPr>
  </w:style>
  <w:style w:type="character" w:customStyle="1" w:styleId="13">
    <w:name w:val="页脚 字符"/>
    <w:basedOn w:val="10"/>
    <w:link w:val="5"/>
    <w:qFormat/>
    <w:uiPriority w:val="0"/>
    <w:rPr>
      <w:kern w:val="2"/>
      <w:sz w:val="18"/>
      <w:szCs w:val="18"/>
    </w:rPr>
  </w:style>
  <w:style w:type="character" w:customStyle="1" w:styleId="14">
    <w:name w:val="标题 1 字符"/>
    <w:basedOn w:val="10"/>
    <w:link w:val="2"/>
    <w:qFormat/>
    <w:uiPriority w:val="2"/>
    <w:rPr>
      <w:rFonts w:ascii="Times New Roman" w:hAnsi="Times New Roman" w:eastAsia="Cambria" w:cs="Times New Roman"/>
      <w:b/>
      <w:sz w:val="24"/>
      <w:szCs w:val="24"/>
      <w:lang w:eastAsia="en-US"/>
    </w:rPr>
  </w:style>
  <w:style w:type="character" w:customStyle="1" w:styleId="15">
    <w:name w:val="批注文字 字符"/>
    <w:basedOn w:val="10"/>
    <w:link w:val="4"/>
    <w:qFormat/>
    <w:uiPriority w:val="0"/>
    <w:rPr>
      <w:kern w:val="2"/>
      <w:lang w:val="en-US" w:eastAsia="zh-CN"/>
    </w:rPr>
  </w:style>
  <w:style w:type="character" w:customStyle="1" w:styleId="16">
    <w:name w:val="批注主题 字符"/>
    <w:basedOn w:val="15"/>
    <w:link w:val="7"/>
    <w:qFormat/>
    <w:uiPriority w:val="0"/>
    <w:rPr>
      <w:b/>
      <w:bCs/>
      <w:kern w:val="2"/>
      <w:lang w:val="en-US" w:eastAsia="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tiff"/><Relationship Id="rId8" Type="http://schemas.openxmlformats.org/officeDocument/2006/relationships/image" Target="media/image2.tiff"/><Relationship Id="rId7" Type="http://schemas.openxmlformats.org/officeDocument/2006/relationships/image" Target="media/image1.tiff"/><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1.tiff"/><Relationship Id="rId16" Type="http://schemas.openxmlformats.org/officeDocument/2006/relationships/image" Target="media/image10.tiff"/><Relationship Id="rId15" Type="http://schemas.openxmlformats.org/officeDocument/2006/relationships/image" Target="media/image9.tiff"/><Relationship Id="rId14" Type="http://schemas.openxmlformats.org/officeDocument/2006/relationships/image" Target="media/image8.tiff"/><Relationship Id="rId13" Type="http://schemas.openxmlformats.org/officeDocument/2006/relationships/image" Target="media/image7.tiff"/><Relationship Id="rId12" Type="http://schemas.openxmlformats.org/officeDocument/2006/relationships/image" Target="media/image6.tiff"/><Relationship Id="rId11" Type="http://schemas.openxmlformats.org/officeDocument/2006/relationships/image" Target="media/image5.tiff"/><Relationship Id="rId10" Type="http://schemas.openxmlformats.org/officeDocument/2006/relationships/image" Target="media/image4.tif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Pages>
  <Words>502</Words>
  <Characters>2934</Characters>
  <Lines>24</Lines>
  <Paragraphs>7</Paragraphs>
  <TotalTime>11</TotalTime>
  <ScaleCrop>false</ScaleCrop>
  <LinksUpToDate>false</LinksUpToDate>
  <CharactersWithSpaces>3375</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2023-08-14T02:39:00Z</dcterms:created>
  <dc:creator>LCH</dc:creator>
  <cp:lastModifiedBy>Z</cp:lastModifiedBy>
  <dcterms:modified xsi:type="dcterms:W3CDTF">2023-08-15T04:20:29Z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A6F0B3DAEFC643E78134471254D3B25E_12</vt:lpwstr>
  </property>
  <property fmtid="{D5CDD505-2E9C-101B-9397-08002B2CF9AE}" pid="4" name="ClassificationContentMarkingFooterShapeIds">
    <vt:lpwstr>7227c61e,392a0429,7f2d80cb</vt:lpwstr>
  </property>
  <property fmtid="{D5CDD505-2E9C-101B-9397-08002B2CF9AE}" pid="5" name="ClassificationContentMarkingFooterFontProps">
    <vt:lpwstr>#0078d7,9,Rockwell</vt:lpwstr>
  </property>
  <property fmtid="{D5CDD505-2E9C-101B-9397-08002B2CF9AE}" pid="6" name="ClassificationContentMarkingFooterText">
    <vt:lpwstr>Information Classification: General</vt:lpwstr>
  </property>
  <property fmtid="{D5CDD505-2E9C-101B-9397-08002B2CF9AE}" pid="7" name="MSIP_Label_2bbab825-a111-45e4-86a1-18cee0005896_Enabled">
    <vt:lpwstr>true</vt:lpwstr>
  </property>
  <property fmtid="{D5CDD505-2E9C-101B-9397-08002B2CF9AE}" pid="8" name="MSIP_Label_2bbab825-a111-45e4-86a1-18cee0005896_SetDate">
    <vt:lpwstr>2023-08-14T02:39:18Z</vt:lpwstr>
  </property>
  <property fmtid="{D5CDD505-2E9C-101B-9397-08002B2CF9AE}" pid="9" name="MSIP_Label_2bbab825-a111-45e4-86a1-18cee0005896_Method">
    <vt:lpwstr>Standard</vt:lpwstr>
  </property>
  <property fmtid="{D5CDD505-2E9C-101B-9397-08002B2CF9AE}" pid="10" name="MSIP_Label_2bbab825-a111-45e4-86a1-18cee0005896_Name">
    <vt:lpwstr>2bbab825-a111-45e4-86a1-18cee0005896</vt:lpwstr>
  </property>
  <property fmtid="{D5CDD505-2E9C-101B-9397-08002B2CF9AE}" pid="11" name="MSIP_Label_2bbab825-a111-45e4-86a1-18cee0005896_SiteId">
    <vt:lpwstr>2567d566-604c-408a-8a60-55d0dc9d9d6b</vt:lpwstr>
  </property>
  <property fmtid="{D5CDD505-2E9C-101B-9397-08002B2CF9AE}" pid="12" name="MSIP_Label_2bbab825-a111-45e4-86a1-18cee0005896_ActionId">
    <vt:lpwstr>0b3bc636-d16e-42d8-8ae4-665ae27b33f7</vt:lpwstr>
  </property>
  <property fmtid="{D5CDD505-2E9C-101B-9397-08002B2CF9AE}" pid="13" name="MSIP_Label_2bbab825-a111-45e4-86a1-18cee0005896_ContentBits">
    <vt:lpwstr>2</vt:lpwstr>
  </property>
</Properties>
</file>