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DABD" w14:textId="77777777" w:rsidR="00FF2345" w:rsidRPr="00FF2345" w:rsidRDefault="00FF2345" w:rsidP="00FF2345">
      <w:pPr>
        <w:rPr>
          <w:rFonts w:cs="Arial"/>
          <w:szCs w:val="20"/>
        </w:rPr>
      </w:pPr>
      <w:r w:rsidRPr="00FF2345">
        <w:rPr>
          <w:rFonts w:cs="Arial"/>
          <w:szCs w:val="20"/>
        </w:rPr>
        <w:t>APPENDIX</w:t>
      </w:r>
    </w:p>
    <w:p w14:paraId="21076FBC" w14:textId="77777777" w:rsidR="00FF2345" w:rsidRPr="00FF2345" w:rsidRDefault="00FF2345" w:rsidP="00FF2345">
      <w:pPr>
        <w:rPr>
          <w:rFonts w:cs="Arial"/>
          <w:szCs w:val="20"/>
        </w:rPr>
      </w:pPr>
      <w:r w:rsidRPr="00FF2345">
        <w:rPr>
          <w:rFonts w:cs="Arial"/>
          <w:szCs w:val="20"/>
        </w:rPr>
        <w:t>Appendix 1. The first Delphi survey on the current and future guidelines for isoniazid-resistant tuberculosis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965"/>
        <w:gridCol w:w="1110"/>
        <w:gridCol w:w="1087"/>
        <w:gridCol w:w="1064"/>
        <w:gridCol w:w="1156"/>
        <w:gridCol w:w="1116"/>
        <w:gridCol w:w="1195"/>
      </w:tblGrid>
      <w:tr w:rsidR="00000000" w14:paraId="295FA86D" w14:textId="77777777">
        <w:trPr>
          <w:trHeight w:val="232"/>
        </w:trPr>
        <w:tc>
          <w:tcPr>
            <w:tcW w:w="7049" w:type="dxa"/>
            <w:gridSpan w:val="2"/>
            <w:shd w:val="clear" w:color="auto" w:fill="auto"/>
          </w:tcPr>
          <w:p w14:paraId="3556486E" w14:textId="77777777" w:rsidR="00FF2345" w:rsidRDefault="00FF2345">
            <w:pPr>
              <w:jc w:val="both"/>
              <w:rPr>
                <w:rFonts w:cs="Arial"/>
                <w:kern w:val="2"/>
                <w:szCs w:val="20"/>
              </w:rPr>
            </w:pPr>
          </w:p>
        </w:tc>
        <w:tc>
          <w:tcPr>
            <w:tcW w:w="1133" w:type="dxa"/>
            <w:shd w:val="clear" w:color="auto" w:fill="auto"/>
          </w:tcPr>
          <w:p w14:paraId="4A25623A" w14:textId="77777777" w:rsidR="00FF2345" w:rsidRDefault="00FF2345">
            <w:pPr>
              <w:jc w:val="both"/>
              <w:rPr>
                <w:rFonts w:cs="Arial"/>
                <w:kern w:val="2"/>
                <w:szCs w:val="20"/>
              </w:rPr>
            </w:pPr>
            <w:r>
              <w:rPr>
                <w:rFonts w:cs="Arial"/>
                <w:kern w:val="2"/>
                <w:szCs w:val="20"/>
              </w:rPr>
              <w:t>Strongly agree</w:t>
            </w:r>
          </w:p>
        </w:tc>
        <w:tc>
          <w:tcPr>
            <w:tcW w:w="1134" w:type="dxa"/>
            <w:shd w:val="clear" w:color="auto" w:fill="auto"/>
          </w:tcPr>
          <w:p w14:paraId="173622BD" w14:textId="77777777" w:rsidR="00FF2345" w:rsidRDefault="00FF2345">
            <w:pPr>
              <w:jc w:val="both"/>
              <w:rPr>
                <w:rFonts w:cs="Arial"/>
                <w:kern w:val="2"/>
                <w:szCs w:val="20"/>
              </w:rPr>
            </w:pPr>
            <w:r>
              <w:rPr>
                <w:rFonts w:cs="Arial"/>
                <w:kern w:val="2"/>
                <w:szCs w:val="20"/>
              </w:rPr>
              <w:t>Agree</w:t>
            </w:r>
          </w:p>
        </w:tc>
        <w:tc>
          <w:tcPr>
            <w:tcW w:w="1092" w:type="dxa"/>
            <w:shd w:val="clear" w:color="auto" w:fill="auto"/>
          </w:tcPr>
          <w:p w14:paraId="12DF7412" w14:textId="77777777" w:rsidR="00FF2345" w:rsidRDefault="00FF2345">
            <w:pPr>
              <w:jc w:val="both"/>
              <w:rPr>
                <w:rFonts w:cs="Arial"/>
                <w:kern w:val="2"/>
                <w:szCs w:val="20"/>
              </w:rPr>
            </w:pPr>
            <w:r>
              <w:rPr>
                <w:rFonts w:cs="Arial"/>
                <w:kern w:val="2"/>
                <w:szCs w:val="20"/>
              </w:rPr>
              <w:t>Neutral</w:t>
            </w:r>
          </w:p>
        </w:tc>
        <w:tc>
          <w:tcPr>
            <w:tcW w:w="1176" w:type="dxa"/>
            <w:shd w:val="clear" w:color="auto" w:fill="auto"/>
          </w:tcPr>
          <w:p w14:paraId="21748DFD" w14:textId="77777777" w:rsidR="00FF2345" w:rsidRDefault="00FF2345">
            <w:pPr>
              <w:jc w:val="both"/>
              <w:rPr>
                <w:rFonts w:cs="Arial"/>
                <w:kern w:val="2"/>
                <w:szCs w:val="20"/>
              </w:rPr>
            </w:pPr>
            <w:r>
              <w:rPr>
                <w:rFonts w:cs="Arial"/>
                <w:kern w:val="2"/>
                <w:szCs w:val="20"/>
              </w:rPr>
              <w:t>Disagree</w:t>
            </w:r>
          </w:p>
        </w:tc>
        <w:tc>
          <w:tcPr>
            <w:tcW w:w="1135" w:type="dxa"/>
            <w:shd w:val="clear" w:color="auto" w:fill="auto"/>
          </w:tcPr>
          <w:p w14:paraId="0F77E646" w14:textId="77777777" w:rsidR="00FF2345" w:rsidRDefault="00FF2345">
            <w:pPr>
              <w:jc w:val="both"/>
              <w:rPr>
                <w:rFonts w:cs="Arial"/>
                <w:kern w:val="2"/>
                <w:szCs w:val="20"/>
              </w:rPr>
            </w:pPr>
            <w:r>
              <w:rPr>
                <w:rFonts w:cs="Arial"/>
                <w:kern w:val="2"/>
                <w:szCs w:val="20"/>
              </w:rPr>
              <w:t>Strongly disagree</w:t>
            </w:r>
          </w:p>
        </w:tc>
        <w:tc>
          <w:tcPr>
            <w:tcW w:w="1194" w:type="dxa"/>
            <w:shd w:val="clear" w:color="auto" w:fill="auto"/>
          </w:tcPr>
          <w:p w14:paraId="05C9CA39" w14:textId="77777777" w:rsidR="00FF2345" w:rsidRDefault="00FF2345">
            <w:pPr>
              <w:jc w:val="both"/>
              <w:rPr>
                <w:rFonts w:cs="Arial"/>
                <w:kern w:val="2"/>
                <w:szCs w:val="20"/>
              </w:rPr>
            </w:pPr>
            <w:r>
              <w:rPr>
                <w:rFonts w:cs="Arial"/>
                <w:kern w:val="2"/>
                <w:szCs w:val="20"/>
              </w:rPr>
              <w:t>Agreement rate*</w:t>
            </w:r>
          </w:p>
        </w:tc>
      </w:tr>
      <w:tr w:rsidR="00000000" w14:paraId="3B7E84C0" w14:textId="77777777">
        <w:trPr>
          <w:trHeight w:val="465"/>
        </w:trPr>
        <w:tc>
          <w:tcPr>
            <w:tcW w:w="0" w:type="auto"/>
            <w:gridSpan w:val="8"/>
            <w:shd w:val="clear" w:color="auto" w:fill="auto"/>
          </w:tcPr>
          <w:p w14:paraId="55CD2E85" w14:textId="77777777" w:rsidR="00FF2345" w:rsidRDefault="00FF2345">
            <w:pPr>
              <w:jc w:val="both"/>
              <w:rPr>
                <w:rFonts w:cs="Arial"/>
                <w:color w:val="000000"/>
                <w:kern w:val="2"/>
                <w:szCs w:val="20"/>
              </w:rPr>
            </w:pPr>
            <w:r>
              <w:rPr>
                <w:rFonts w:cs="Arial"/>
                <w:color w:val="000000"/>
                <w:kern w:val="2"/>
                <w:szCs w:val="20"/>
              </w:rPr>
              <w:t>Diagnosis</w:t>
            </w:r>
          </w:p>
        </w:tc>
      </w:tr>
      <w:tr w:rsidR="00000000" w14:paraId="1976C825" w14:textId="77777777">
        <w:tc>
          <w:tcPr>
            <w:tcW w:w="0" w:type="auto"/>
            <w:shd w:val="clear" w:color="auto" w:fill="auto"/>
          </w:tcPr>
          <w:p w14:paraId="7FB78AD2" w14:textId="77777777" w:rsidR="00FF2345" w:rsidRDefault="00FF2345">
            <w:pPr>
              <w:jc w:val="both"/>
              <w:rPr>
                <w:rFonts w:cs="Arial"/>
                <w:kern w:val="2"/>
                <w:szCs w:val="20"/>
              </w:rPr>
            </w:pPr>
            <w:r>
              <w:rPr>
                <w:rFonts w:cs="Arial"/>
                <w:kern w:val="2"/>
                <w:szCs w:val="20"/>
              </w:rPr>
              <w:t>Q1</w:t>
            </w:r>
          </w:p>
        </w:tc>
        <w:tc>
          <w:tcPr>
            <w:tcW w:w="6564" w:type="dxa"/>
            <w:shd w:val="clear" w:color="auto" w:fill="auto"/>
          </w:tcPr>
          <w:p w14:paraId="3F5588A9" w14:textId="77777777" w:rsidR="00FF2345" w:rsidRDefault="00FF2345">
            <w:pPr>
              <w:jc w:val="both"/>
              <w:rPr>
                <w:rFonts w:cs="Arial"/>
                <w:color w:val="202124"/>
                <w:kern w:val="2"/>
                <w:szCs w:val="20"/>
              </w:rPr>
            </w:pPr>
            <w:r>
              <w:rPr>
                <w:rFonts w:cs="Arial"/>
                <w:color w:val="202124"/>
                <w:kern w:val="2"/>
                <w:szCs w:val="20"/>
              </w:rPr>
              <w:t>For all tuberculosis patients, it is essential to conduct molecular DST using the initial culture isolates and to determine the presence of genetic mutations responsible for resistance to INH and RIF.</w:t>
            </w:r>
          </w:p>
        </w:tc>
        <w:tc>
          <w:tcPr>
            <w:tcW w:w="1133" w:type="dxa"/>
            <w:shd w:val="clear" w:color="auto" w:fill="auto"/>
            <w:vAlign w:val="center"/>
          </w:tcPr>
          <w:p w14:paraId="4F68844D" w14:textId="77777777" w:rsidR="00FF2345" w:rsidRDefault="00FF2345">
            <w:pPr>
              <w:jc w:val="both"/>
              <w:rPr>
                <w:rFonts w:cs="Arial"/>
                <w:kern w:val="2"/>
                <w:szCs w:val="20"/>
              </w:rPr>
            </w:pPr>
            <w:r>
              <w:rPr>
                <w:rFonts w:cs="Arial"/>
                <w:color w:val="000000"/>
                <w:kern w:val="2"/>
                <w:szCs w:val="20"/>
              </w:rPr>
              <w:t>59 (90.8)</w:t>
            </w:r>
          </w:p>
        </w:tc>
        <w:tc>
          <w:tcPr>
            <w:tcW w:w="1134" w:type="dxa"/>
            <w:shd w:val="clear" w:color="auto" w:fill="auto"/>
            <w:vAlign w:val="center"/>
          </w:tcPr>
          <w:p w14:paraId="77A84DB1" w14:textId="77777777" w:rsidR="00FF2345" w:rsidRDefault="00FF2345">
            <w:pPr>
              <w:jc w:val="both"/>
              <w:rPr>
                <w:rFonts w:cs="Arial"/>
                <w:kern w:val="2"/>
                <w:szCs w:val="20"/>
              </w:rPr>
            </w:pPr>
            <w:r>
              <w:rPr>
                <w:rFonts w:cs="Arial"/>
                <w:color w:val="000000"/>
                <w:kern w:val="2"/>
                <w:szCs w:val="20"/>
              </w:rPr>
              <w:t>4 (6.2)</w:t>
            </w:r>
          </w:p>
        </w:tc>
        <w:tc>
          <w:tcPr>
            <w:tcW w:w="1092" w:type="dxa"/>
            <w:shd w:val="clear" w:color="auto" w:fill="auto"/>
            <w:vAlign w:val="center"/>
          </w:tcPr>
          <w:p w14:paraId="0EB989B2" w14:textId="77777777" w:rsidR="00FF2345" w:rsidRDefault="00FF2345">
            <w:pPr>
              <w:jc w:val="both"/>
              <w:rPr>
                <w:rFonts w:cs="Arial"/>
                <w:kern w:val="2"/>
                <w:szCs w:val="20"/>
              </w:rPr>
            </w:pPr>
            <w:r>
              <w:rPr>
                <w:rFonts w:cs="Arial"/>
                <w:color w:val="000000"/>
                <w:kern w:val="2"/>
                <w:szCs w:val="20"/>
              </w:rPr>
              <w:t>2 (3.1)</w:t>
            </w:r>
          </w:p>
        </w:tc>
        <w:tc>
          <w:tcPr>
            <w:tcW w:w="1176" w:type="dxa"/>
            <w:shd w:val="clear" w:color="auto" w:fill="auto"/>
            <w:vAlign w:val="center"/>
          </w:tcPr>
          <w:p w14:paraId="7EE43805" w14:textId="77777777" w:rsidR="00FF2345" w:rsidRDefault="00FF2345">
            <w:pPr>
              <w:jc w:val="both"/>
              <w:rPr>
                <w:rFonts w:cs="Arial"/>
                <w:kern w:val="2"/>
                <w:szCs w:val="20"/>
              </w:rPr>
            </w:pPr>
            <w:r>
              <w:rPr>
                <w:rFonts w:cs="Arial"/>
                <w:color w:val="000000"/>
                <w:kern w:val="2"/>
                <w:szCs w:val="20"/>
              </w:rPr>
              <w:t>0 (0.0)</w:t>
            </w:r>
          </w:p>
        </w:tc>
        <w:tc>
          <w:tcPr>
            <w:tcW w:w="1135" w:type="dxa"/>
            <w:shd w:val="clear" w:color="auto" w:fill="auto"/>
            <w:vAlign w:val="center"/>
          </w:tcPr>
          <w:p w14:paraId="1446072A"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5D8D86BC" w14:textId="77777777" w:rsidR="00FF2345" w:rsidRDefault="00FF2345">
            <w:pPr>
              <w:jc w:val="both"/>
              <w:rPr>
                <w:rFonts w:cs="Arial"/>
                <w:color w:val="000000"/>
                <w:kern w:val="2"/>
                <w:szCs w:val="20"/>
              </w:rPr>
            </w:pPr>
            <w:r>
              <w:rPr>
                <w:rFonts w:cs="Arial"/>
                <w:kern w:val="2"/>
                <w:szCs w:val="20"/>
              </w:rPr>
              <w:t>96.9%</w:t>
            </w:r>
          </w:p>
        </w:tc>
      </w:tr>
      <w:tr w:rsidR="00000000" w14:paraId="129DEEAB" w14:textId="77777777">
        <w:tc>
          <w:tcPr>
            <w:tcW w:w="0" w:type="auto"/>
            <w:shd w:val="clear" w:color="auto" w:fill="auto"/>
          </w:tcPr>
          <w:p w14:paraId="7CE8F1DA" w14:textId="77777777" w:rsidR="00FF2345" w:rsidRDefault="00FF2345">
            <w:pPr>
              <w:jc w:val="both"/>
              <w:rPr>
                <w:rFonts w:cs="Arial"/>
                <w:kern w:val="2"/>
                <w:szCs w:val="20"/>
              </w:rPr>
            </w:pPr>
            <w:r>
              <w:rPr>
                <w:rFonts w:cs="Arial"/>
                <w:kern w:val="2"/>
                <w:szCs w:val="20"/>
              </w:rPr>
              <w:t>Q2</w:t>
            </w:r>
          </w:p>
        </w:tc>
        <w:tc>
          <w:tcPr>
            <w:tcW w:w="6564" w:type="dxa"/>
            <w:shd w:val="clear" w:color="auto" w:fill="auto"/>
          </w:tcPr>
          <w:p w14:paraId="0F93442A" w14:textId="77777777" w:rsidR="00FF2345" w:rsidRDefault="00FF2345">
            <w:pPr>
              <w:jc w:val="both"/>
              <w:rPr>
                <w:rFonts w:cs="Arial"/>
                <w:kern w:val="2"/>
                <w:szCs w:val="20"/>
              </w:rPr>
            </w:pPr>
            <w:r>
              <w:rPr>
                <w:rFonts w:cs="Arial"/>
                <w:color w:val="202124"/>
                <w:kern w:val="2"/>
                <w:szCs w:val="20"/>
              </w:rPr>
              <w:t xml:space="preserve">In cases where the </w:t>
            </w:r>
            <w:proofErr w:type="spellStart"/>
            <w:r>
              <w:rPr>
                <w:rFonts w:cs="Arial"/>
                <w:color w:val="202124"/>
                <w:kern w:val="2"/>
                <w:szCs w:val="20"/>
              </w:rPr>
              <w:t>Xpert</w:t>
            </w:r>
            <w:proofErr w:type="spellEnd"/>
            <w:r>
              <w:rPr>
                <w:rFonts w:cs="Arial"/>
                <w:color w:val="202124"/>
                <w:kern w:val="2"/>
                <w:szCs w:val="20"/>
              </w:rPr>
              <w:t xml:space="preserve"> MTB/RIF assay shows RIF susceptibility, additional molecular DST is necessary to determine the presence of INH resistance</w:t>
            </w:r>
          </w:p>
        </w:tc>
        <w:tc>
          <w:tcPr>
            <w:tcW w:w="1133" w:type="dxa"/>
            <w:shd w:val="clear" w:color="auto" w:fill="auto"/>
            <w:vAlign w:val="center"/>
          </w:tcPr>
          <w:p w14:paraId="1FAABE6D" w14:textId="77777777" w:rsidR="00FF2345" w:rsidRDefault="00FF2345">
            <w:pPr>
              <w:jc w:val="both"/>
              <w:rPr>
                <w:rFonts w:cs="Arial"/>
                <w:kern w:val="2"/>
                <w:szCs w:val="20"/>
              </w:rPr>
            </w:pPr>
            <w:r>
              <w:rPr>
                <w:rFonts w:cs="Arial"/>
                <w:color w:val="000000"/>
                <w:kern w:val="2"/>
                <w:szCs w:val="20"/>
              </w:rPr>
              <w:t>40 (61.5)</w:t>
            </w:r>
          </w:p>
        </w:tc>
        <w:tc>
          <w:tcPr>
            <w:tcW w:w="1134" w:type="dxa"/>
            <w:shd w:val="clear" w:color="auto" w:fill="auto"/>
            <w:vAlign w:val="center"/>
          </w:tcPr>
          <w:p w14:paraId="745813CA" w14:textId="77777777" w:rsidR="00FF2345" w:rsidRDefault="00FF2345">
            <w:pPr>
              <w:jc w:val="both"/>
              <w:rPr>
                <w:rFonts w:cs="Arial"/>
                <w:kern w:val="2"/>
                <w:szCs w:val="20"/>
              </w:rPr>
            </w:pPr>
            <w:r>
              <w:rPr>
                <w:rFonts w:cs="Arial"/>
                <w:color w:val="000000"/>
                <w:kern w:val="2"/>
                <w:szCs w:val="20"/>
              </w:rPr>
              <w:t>18 (27.7)</w:t>
            </w:r>
          </w:p>
        </w:tc>
        <w:tc>
          <w:tcPr>
            <w:tcW w:w="1092" w:type="dxa"/>
            <w:shd w:val="clear" w:color="auto" w:fill="auto"/>
            <w:vAlign w:val="center"/>
          </w:tcPr>
          <w:p w14:paraId="71FC356D" w14:textId="77777777" w:rsidR="00FF2345" w:rsidRDefault="00FF2345">
            <w:pPr>
              <w:jc w:val="both"/>
              <w:rPr>
                <w:rFonts w:cs="Arial"/>
                <w:kern w:val="2"/>
                <w:szCs w:val="20"/>
              </w:rPr>
            </w:pPr>
            <w:r>
              <w:rPr>
                <w:rFonts w:cs="Arial"/>
                <w:color w:val="000000"/>
                <w:kern w:val="2"/>
                <w:szCs w:val="20"/>
              </w:rPr>
              <w:t>7 (10.8)</w:t>
            </w:r>
          </w:p>
        </w:tc>
        <w:tc>
          <w:tcPr>
            <w:tcW w:w="1176" w:type="dxa"/>
            <w:shd w:val="clear" w:color="auto" w:fill="auto"/>
            <w:vAlign w:val="center"/>
          </w:tcPr>
          <w:p w14:paraId="739A78FA" w14:textId="77777777" w:rsidR="00FF2345" w:rsidRDefault="00FF2345">
            <w:pPr>
              <w:jc w:val="both"/>
              <w:rPr>
                <w:rFonts w:cs="Arial"/>
                <w:kern w:val="2"/>
                <w:szCs w:val="20"/>
              </w:rPr>
            </w:pPr>
            <w:r>
              <w:rPr>
                <w:rFonts w:cs="Arial"/>
                <w:color w:val="000000"/>
                <w:kern w:val="2"/>
                <w:szCs w:val="20"/>
              </w:rPr>
              <w:t>0 (0.0)</w:t>
            </w:r>
          </w:p>
        </w:tc>
        <w:tc>
          <w:tcPr>
            <w:tcW w:w="1135" w:type="dxa"/>
            <w:shd w:val="clear" w:color="auto" w:fill="auto"/>
            <w:vAlign w:val="center"/>
          </w:tcPr>
          <w:p w14:paraId="081FFBB2"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4E078C4B" w14:textId="77777777" w:rsidR="00FF2345" w:rsidRDefault="00FF2345">
            <w:pPr>
              <w:jc w:val="both"/>
              <w:rPr>
                <w:rFonts w:cs="Arial"/>
                <w:color w:val="000000"/>
                <w:kern w:val="2"/>
                <w:szCs w:val="20"/>
              </w:rPr>
            </w:pPr>
            <w:r>
              <w:rPr>
                <w:rFonts w:cs="Arial"/>
                <w:kern w:val="2"/>
                <w:szCs w:val="20"/>
              </w:rPr>
              <w:t>89.2%</w:t>
            </w:r>
          </w:p>
        </w:tc>
      </w:tr>
      <w:tr w:rsidR="00000000" w14:paraId="3AC33947" w14:textId="77777777">
        <w:tc>
          <w:tcPr>
            <w:tcW w:w="0" w:type="auto"/>
            <w:shd w:val="clear" w:color="auto" w:fill="auto"/>
          </w:tcPr>
          <w:p w14:paraId="4FD9CC4B" w14:textId="77777777" w:rsidR="00FF2345" w:rsidRDefault="00FF2345">
            <w:pPr>
              <w:jc w:val="both"/>
              <w:rPr>
                <w:rFonts w:cs="Arial"/>
                <w:kern w:val="2"/>
                <w:szCs w:val="20"/>
              </w:rPr>
            </w:pPr>
            <w:r>
              <w:rPr>
                <w:rFonts w:cs="Arial"/>
                <w:kern w:val="2"/>
                <w:szCs w:val="20"/>
              </w:rPr>
              <w:t>Q3</w:t>
            </w:r>
          </w:p>
        </w:tc>
        <w:tc>
          <w:tcPr>
            <w:tcW w:w="6564" w:type="dxa"/>
            <w:shd w:val="clear" w:color="auto" w:fill="auto"/>
          </w:tcPr>
          <w:p w14:paraId="717F3F98" w14:textId="77777777" w:rsidR="00FF2345" w:rsidRDefault="00FF2345">
            <w:pPr>
              <w:jc w:val="both"/>
              <w:rPr>
                <w:rFonts w:cs="Arial"/>
                <w:color w:val="202124"/>
                <w:kern w:val="2"/>
                <w:szCs w:val="20"/>
              </w:rPr>
            </w:pPr>
            <w:r>
              <w:rPr>
                <w:rFonts w:cs="Arial"/>
                <w:color w:val="202124"/>
                <w:kern w:val="2"/>
                <w:szCs w:val="20"/>
              </w:rPr>
              <w:t>When molecular DST confirms the presence of INH resistance genetic mutations, it is essential to consider the type of mutation (</w:t>
            </w:r>
            <w:proofErr w:type="spellStart"/>
            <w:r>
              <w:rPr>
                <w:rFonts w:cs="Arial"/>
                <w:i/>
                <w:iCs/>
                <w:color w:val="202124"/>
                <w:kern w:val="2"/>
                <w:szCs w:val="20"/>
              </w:rPr>
              <w:t>inhA</w:t>
            </w:r>
            <w:proofErr w:type="spellEnd"/>
            <w:r>
              <w:rPr>
                <w:rFonts w:cs="Arial"/>
                <w:color w:val="202124"/>
                <w:kern w:val="2"/>
                <w:szCs w:val="20"/>
              </w:rPr>
              <w:t xml:space="preserve"> or </w:t>
            </w:r>
            <w:proofErr w:type="spellStart"/>
            <w:r>
              <w:rPr>
                <w:rFonts w:cs="Arial"/>
                <w:i/>
                <w:iCs/>
                <w:color w:val="202124"/>
                <w:kern w:val="2"/>
                <w:szCs w:val="20"/>
              </w:rPr>
              <w:t>katG</w:t>
            </w:r>
            <w:proofErr w:type="spellEnd"/>
            <w:r>
              <w:rPr>
                <w:rFonts w:cs="Arial"/>
                <w:color w:val="202124"/>
                <w:kern w:val="2"/>
                <w:szCs w:val="20"/>
              </w:rPr>
              <w:t>) for interpretation.</w:t>
            </w:r>
          </w:p>
        </w:tc>
        <w:tc>
          <w:tcPr>
            <w:tcW w:w="1133" w:type="dxa"/>
            <w:shd w:val="clear" w:color="auto" w:fill="auto"/>
            <w:vAlign w:val="center"/>
          </w:tcPr>
          <w:p w14:paraId="39B7AF11" w14:textId="77777777" w:rsidR="00FF2345" w:rsidRDefault="00FF2345">
            <w:pPr>
              <w:jc w:val="both"/>
              <w:rPr>
                <w:rFonts w:cs="Arial"/>
                <w:kern w:val="2"/>
                <w:szCs w:val="20"/>
              </w:rPr>
            </w:pPr>
            <w:r>
              <w:rPr>
                <w:rFonts w:cs="Arial"/>
                <w:color w:val="000000"/>
                <w:kern w:val="2"/>
                <w:szCs w:val="20"/>
              </w:rPr>
              <w:t>23 (35.4)</w:t>
            </w:r>
          </w:p>
        </w:tc>
        <w:tc>
          <w:tcPr>
            <w:tcW w:w="1134" w:type="dxa"/>
            <w:shd w:val="clear" w:color="auto" w:fill="auto"/>
            <w:vAlign w:val="center"/>
          </w:tcPr>
          <w:p w14:paraId="56C3FAF6" w14:textId="77777777" w:rsidR="00FF2345" w:rsidRDefault="00FF2345">
            <w:pPr>
              <w:jc w:val="both"/>
              <w:rPr>
                <w:rFonts w:cs="Arial"/>
                <w:kern w:val="2"/>
                <w:szCs w:val="20"/>
              </w:rPr>
            </w:pPr>
            <w:r>
              <w:rPr>
                <w:rFonts w:cs="Arial"/>
                <w:color w:val="000000"/>
                <w:kern w:val="2"/>
                <w:szCs w:val="20"/>
              </w:rPr>
              <w:t>24 (36.9)</w:t>
            </w:r>
          </w:p>
        </w:tc>
        <w:tc>
          <w:tcPr>
            <w:tcW w:w="1092" w:type="dxa"/>
            <w:shd w:val="clear" w:color="auto" w:fill="auto"/>
            <w:vAlign w:val="center"/>
          </w:tcPr>
          <w:p w14:paraId="377F9CC3" w14:textId="77777777" w:rsidR="00FF2345" w:rsidRDefault="00FF2345">
            <w:pPr>
              <w:jc w:val="both"/>
              <w:rPr>
                <w:rFonts w:cs="Arial"/>
                <w:kern w:val="2"/>
                <w:szCs w:val="20"/>
              </w:rPr>
            </w:pPr>
            <w:r>
              <w:rPr>
                <w:rFonts w:cs="Arial"/>
                <w:color w:val="000000"/>
                <w:kern w:val="2"/>
                <w:szCs w:val="20"/>
              </w:rPr>
              <w:t>17 (26.2)</w:t>
            </w:r>
          </w:p>
        </w:tc>
        <w:tc>
          <w:tcPr>
            <w:tcW w:w="1176" w:type="dxa"/>
            <w:shd w:val="clear" w:color="auto" w:fill="auto"/>
            <w:vAlign w:val="center"/>
          </w:tcPr>
          <w:p w14:paraId="35ADC62C" w14:textId="77777777" w:rsidR="00FF2345" w:rsidRDefault="00FF2345">
            <w:pPr>
              <w:jc w:val="both"/>
              <w:rPr>
                <w:rFonts w:cs="Arial"/>
                <w:kern w:val="2"/>
                <w:szCs w:val="20"/>
              </w:rPr>
            </w:pPr>
            <w:r>
              <w:rPr>
                <w:rFonts w:cs="Arial"/>
                <w:color w:val="000000"/>
                <w:kern w:val="2"/>
                <w:szCs w:val="20"/>
              </w:rPr>
              <w:t>1 (1.5)</w:t>
            </w:r>
          </w:p>
        </w:tc>
        <w:tc>
          <w:tcPr>
            <w:tcW w:w="1135" w:type="dxa"/>
            <w:shd w:val="clear" w:color="auto" w:fill="auto"/>
            <w:vAlign w:val="center"/>
          </w:tcPr>
          <w:p w14:paraId="66985DF3"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7E59168E" w14:textId="77777777" w:rsidR="00FF2345" w:rsidRDefault="00FF2345">
            <w:pPr>
              <w:jc w:val="both"/>
              <w:rPr>
                <w:rFonts w:cs="Arial"/>
                <w:color w:val="000000"/>
                <w:kern w:val="2"/>
                <w:szCs w:val="20"/>
              </w:rPr>
            </w:pPr>
            <w:r>
              <w:rPr>
                <w:rFonts w:cs="Arial"/>
                <w:kern w:val="2"/>
                <w:szCs w:val="20"/>
              </w:rPr>
              <w:t>72.3%</w:t>
            </w:r>
          </w:p>
        </w:tc>
      </w:tr>
      <w:tr w:rsidR="00000000" w14:paraId="33DC753A" w14:textId="77777777">
        <w:tc>
          <w:tcPr>
            <w:tcW w:w="0" w:type="auto"/>
            <w:shd w:val="clear" w:color="auto" w:fill="auto"/>
          </w:tcPr>
          <w:p w14:paraId="6E791DA6" w14:textId="77777777" w:rsidR="00FF2345" w:rsidRDefault="00FF2345">
            <w:pPr>
              <w:jc w:val="both"/>
              <w:rPr>
                <w:rFonts w:cs="Arial"/>
                <w:kern w:val="2"/>
                <w:szCs w:val="20"/>
              </w:rPr>
            </w:pPr>
            <w:r>
              <w:rPr>
                <w:rFonts w:cs="Arial"/>
                <w:kern w:val="2"/>
                <w:szCs w:val="20"/>
              </w:rPr>
              <w:t>Q4</w:t>
            </w:r>
          </w:p>
        </w:tc>
        <w:tc>
          <w:tcPr>
            <w:tcW w:w="6564" w:type="dxa"/>
            <w:shd w:val="clear" w:color="auto" w:fill="auto"/>
          </w:tcPr>
          <w:p w14:paraId="377366BC" w14:textId="77777777" w:rsidR="00FF2345" w:rsidRDefault="00FF2345">
            <w:pPr>
              <w:jc w:val="both"/>
              <w:rPr>
                <w:rFonts w:cs="Arial"/>
                <w:color w:val="202124"/>
                <w:kern w:val="2"/>
                <w:szCs w:val="20"/>
              </w:rPr>
            </w:pPr>
            <w:r>
              <w:rPr>
                <w:rFonts w:cs="Arial"/>
                <w:color w:val="202124"/>
                <w:kern w:val="2"/>
                <w:szCs w:val="20"/>
              </w:rPr>
              <w:t xml:space="preserve">When molecular DST confirms the presence of INH resistance genetic mutations, molecular DST for fluoroquinolones should be conducted for cases with confirmed INH resistance genetic </w:t>
            </w:r>
            <w:r>
              <w:rPr>
                <w:rFonts w:cs="Arial"/>
                <w:color w:val="202124"/>
                <w:kern w:val="2"/>
                <w:szCs w:val="20"/>
              </w:rPr>
              <w:lastRenderedPageBreak/>
              <w:t>mutations.</w:t>
            </w:r>
          </w:p>
        </w:tc>
        <w:tc>
          <w:tcPr>
            <w:tcW w:w="1133" w:type="dxa"/>
            <w:shd w:val="clear" w:color="auto" w:fill="auto"/>
            <w:vAlign w:val="center"/>
          </w:tcPr>
          <w:p w14:paraId="613916D5" w14:textId="77777777" w:rsidR="00FF2345" w:rsidRDefault="00FF2345">
            <w:pPr>
              <w:jc w:val="both"/>
              <w:rPr>
                <w:rFonts w:cs="Arial"/>
                <w:kern w:val="2"/>
                <w:szCs w:val="20"/>
              </w:rPr>
            </w:pPr>
            <w:r>
              <w:rPr>
                <w:rFonts w:cs="Arial"/>
                <w:color w:val="000000"/>
                <w:kern w:val="2"/>
                <w:szCs w:val="20"/>
              </w:rPr>
              <w:lastRenderedPageBreak/>
              <w:t>34 (52.3)</w:t>
            </w:r>
          </w:p>
        </w:tc>
        <w:tc>
          <w:tcPr>
            <w:tcW w:w="1134" w:type="dxa"/>
            <w:shd w:val="clear" w:color="auto" w:fill="auto"/>
            <w:vAlign w:val="center"/>
          </w:tcPr>
          <w:p w14:paraId="662DCFBB" w14:textId="77777777" w:rsidR="00FF2345" w:rsidRDefault="00FF2345">
            <w:pPr>
              <w:jc w:val="both"/>
              <w:rPr>
                <w:rFonts w:cs="Arial"/>
                <w:kern w:val="2"/>
                <w:szCs w:val="20"/>
              </w:rPr>
            </w:pPr>
            <w:r>
              <w:rPr>
                <w:rFonts w:cs="Arial"/>
                <w:color w:val="000000"/>
                <w:kern w:val="2"/>
                <w:szCs w:val="20"/>
              </w:rPr>
              <w:t>21 (32.3)</w:t>
            </w:r>
          </w:p>
        </w:tc>
        <w:tc>
          <w:tcPr>
            <w:tcW w:w="1092" w:type="dxa"/>
            <w:shd w:val="clear" w:color="auto" w:fill="auto"/>
            <w:vAlign w:val="center"/>
          </w:tcPr>
          <w:p w14:paraId="0687176C" w14:textId="77777777" w:rsidR="00FF2345" w:rsidRDefault="00FF2345">
            <w:pPr>
              <w:jc w:val="both"/>
              <w:rPr>
                <w:rFonts w:cs="Arial"/>
                <w:kern w:val="2"/>
                <w:szCs w:val="20"/>
              </w:rPr>
            </w:pPr>
            <w:r>
              <w:rPr>
                <w:rFonts w:cs="Arial"/>
                <w:color w:val="000000"/>
                <w:kern w:val="2"/>
                <w:szCs w:val="20"/>
              </w:rPr>
              <w:t>7 (10.8)</w:t>
            </w:r>
          </w:p>
        </w:tc>
        <w:tc>
          <w:tcPr>
            <w:tcW w:w="1176" w:type="dxa"/>
            <w:shd w:val="clear" w:color="auto" w:fill="auto"/>
            <w:vAlign w:val="center"/>
          </w:tcPr>
          <w:p w14:paraId="079A3F96" w14:textId="77777777" w:rsidR="00FF2345" w:rsidRDefault="00FF2345">
            <w:pPr>
              <w:jc w:val="both"/>
              <w:rPr>
                <w:rFonts w:cs="Arial"/>
                <w:kern w:val="2"/>
                <w:szCs w:val="20"/>
              </w:rPr>
            </w:pPr>
            <w:r>
              <w:rPr>
                <w:rFonts w:cs="Arial"/>
                <w:color w:val="000000"/>
                <w:kern w:val="2"/>
                <w:szCs w:val="20"/>
              </w:rPr>
              <w:t>3 (4.6)</w:t>
            </w:r>
          </w:p>
        </w:tc>
        <w:tc>
          <w:tcPr>
            <w:tcW w:w="1135" w:type="dxa"/>
            <w:shd w:val="clear" w:color="auto" w:fill="auto"/>
            <w:vAlign w:val="center"/>
          </w:tcPr>
          <w:p w14:paraId="43861D8E"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0B28B60B" w14:textId="77777777" w:rsidR="00FF2345" w:rsidRDefault="00FF2345">
            <w:pPr>
              <w:jc w:val="both"/>
              <w:rPr>
                <w:rFonts w:cs="Arial"/>
                <w:color w:val="000000"/>
                <w:kern w:val="2"/>
                <w:szCs w:val="20"/>
              </w:rPr>
            </w:pPr>
            <w:r>
              <w:rPr>
                <w:rFonts w:cs="Arial"/>
                <w:kern w:val="2"/>
                <w:szCs w:val="20"/>
              </w:rPr>
              <w:t>84.6%</w:t>
            </w:r>
          </w:p>
        </w:tc>
      </w:tr>
      <w:tr w:rsidR="00000000" w14:paraId="61EB4C4F" w14:textId="77777777">
        <w:tc>
          <w:tcPr>
            <w:tcW w:w="0" w:type="auto"/>
            <w:shd w:val="clear" w:color="auto" w:fill="auto"/>
          </w:tcPr>
          <w:p w14:paraId="2B89F283" w14:textId="77777777" w:rsidR="00FF2345" w:rsidRDefault="00FF2345">
            <w:pPr>
              <w:jc w:val="both"/>
              <w:rPr>
                <w:rFonts w:cs="Arial"/>
                <w:kern w:val="2"/>
                <w:szCs w:val="20"/>
              </w:rPr>
            </w:pPr>
            <w:r>
              <w:rPr>
                <w:rFonts w:cs="Arial"/>
                <w:kern w:val="2"/>
                <w:szCs w:val="20"/>
              </w:rPr>
              <w:t>Q5</w:t>
            </w:r>
          </w:p>
        </w:tc>
        <w:tc>
          <w:tcPr>
            <w:tcW w:w="6564" w:type="dxa"/>
            <w:shd w:val="clear" w:color="auto" w:fill="auto"/>
          </w:tcPr>
          <w:p w14:paraId="66294728" w14:textId="77777777" w:rsidR="00FF2345" w:rsidRDefault="00FF2345">
            <w:pPr>
              <w:jc w:val="both"/>
              <w:rPr>
                <w:rFonts w:cs="Arial"/>
                <w:color w:val="202124"/>
                <w:kern w:val="2"/>
                <w:szCs w:val="20"/>
              </w:rPr>
            </w:pPr>
            <w:r>
              <w:rPr>
                <w:rFonts w:cs="Arial"/>
                <w:color w:val="202124"/>
                <w:kern w:val="2"/>
                <w:szCs w:val="20"/>
              </w:rPr>
              <w:t xml:space="preserve">Regardless of the molecular DST results, all tuberculosis patients should </w:t>
            </w:r>
            <w:proofErr w:type="gramStart"/>
            <w:r>
              <w:rPr>
                <w:rFonts w:cs="Arial"/>
                <w:color w:val="202124"/>
                <w:kern w:val="2"/>
                <w:szCs w:val="20"/>
              </w:rPr>
              <w:t>undergo  phenotypic</w:t>
            </w:r>
            <w:proofErr w:type="gramEnd"/>
            <w:r>
              <w:rPr>
                <w:rFonts w:cs="Arial"/>
                <w:color w:val="202124"/>
                <w:kern w:val="2"/>
                <w:szCs w:val="20"/>
              </w:rPr>
              <w:t xml:space="preserve"> DST using the initial culture isolates and confirm the presence of INH resistance.</w:t>
            </w:r>
          </w:p>
        </w:tc>
        <w:tc>
          <w:tcPr>
            <w:tcW w:w="1133" w:type="dxa"/>
            <w:shd w:val="clear" w:color="auto" w:fill="auto"/>
            <w:vAlign w:val="center"/>
          </w:tcPr>
          <w:p w14:paraId="589BB2E1" w14:textId="77777777" w:rsidR="00FF2345" w:rsidRDefault="00FF2345">
            <w:pPr>
              <w:jc w:val="both"/>
              <w:rPr>
                <w:rFonts w:cs="Arial"/>
                <w:kern w:val="2"/>
                <w:szCs w:val="20"/>
              </w:rPr>
            </w:pPr>
            <w:r>
              <w:rPr>
                <w:rFonts w:cs="Arial"/>
                <w:color w:val="000000"/>
                <w:kern w:val="2"/>
                <w:szCs w:val="20"/>
              </w:rPr>
              <w:t>50 (76.9)</w:t>
            </w:r>
          </w:p>
        </w:tc>
        <w:tc>
          <w:tcPr>
            <w:tcW w:w="1134" w:type="dxa"/>
            <w:shd w:val="clear" w:color="auto" w:fill="auto"/>
            <w:vAlign w:val="center"/>
          </w:tcPr>
          <w:p w14:paraId="682A4A69" w14:textId="77777777" w:rsidR="00FF2345" w:rsidRDefault="00FF2345">
            <w:pPr>
              <w:jc w:val="both"/>
              <w:rPr>
                <w:rFonts w:cs="Arial"/>
                <w:kern w:val="2"/>
                <w:szCs w:val="20"/>
              </w:rPr>
            </w:pPr>
            <w:r>
              <w:rPr>
                <w:rFonts w:cs="Arial"/>
                <w:color w:val="000000"/>
                <w:kern w:val="2"/>
                <w:szCs w:val="20"/>
              </w:rPr>
              <w:t>13 (20.0)</w:t>
            </w:r>
          </w:p>
        </w:tc>
        <w:tc>
          <w:tcPr>
            <w:tcW w:w="1092" w:type="dxa"/>
            <w:shd w:val="clear" w:color="auto" w:fill="auto"/>
            <w:vAlign w:val="center"/>
          </w:tcPr>
          <w:p w14:paraId="397594D5" w14:textId="77777777" w:rsidR="00FF2345" w:rsidRDefault="00FF2345">
            <w:pPr>
              <w:jc w:val="both"/>
              <w:rPr>
                <w:rFonts w:cs="Arial"/>
                <w:kern w:val="2"/>
                <w:szCs w:val="20"/>
              </w:rPr>
            </w:pPr>
            <w:r>
              <w:rPr>
                <w:rFonts w:cs="Arial"/>
                <w:color w:val="000000"/>
                <w:kern w:val="2"/>
                <w:szCs w:val="20"/>
              </w:rPr>
              <w:t>1 (1.5)</w:t>
            </w:r>
          </w:p>
        </w:tc>
        <w:tc>
          <w:tcPr>
            <w:tcW w:w="1176" w:type="dxa"/>
            <w:shd w:val="clear" w:color="auto" w:fill="auto"/>
            <w:vAlign w:val="center"/>
          </w:tcPr>
          <w:p w14:paraId="6EDB7E6D" w14:textId="77777777" w:rsidR="00FF2345" w:rsidRDefault="00FF2345">
            <w:pPr>
              <w:jc w:val="both"/>
              <w:rPr>
                <w:rFonts w:cs="Arial"/>
                <w:kern w:val="2"/>
                <w:szCs w:val="20"/>
              </w:rPr>
            </w:pPr>
            <w:r>
              <w:rPr>
                <w:rFonts w:cs="Arial"/>
                <w:color w:val="000000"/>
                <w:kern w:val="2"/>
                <w:szCs w:val="20"/>
              </w:rPr>
              <w:t>1 (1.5)</w:t>
            </w:r>
          </w:p>
        </w:tc>
        <w:tc>
          <w:tcPr>
            <w:tcW w:w="1135" w:type="dxa"/>
            <w:shd w:val="clear" w:color="auto" w:fill="auto"/>
            <w:vAlign w:val="center"/>
          </w:tcPr>
          <w:p w14:paraId="758E0DA3"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65AE11BC" w14:textId="77777777" w:rsidR="00FF2345" w:rsidRDefault="00FF2345">
            <w:pPr>
              <w:jc w:val="both"/>
              <w:rPr>
                <w:rFonts w:cs="Arial"/>
                <w:color w:val="000000"/>
                <w:kern w:val="2"/>
                <w:szCs w:val="20"/>
              </w:rPr>
            </w:pPr>
            <w:r>
              <w:rPr>
                <w:rFonts w:cs="Arial"/>
                <w:kern w:val="2"/>
                <w:szCs w:val="20"/>
              </w:rPr>
              <w:t>96.9%</w:t>
            </w:r>
          </w:p>
        </w:tc>
      </w:tr>
      <w:tr w:rsidR="00000000" w14:paraId="0C907482" w14:textId="77777777">
        <w:tc>
          <w:tcPr>
            <w:tcW w:w="0" w:type="auto"/>
            <w:shd w:val="clear" w:color="auto" w:fill="auto"/>
          </w:tcPr>
          <w:p w14:paraId="1ADB6BF0" w14:textId="77777777" w:rsidR="00FF2345" w:rsidRDefault="00FF2345">
            <w:pPr>
              <w:jc w:val="both"/>
              <w:rPr>
                <w:rFonts w:cs="Arial"/>
                <w:kern w:val="2"/>
                <w:szCs w:val="20"/>
              </w:rPr>
            </w:pPr>
            <w:r>
              <w:rPr>
                <w:rFonts w:cs="Arial"/>
                <w:kern w:val="2"/>
                <w:szCs w:val="20"/>
              </w:rPr>
              <w:t>Q6</w:t>
            </w:r>
          </w:p>
        </w:tc>
        <w:tc>
          <w:tcPr>
            <w:tcW w:w="6564" w:type="dxa"/>
            <w:shd w:val="clear" w:color="auto" w:fill="auto"/>
          </w:tcPr>
          <w:p w14:paraId="6EC8859D" w14:textId="77777777" w:rsidR="00FF2345" w:rsidRDefault="00FF2345">
            <w:pPr>
              <w:jc w:val="both"/>
              <w:rPr>
                <w:rFonts w:cs="Arial"/>
                <w:color w:val="202124"/>
                <w:kern w:val="2"/>
                <w:szCs w:val="20"/>
              </w:rPr>
            </w:pPr>
            <w:r>
              <w:rPr>
                <w:rFonts w:cs="Arial"/>
                <w:color w:val="202124"/>
                <w:kern w:val="2"/>
                <w:szCs w:val="20"/>
              </w:rPr>
              <w:t>In cases of discrepancy between the results of molecular and phenotypic DSTs, the phenotypic DST results should be prioritized.</w:t>
            </w:r>
          </w:p>
        </w:tc>
        <w:tc>
          <w:tcPr>
            <w:tcW w:w="1133" w:type="dxa"/>
            <w:shd w:val="clear" w:color="auto" w:fill="auto"/>
            <w:vAlign w:val="center"/>
          </w:tcPr>
          <w:p w14:paraId="1DBAD76A" w14:textId="77777777" w:rsidR="00FF2345" w:rsidRDefault="00FF2345">
            <w:pPr>
              <w:jc w:val="both"/>
              <w:rPr>
                <w:rFonts w:cs="Arial"/>
                <w:kern w:val="2"/>
                <w:szCs w:val="20"/>
              </w:rPr>
            </w:pPr>
            <w:r>
              <w:rPr>
                <w:rFonts w:cs="Arial"/>
                <w:color w:val="000000"/>
                <w:kern w:val="2"/>
                <w:szCs w:val="20"/>
              </w:rPr>
              <w:t>21 (32.3)</w:t>
            </w:r>
          </w:p>
        </w:tc>
        <w:tc>
          <w:tcPr>
            <w:tcW w:w="1134" w:type="dxa"/>
            <w:shd w:val="clear" w:color="auto" w:fill="auto"/>
            <w:vAlign w:val="center"/>
          </w:tcPr>
          <w:p w14:paraId="23E6CF42" w14:textId="77777777" w:rsidR="00FF2345" w:rsidRDefault="00FF2345">
            <w:pPr>
              <w:jc w:val="both"/>
              <w:rPr>
                <w:rFonts w:cs="Arial"/>
                <w:kern w:val="2"/>
                <w:szCs w:val="20"/>
              </w:rPr>
            </w:pPr>
            <w:r>
              <w:rPr>
                <w:rFonts w:cs="Arial"/>
                <w:color w:val="000000"/>
                <w:kern w:val="2"/>
                <w:szCs w:val="20"/>
              </w:rPr>
              <w:t>19 (29.2)</w:t>
            </w:r>
          </w:p>
        </w:tc>
        <w:tc>
          <w:tcPr>
            <w:tcW w:w="1092" w:type="dxa"/>
            <w:shd w:val="clear" w:color="auto" w:fill="auto"/>
            <w:vAlign w:val="center"/>
          </w:tcPr>
          <w:p w14:paraId="68A9D0F8" w14:textId="77777777" w:rsidR="00FF2345" w:rsidRDefault="00FF2345">
            <w:pPr>
              <w:jc w:val="both"/>
              <w:rPr>
                <w:rFonts w:cs="Arial"/>
                <w:kern w:val="2"/>
                <w:szCs w:val="20"/>
              </w:rPr>
            </w:pPr>
            <w:r>
              <w:rPr>
                <w:rFonts w:cs="Arial"/>
                <w:color w:val="000000"/>
                <w:kern w:val="2"/>
                <w:szCs w:val="20"/>
              </w:rPr>
              <w:t>8 (12.3)</w:t>
            </w:r>
          </w:p>
        </w:tc>
        <w:tc>
          <w:tcPr>
            <w:tcW w:w="1176" w:type="dxa"/>
            <w:shd w:val="clear" w:color="auto" w:fill="auto"/>
            <w:vAlign w:val="center"/>
          </w:tcPr>
          <w:p w14:paraId="55C2AA8F" w14:textId="77777777" w:rsidR="00FF2345" w:rsidRDefault="00FF2345">
            <w:pPr>
              <w:jc w:val="both"/>
              <w:rPr>
                <w:rFonts w:cs="Arial"/>
                <w:kern w:val="2"/>
                <w:szCs w:val="20"/>
              </w:rPr>
            </w:pPr>
            <w:r>
              <w:rPr>
                <w:rFonts w:cs="Arial"/>
                <w:color w:val="000000"/>
                <w:kern w:val="2"/>
                <w:szCs w:val="20"/>
              </w:rPr>
              <w:t>15 (23.1)</w:t>
            </w:r>
          </w:p>
        </w:tc>
        <w:tc>
          <w:tcPr>
            <w:tcW w:w="1135" w:type="dxa"/>
            <w:shd w:val="clear" w:color="auto" w:fill="auto"/>
            <w:vAlign w:val="center"/>
          </w:tcPr>
          <w:p w14:paraId="28162271" w14:textId="77777777" w:rsidR="00FF2345" w:rsidRDefault="00FF2345">
            <w:pPr>
              <w:jc w:val="both"/>
              <w:rPr>
                <w:rFonts w:cs="Arial"/>
                <w:kern w:val="2"/>
                <w:szCs w:val="20"/>
              </w:rPr>
            </w:pPr>
            <w:r>
              <w:rPr>
                <w:rFonts w:cs="Arial"/>
                <w:color w:val="000000"/>
                <w:kern w:val="2"/>
                <w:szCs w:val="20"/>
              </w:rPr>
              <w:t>1 (1.5)</w:t>
            </w:r>
          </w:p>
        </w:tc>
        <w:tc>
          <w:tcPr>
            <w:tcW w:w="1194" w:type="dxa"/>
            <w:shd w:val="clear" w:color="auto" w:fill="auto"/>
            <w:vAlign w:val="center"/>
          </w:tcPr>
          <w:p w14:paraId="74341181" w14:textId="77777777" w:rsidR="00FF2345" w:rsidRDefault="00FF2345">
            <w:pPr>
              <w:jc w:val="both"/>
              <w:rPr>
                <w:rFonts w:cs="Arial"/>
                <w:color w:val="000000"/>
                <w:kern w:val="2"/>
                <w:szCs w:val="20"/>
              </w:rPr>
            </w:pPr>
            <w:r>
              <w:rPr>
                <w:rFonts w:cs="Arial"/>
                <w:kern w:val="2"/>
                <w:szCs w:val="20"/>
              </w:rPr>
              <w:t>62.5%</w:t>
            </w:r>
          </w:p>
        </w:tc>
      </w:tr>
      <w:tr w:rsidR="00000000" w14:paraId="4B3D1AC1" w14:textId="77777777">
        <w:tc>
          <w:tcPr>
            <w:tcW w:w="0" w:type="auto"/>
            <w:gridSpan w:val="8"/>
            <w:shd w:val="clear" w:color="auto" w:fill="auto"/>
            <w:vAlign w:val="center"/>
          </w:tcPr>
          <w:p w14:paraId="1CD24F68" w14:textId="77777777" w:rsidR="00FF2345" w:rsidRDefault="00FF2345">
            <w:pPr>
              <w:jc w:val="both"/>
              <w:rPr>
                <w:rFonts w:cs="Arial"/>
                <w:color w:val="000000"/>
                <w:kern w:val="2"/>
                <w:szCs w:val="20"/>
              </w:rPr>
            </w:pPr>
            <w:r>
              <w:rPr>
                <w:rFonts w:cs="Arial"/>
                <w:color w:val="000000"/>
                <w:kern w:val="2"/>
                <w:szCs w:val="20"/>
              </w:rPr>
              <w:t>Treatment</w:t>
            </w:r>
          </w:p>
        </w:tc>
      </w:tr>
      <w:tr w:rsidR="00000000" w14:paraId="301702AC" w14:textId="77777777">
        <w:tc>
          <w:tcPr>
            <w:tcW w:w="0" w:type="auto"/>
            <w:shd w:val="clear" w:color="auto" w:fill="auto"/>
          </w:tcPr>
          <w:p w14:paraId="02382D04" w14:textId="77777777" w:rsidR="00FF2345" w:rsidRDefault="00FF2345">
            <w:pPr>
              <w:jc w:val="both"/>
              <w:rPr>
                <w:rFonts w:cs="Arial"/>
                <w:kern w:val="2"/>
                <w:szCs w:val="20"/>
              </w:rPr>
            </w:pPr>
            <w:r>
              <w:rPr>
                <w:rFonts w:cs="Arial"/>
                <w:kern w:val="2"/>
                <w:szCs w:val="20"/>
              </w:rPr>
              <w:t>Q1</w:t>
            </w:r>
          </w:p>
        </w:tc>
        <w:tc>
          <w:tcPr>
            <w:tcW w:w="6564" w:type="dxa"/>
            <w:shd w:val="clear" w:color="auto" w:fill="auto"/>
          </w:tcPr>
          <w:p w14:paraId="4023B032" w14:textId="77777777" w:rsidR="00FF2345" w:rsidRDefault="00FF2345">
            <w:pPr>
              <w:jc w:val="both"/>
              <w:rPr>
                <w:rFonts w:cs="Arial"/>
                <w:color w:val="202124"/>
                <w:kern w:val="2"/>
                <w:szCs w:val="20"/>
              </w:rPr>
            </w:pPr>
            <w:r>
              <w:rPr>
                <w:rFonts w:cs="Arial"/>
                <w:color w:val="202124"/>
                <w:kern w:val="2"/>
                <w:szCs w:val="20"/>
              </w:rPr>
              <w:t>Treatment regimens should be changed from the point of diagnosis of INH monoresistance in molecular and/or phenotypic DST.</w:t>
            </w:r>
          </w:p>
        </w:tc>
        <w:tc>
          <w:tcPr>
            <w:tcW w:w="1133" w:type="dxa"/>
            <w:shd w:val="clear" w:color="auto" w:fill="auto"/>
            <w:vAlign w:val="center"/>
          </w:tcPr>
          <w:p w14:paraId="342B3B6B" w14:textId="77777777" w:rsidR="00FF2345" w:rsidRDefault="00FF2345">
            <w:pPr>
              <w:jc w:val="both"/>
              <w:rPr>
                <w:rFonts w:cs="Arial"/>
                <w:kern w:val="2"/>
                <w:szCs w:val="20"/>
              </w:rPr>
            </w:pPr>
            <w:r>
              <w:rPr>
                <w:rFonts w:cs="Arial"/>
                <w:color w:val="000000"/>
                <w:kern w:val="2"/>
                <w:szCs w:val="20"/>
              </w:rPr>
              <w:t>39 (60.0)</w:t>
            </w:r>
          </w:p>
        </w:tc>
        <w:tc>
          <w:tcPr>
            <w:tcW w:w="1134" w:type="dxa"/>
            <w:shd w:val="clear" w:color="auto" w:fill="auto"/>
            <w:vAlign w:val="center"/>
          </w:tcPr>
          <w:p w14:paraId="79934CC3" w14:textId="77777777" w:rsidR="00FF2345" w:rsidRDefault="00FF2345">
            <w:pPr>
              <w:jc w:val="both"/>
              <w:rPr>
                <w:rFonts w:cs="Arial"/>
                <w:kern w:val="2"/>
                <w:szCs w:val="20"/>
              </w:rPr>
            </w:pPr>
            <w:r>
              <w:rPr>
                <w:rFonts w:cs="Arial"/>
                <w:color w:val="000000"/>
                <w:kern w:val="2"/>
                <w:szCs w:val="20"/>
              </w:rPr>
              <w:t>21 (32.3)</w:t>
            </w:r>
          </w:p>
        </w:tc>
        <w:tc>
          <w:tcPr>
            <w:tcW w:w="1092" w:type="dxa"/>
            <w:shd w:val="clear" w:color="auto" w:fill="auto"/>
            <w:vAlign w:val="center"/>
          </w:tcPr>
          <w:p w14:paraId="22F4CD54" w14:textId="77777777" w:rsidR="00FF2345" w:rsidRDefault="00FF2345">
            <w:pPr>
              <w:jc w:val="both"/>
              <w:rPr>
                <w:rFonts w:cs="Arial"/>
                <w:kern w:val="2"/>
                <w:szCs w:val="20"/>
              </w:rPr>
            </w:pPr>
            <w:r>
              <w:rPr>
                <w:rFonts w:cs="Arial"/>
                <w:color w:val="000000"/>
                <w:kern w:val="2"/>
                <w:szCs w:val="20"/>
              </w:rPr>
              <w:t>5 (7.7)</w:t>
            </w:r>
          </w:p>
        </w:tc>
        <w:tc>
          <w:tcPr>
            <w:tcW w:w="1176" w:type="dxa"/>
            <w:shd w:val="clear" w:color="auto" w:fill="auto"/>
            <w:vAlign w:val="center"/>
          </w:tcPr>
          <w:p w14:paraId="2475C5FE" w14:textId="77777777" w:rsidR="00FF2345" w:rsidRDefault="00FF2345">
            <w:pPr>
              <w:jc w:val="both"/>
              <w:rPr>
                <w:rFonts w:cs="Arial"/>
                <w:kern w:val="2"/>
                <w:szCs w:val="20"/>
              </w:rPr>
            </w:pPr>
            <w:r>
              <w:rPr>
                <w:rFonts w:cs="Arial"/>
                <w:color w:val="000000"/>
                <w:kern w:val="2"/>
                <w:szCs w:val="20"/>
              </w:rPr>
              <w:t>0 (0.0)</w:t>
            </w:r>
          </w:p>
        </w:tc>
        <w:tc>
          <w:tcPr>
            <w:tcW w:w="1135" w:type="dxa"/>
            <w:shd w:val="clear" w:color="auto" w:fill="auto"/>
            <w:vAlign w:val="center"/>
          </w:tcPr>
          <w:p w14:paraId="553956C5"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13C2B7EF" w14:textId="77777777" w:rsidR="00FF2345" w:rsidRDefault="00FF2345">
            <w:pPr>
              <w:jc w:val="both"/>
              <w:rPr>
                <w:rFonts w:cs="Arial"/>
                <w:color w:val="000000"/>
                <w:kern w:val="2"/>
                <w:szCs w:val="20"/>
              </w:rPr>
            </w:pPr>
            <w:r>
              <w:rPr>
                <w:rFonts w:cs="Arial"/>
                <w:kern w:val="2"/>
                <w:szCs w:val="20"/>
              </w:rPr>
              <w:t>92.3%</w:t>
            </w:r>
          </w:p>
        </w:tc>
      </w:tr>
      <w:tr w:rsidR="00000000" w14:paraId="6276D3C5" w14:textId="77777777">
        <w:tc>
          <w:tcPr>
            <w:tcW w:w="0" w:type="auto"/>
            <w:shd w:val="clear" w:color="auto" w:fill="auto"/>
          </w:tcPr>
          <w:p w14:paraId="7DCE58D2" w14:textId="77777777" w:rsidR="00FF2345" w:rsidRDefault="00FF2345">
            <w:pPr>
              <w:jc w:val="both"/>
              <w:rPr>
                <w:rFonts w:cs="Arial"/>
                <w:kern w:val="2"/>
                <w:szCs w:val="20"/>
              </w:rPr>
            </w:pPr>
            <w:r>
              <w:rPr>
                <w:rFonts w:cs="Arial"/>
                <w:kern w:val="2"/>
                <w:szCs w:val="20"/>
              </w:rPr>
              <w:t>Q2</w:t>
            </w:r>
          </w:p>
        </w:tc>
        <w:tc>
          <w:tcPr>
            <w:tcW w:w="6564" w:type="dxa"/>
            <w:shd w:val="clear" w:color="auto" w:fill="auto"/>
          </w:tcPr>
          <w:p w14:paraId="70327668" w14:textId="77777777" w:rsidR="00FF2345" w:rsidRDefault="00FF2345">
            <w:pPr>
              <w:jc w:val="both"/>
              <w:rPr>
                <w:rFonts w:cs="Arial"/>
                <w:kern w:val="2"/>
                <w:szCs w:val="20"/>
              </w:rPr>
            </w:pPr>
            <w:r>
              <w:rPr>
                <w:rFonts w:cs="Arial"/>
                <w:color w:val="202124"/>
                <w:kern w:val="2"/>
                <w:szCs w:val="20"/>
              </w:rPr>
              <w:t xml:space="preserve">It is recommended to treat INH </w:t>
            </w:r>
            <w:proofErr w:type="spellStart"/>
            <w:r>
              <w:rPr>
                <w:rFonts w:cs="Arial"/>
                <w:color w:val="202124"/>
                <w:kern w:val="2"/>
                <w:szCs w:val="20"/>
              </w:rPr>
              <w:t>monoresistant</w:t>
            </w:r>
            <w:proofErr w:type="spellEnd"/>
            <w:r>
              <w:rPr>
                <w:rFonts w:cs="Arial"/>
                <w:color w:val="202124"/>
                <w:kern w:val="2"/>
                <w:szCs w:val="20"/>
              </w:rPr>
              <w:t xml:space="preserve"> tuberculosis with a combination of RIF, EMB, PZA, and LFX for six months from the point of diagnosis.</w:t>
            </w:r>
          </w:p>
        </w:tc>
        <w:tc>
          <w:tcPr>
            <w:tcW w:w="1133" w:type="dxa"/>
            <w:shd w:val="clear" w:color="auto" w:fill="auto"/>
            <w:vAlign w:val="center"/>
          </w:tcPr>
          <w:p w14:paraId="5AF57961" w14:textId="77777777" w:rsidR="00FF2345" w:rsidRDefault="00FF2345">
            <w:pPr>
              <w:jc w:val="both"/>
              <w:rPr>
                <w:rFonts w:cs="Arial"/>
                <w:kern w:val="2"/>
                <w:szCs w:val="20"/>
              </w:rPr>
            </w:pPr>
            <w:r>
              <w:rPr>
                <w:rFonts w:cs="Arial"/>
                <w:color w:val="000000"/>
                <w:kern w:val="2"/>
                <w:szCs w:val="20"/>
              </w:rPr>
              <w:t>26 (40.0)</w:t>
            </w:r>
          </w:p>
        </w:tc>
        <w:tc>
          <w:tcPr>
            <w:tcW w:w="1134" w:type="dxa"/>
            <w:shd w:val="clear" w:color="auto" w:fill="auto"/>
            <w:vAlign w:val="center"/>
          </w:tcPr>
          <w:p w14:paraId="163E52FC" w14:textId="77777777" w:rsidR="00FF2345" w:rsidRDefault="00FF2345">
            <w:pPr>
              <w:jc w:val="both"/>
              <w:rPr>
                <w:rFonts w:cs="Arial"/>
                <w:kern w:val="2"/>
                <w:szCs w:val="20"/>
              </w:rPr>
            </w:pPr>
            <w:r>
              <w:rPr>
                <w:rFonts w:cs="Arial"/>
                <w:color w:val="000000"/>
                <w:kern w:val="2"/>
                <w:szCs w:val="20"/>
              </w:rPr>
              <w:t>31 (47.7)</w:t>
            </w:r>
          </w:p>
        </w:tc>
        <w:tc>
          <w:tcPr>
            <w:tcW w:w="1092" w:type="dxa"/>
            <w:shd w:val="clear" w:color="auto" w:fill="auto"/>
            <w:vAlign w:val="center"/>
          </w:tcPr>
          <w:p w14:paraId="700251BB" w14:textId="77777777" w:rsidR="00FF2345" w:rsidRDefault="00FF2345">
            <w:pPr>
              <w:jc w:val="both"/>
              <w:rPr>
                <w:rFonts w:cs="Arial"/>
                <w:kern w:val="2"/>
                <w:szCs w:val="20"/>
              </w:rPr>
            </w:pPr>
            <w:r>
              <w:rPr>
                <w:rFonts w:cs="Arial"/>
                <w:color w:val="000000"/>
                <w:kern w:val="2"/>
                <w:szCs w:val="20"/>
              </w:rPr>
              <w:t>8 (12.3)</w:t>
            </w:r>
          </w:p>
        </w:tc>
        <w:tc>
          <w:tcPr>
            <w:tcW w:w="1176" w:type="dxa"/>
            <w:shd w:val="clear" w:color="auto" w:fill="auto"/>
            <w:vAlign w:val="center"/>
          </w:tcPr>
          <w:p w14:paraId="24065804" w14:textId="77777777" w:rsidR="00FF2345" w:rsidRDefault="00FF2345">
            <w:pPr>
              <w:jc w:val="both"/>
              <w:rPr>
                <w:rFonts w:cs="Arial"/>
                <w:kern w:val="2"/>
                <w:szCs w:val="20"/>
              </w:rPr>
            </w:pPr>
            <w:r>
              <w:rPr>
                <w:rFonts w:cs="Arial"/>
                <w:color w:val="000000"/>
                <w:kern w:val="2"/>
                <w:szCs w:val="20"/>
              </w:rPr>
              <w:t>0 (0.0)</w:t>
            </w:r>
          </w:p>
        </w:tc>
        <w:tc>
          <w:tcPr>
            <w:tcW w:w="1135" w:type="dxa"/>
            <w:shd w:val="clear" w:color="auto" w:fill="auto"/>
            <w:vAlign w:val="center"/>
          </w:tcPr>
          <w:p w14:paraId="226B4648"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0873EDCF" w14:textId="77777777" w:rsidR="00FF2345" w:rsidRDefault="00FF2345">
            <w:pPr>
              <w:jc w:val="both"/>
              <w:rPr>
                <w:rFonts w:cs="Arial"/>
                <w:color w:val="000000"/>
                <w:kern w:val="2"/>
                <w:szCs w:val="20"/>
              </w:rPr>
            </w:pPr>
            <w:r>
              <w:rPr>
                <w:rFonts w:cs="Arial"/>
                <w:kern w:val="2"/>
                <w:szCs w:val="20"/>
              </w:rPr>
              <w:t>87.7%</w:t>
            </w:r>
          </w:p>
        </w:tc>
      </w:tr>
      <w:tr w:rsidR="00000000" w14:paraId="03DACB77" w14:textId="77777777">
        <w:tc>
          <w:tcPr>
            <w:tcW w:w="0" w:type="auto"/>
            <w:shd w:val="clear" w:color="auto" w:fill="auto"/>
          </w:tcPr>
          <w:p w14:paraId="03A727E7" w14:textId="77777777" w:rsidR="00FF2345" w:rsidRDefault="00FF2345">
            <w:pPr>
              <w:jc w:val="both"/>
              <w:rPr>
                <w:rFonts w:cs="Arial"/>
                <w:kern w:val="2"/>
                <w:szCs w:val="20"/>
              </w:rPr>
            </w:pPr>
            <w:r>
              <w:rPr>
                <w:rFonts w:cs="Arial"/>
                <w:kern w:val="2"/>
                <w:szCs w:val="20"/>
              </w:rPr>
              <w:t>Q3</w:t>
            </w:r>
          </w:p>
        </w:tc>
        <w:tc>
          <w:tcPr>
            <w:tcW w:w="6564" w:type="dxa"/>
            <w:shd w:val="clear" w:color="auto" w:fill="auto"/>
          </w:tcPr>
          <w:p w14:paraId="3EB27BA5" w14:textId="77777777" w:rsidR="00FF2345" w:rsidRDefault="00FF2345">
            <w:pPr>
              <w:jc w:val="both"/>
              <w:rPr>
                <w:rFonts w:cs="Arial"/>
                <w:color w:val="202124"/>
                <w:kern w:val="2"/>
                <w:szCs w:val="20"/>
              </w:rPr>
            </w:pPr>
            <w:r>
              <w:rPr>
                <w:rFonts w:cs="Arial"/>
                <w:color w:val="202124"/>
                <w:kern w:val="2"/>
                <w:szCs w:val="20"/>
              </w:rPr>
              <w:t xml:space="preserve">The combination of anti-tuberculosis drugs for INH </w:t>
            </w:r>
            <w:proofErr w:type="spellStart"/>
            <w:r>
              <w:rPr>
                <w:rFonts w:cs="Arial"/>
                <w:color w:val="202124"/>
                <w:kern w:val="2"/>
                <w:szCs w:val="20"/>
              </w:rPr>
              <w:t>monoresistant</w:t>
            </w:r>
            <w:proofErr w:type="spellEnd"/>
            <w:r>
              <w:rPr>
                <w:rFonts w:cs="Arial"/>
                <w:color w:val="202124"/>
                <w:kern w:val="2"/>
                <w:szCs w:val="20"/>
              </w:rPr>
              <w:t xml:space="preserve"> tuberculosis treatment can be modified considering the following factors: 1) initial bacillary load, 2) extent of lesions, 3) culture conversion at two months, and 4) </w:t>
            </w:r>
            <w:r>
              <w:rPr>
                <w:rFonts w:cs="Arial"/>
                <w:color w:val="202124"/>
                <w:kern w:val="2"/>
                <w:szCs w:val="20"/>
              </w:rPr>
              <w:lastRenderedPageBreak/>
              <w:t>potential PZA side effects.</w:t>
            </w:r>
          </w:p>
        </w:tc>
        <w:tc>
          <w:tcPr>
            <w:tcW w:w="1133" w:type="dxa"/>
            <w:shd w:val="clear" w:color="auto" w:fill="auto"/>
            <w:vAlign w:val="center"/>
          </w:tcPr>
          <w:p w14:paraId="603E41A8" w14:textId="77777777" w:rsidR="00FF2345" w:rsidRDefault="00FF2345">
            <w:pPr>
              <w:jc w:val="both"/>
              <w:rPr>
                <w:rFonts w:cs="Arial"/>
                <w:kern w:val="2"/>
                <w:szCs w:val="20"/>
              </w:rPr>
            </w:pPr>
            <w:r>
              <w:rPr>
                <w:rFonts w:cs="Arial"/>
                <w:color w:val="000000"/>
                <w:kern w:val="2"/>
                <w:szCs w:val="20"/>
              </w:rPr>
              <w:lastRenderedPageBreak/>
              <w:t>21 (32.3)</w:t>
            </w:r>
          </w:p>
        </w:tc>
        <w:tc>
          <w:tcPr>
            <w:tcW w:w="1134" w:type="dxa"/>
            <w:shd w:val="clear" w:color="auto" w:fill="auto"/>
            <w:vAlign w:val="center"/>
          </w:tcPr>
          <w:p w14:paraId="4F69A644" w14:textId="77777777" w:rsidR="00FF2345" w:rsidRDefault="00FF2345">
            <w:pPr>
              <w:jc w:val="both"/>
              <w:rPr>
                <w:rFonts w:cs="Arial"/>
                <w:kern w:val="2"/>
                <w:szCs w:val="20"/>
              </w:rPr>
            </w:pPr>
            <w:r>
              <w:rPr>
                <w:rFonts w:cs="Arial"/>
                <w:color w:val="000000"/>
                <w:kern w:val="2"/>
                <w:szCs w:val="20"/>
              </w:rPr>
              <w:t>35 (53.8)</w:t>
            </w:r>
          </w:p>
        </w:tc>
        <w:tc>
          <w:tcPr>
            <w:tcW w:w="1092" w:type="dxa"/>
            <w:shd w:val="clear" w:color="auto" w:fill="auto"/>
            <w:vAlign w:val="center"/>
          </w:tcPr>
          <w:p w14:paraId="231C6F8C" w14:textId="77777777" w:rsidR="00FF2345" w:rsidRDefault="00FF2345">
            <w:pPr>
              <w:jc w:val="both"/>
              <w:rPr>
                <w:rFonts w:cs="Arial"/>
                <w:kern w:val="2"/>
                <w:szCs w:val="20"/>
              </w:rPr>
            </w:pPr>
            <w:r>
              <w:rPr>
                <w:rFonts w:cs="Arial"/>
                <w:color w:val="000000"/>
                <w:kern w:val="2"/>
                <w:szCs w:val="20"/>
              </w:rPr>
              <w:t>7 (10.8)</w:t>
            </w:r>
          </w:p>
        </w:tc>
        <w:tc>
          <w:tcPr>
            <w:tcW w:w="1176" w:type="dxa"/>
            <w:shd w:val="clear" w:color="auto" w:fill="auto"/>
            <w:vAlign w:val="center"/>
          </w:tcPr>
          <w:p w14:paraId="14F01678" w14:textId="77777777" w:rsidR="00FF2345" w:rsidRDefault="00FF2345">
            <w:pPr>
              <w:jc w:val="both"/>
              <w:rPr>
                <w:rFonts w:cs="Arial"/>
                <w:kern w:val="2"/>
                <w:szCs w:val="20"/>
              </w:rPr>
            </w:pPr>
            <w:r>
              <w:rPr>
                <w:rFonts w:cs="Arial"/>
                <w:color w:val="000000"/>
                <w:kern w:val="2"/>
                <w:szCs w:val="20"/>
              </w:rPr>
              <w:t>2 (3.1)</w:t>
            </w:r>
          </w:p>
        </w:tc>
        <w:tc>
          <w:tcPr>
            <w:tcW w:w="1135" w:type="dxa"/>
            <w:shd w:val="clear" w:color="auto" w:fill="auto"/>
            <w:vAlign w:val="center"/>
          </w:tcPr>
          <w:p w14:paraId="599AAD71"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1DFCBC91" w14:textId="77777777" w:rsidR="00FF2345" w:rsidRDefault="00FF2345">
            <w:pPr>
              <w:jc w:val="both"/>
              <w:rPr>
                <w:rFonts w:cs="Arial"/>
                <w:color w:val="000000"/>
                <w:kern w:val="2"/>
                <w:szCs w:val="20"/>
              </w:rPr>
            </w:pPr>
            <w:r>
              <w:rPr>
                <w:rFonts w:cs="Arial"/>
                <w:kern w:val="2"/>
                <w:szCs w:val="20"/>
              </w:rPr>
              <w:t>86.2%</w:t>
            </w:r>
          </w:p>
        </w:tc>
      </w:tr>
      <w:tr w:rsidR="00000000" w14:paraId="5E1B2672" w14:textId="77777777">
        <w:tc>
          <w:tcPr>
            <w:tcW w:w="0" w:type="auto"/>
            <w:shd w:val="clear" w:color="auto" w:fill="auto"/>
          </w:tcPr>
          <w:p w14:paraId="7BBC3DF6" w14:textId="77777777" w:rsidR="00FF2345" w:rsidRDefault="00FF2345">
            <w:pPr>
              <w:jc w:val="both"/>
              <w:rPr>
                <w:rFonts w:cs="Arial"/>
                <w:kern w:val="2"/>
                <w:szCs w:val="20"/>
              </w:rPr>
            </w:pPr>
            <w:r>
              <w:rPr>
                <w:rFonts w:cs="Arial"/>
                <w:kern w:val="2"/>
                <w:szCs w:val="20"/>
              </w:rPr>
              <w:t>Q4</w:t>
            </w:r>
          </w:p>
        </w:tc>
        <w:tc>
          <w:tcPr>
            <w:tcW w:w="6564" w:type="dxa"/>
            <w:shd w:val="clear" w:color="auto" w:fill="auto"/>
          </w:tcPr>
          <w:p w14:paraId="7FA20D3C" w14:textId="77777777" w:rsidR="00FF2345" w:rsidRDefault="00FF2345">
            <w:pPr>
              <w:jc w:val="both"/>
              <w:rPr>
                <w:rFonts w:cs="Arial"/>
                <w:color w:val="202124"/>
                <w:kern w:val="2"/>
                <w:szCs w:val="20"/>
              </w:rPr>
            </w:pPr>
            <w:r>
              <w:rPr>
                <w:rFonts w:cs="Arial"/>
                <w:color w:val="202124"/>
                <w:kern w:val="2"/>
                <w:szCs w:val="20"/>
              </w:rPr>
              <w:t xml:space="preserve">In cases of low severity INH </w:t>
            </w:r>
            <w:proofErr w:type="spellStart"/>
            <w:r>
              <w:rPr>
                <w:rFonts w:cs="Arial"/>
                <w:color w:val="202124"/>
                <w:kern w:val="2"/>
                <w:szCs w:val="20"/>
              </w:rPr>
              <w:t>monoresistant</w:t>
            </w:r>
            <w:proofErr w:type="spellEnd"/>
            <w:r>
              <w:rPr>
                <w:rFonts w:cs="Arial"/>
                <w:color w:val="202124"/>
                <w:kern w:val="2"/>
                <w:szCs w:val="20"/>
              </w:rPr>
              <w:t xml:space="preserve"> tuberculosis, levofloxacin may be omitted.</w:t>
            </w:r>
          </w:p>
        </w:tc>
        <w:tc>
          <w:tcPr>
            <w:tcW w:w="1133" w:type="dxa"/>
            <w:shd w:val="clear" w:color="auto" w:fill="auto"/>
            <w:vAlign w:val="center"/>
          </w:tcPr>
          <w:p w14:paraId="06E2B534" w14:textId="77777777" w:rsidR="00FF2345" w:rsidRDefault="00FF2345">
            <w:pPr>
              <w:jc w:val="both"/>
              <w:rPr>
                <w:rFonts w:cs="Arial"/>
                <w:kern w:val="2"/>
                <w:szCs w:val="20"/>
              </w:rPr>
            </w:pPr>
            <w:r>
              <w:rPr>
                <w:rFonts w:cs="Arial"/>
                <w:color w:val="000000"/>
                <w:kern w:val="2"/>
                <w:szCs w:val="20"/>
              </w:rPr>
              <w:t>2 (3.1)</w:t>
            </w:r>
          </w:p>
        </w:tc>
        <w:tc>
          <w:tcPr>
            <w:tcW w:w="1134" w:type="dxa"/>
            <w:shd w:val="clear" w:color="auto" w:fill="auto"/>
            <w:vAlign w:val="center"/>
          </w:tcPr>
          <w:p w14:paraId="424E4FDA" w14:textId="77777777" w:rsidR="00FF2345" w:rsidRDefault="00FF2345">
            <w:pPr>
              <w:jc w:val="both"/>
              <w:rPr>
                <w:rFonts w:cs="Arial"/>
                <w:kern w:val="2"/>
                <w:szCs w:val="20"/>
              </w:rPr>
            </w:pPr>
            <w:r>
              <w:rPr>
                <w:rFonts w:cs="Arial"/>
                <w:color w:val="000000"/>
                <w:kern w:val="2"/>
                <w:szCs w:val="20"/>
              </w:rPr>
              <w:t>13 (20.0)</w:t>
            </w:r>
          </w:p>
        </w:tc>
        <w:tc>
          <w:tcPr>
            <w:tcW w:w="1092" w:type="dxa"/>
            <w:shd w:val="clear" w:color="auto" w:fill="auto"/>
            <w:vAlign w:val="center"/>
          </w:tcPr>
          <w:p w14:paraId="515A2E5E" w14:textId="77777777" w:rsidR="00FF2345" w:rsidRDefault="00FF2345">
            <w:pPr>
              <w:jc w:val="both"/>
              <w:rPr>
                <w:rFonts w:cs="Arial"/>
                <w:kern w:val="2"/>
                <w:szCs w:val="20"/>
              </w:rPr>
            </w:pPr>
            <w:r>
              <w:rPr>
                <w:rFonts w:cs="Arial"/>
                <w:color w:val="000000"/>
                <w:kern w:val="2"/>
                <w:szCs w:val="20"/>
              </w:rPr>
              <w:t>15 (23.1)</w:t>
            </w:r>
          </w:p>
        </w:tc>
        <w:tc>
          <w:tcPr>
            <w:tcW w:w="1176" w:type="dxa"/>
            <w:shd w:val="clear" w:color="auto" w:fill="auto"/>
            <w:vAlign w:val="center"/>
          </w:tcPr>
          <w:p w14:paraId="0BB1B3A1" w14:textId="77777777" w:rsidR="00FF2345" w:rsidRDefault="00FF2345">
            <w:pPr>
              <w:jc w:val="both"/>
              <w:rPr>
                <w:rFonts w:cs="Arial"/>
                <w:kern w:val="2"/>
                <w:szCs w:val="20"/>
              </w:rPr>
            </w:pPr>
            <w:r>
              <w:rPr>
                <w:rFonts w:cs="Arial"/>
                <w:color w:val="000000"/>
                <w:kern w:val="2"/>
                <w:szCs w:val="20"/>
              </w:rPr>
              <w:t>25 (38.5)</w:t>
            </w:r>
          </w:p>
        </w:tc>
        <w:tc>
          <w:tcPr>
            <w:tcW w:w="1135" w:type="dxa"/>
            <w:shd w:val="clear" w:color="auto" w:fill="auto"/>
            <w:vAlign w:val="center"/>
          </w:tcPr>
          <w:p w14:paraId="3B44D50C" w14:textId="77777777" w:rsidR="00FF2345" w:rsidRDefault="00FF2345">
            <w:pPr>
              <w:jc w:val="both"/>
              <w:rPr>
                <w:rFonts w:cs="Arial"/>
                <w:kern w:val="2"/>
                <w:szCs w:val="20"/>
              </w:rPr>
            </w:pPr>
            <w:r>
              <w:rPr>
                <w:rFonts w:cs="Arial"/>
                <w:color w:val="000000"/>
                <w:kern w:val="2"/>
                <w:szCs w:val="20"/>
              </w:rPr>
              <w:t>10 (15.4)</w:t>
            </w:r>
          </w:p>
        </w:tc>
        <w:tc>
          <w:tcPr>
            <w:tcW w:w="1194" w:type="dxa"/>
            <w:shd w:val="clear" w:color="auto" w:fill="auto"/>
            <w:vAlign w:val="center"/>
          </w:tcPr>
          <w:p w14:paraId="5AADF19E" w14:textId="77777777" w:rsidR="00FF2345" w:rsidRDefault="00FF2345">
            <w:pPr>
              <w:jc w:val="both"/>
              <w:rPr>
                <w:rFonts w:cs="Arial"/>
                <w:color w:val="000000"/>
                <w:kern w:val="2"/>
                <w:szCs w:val="20"/>
              </w:rPr>
            </w:pPr>
            <w:r>
              <w:rPr>
                <w:rFonts w:cs="Arial"/>
                <w:kern w:val="2"/>
                <w:szCs w:val="20"/>
              </w:rPr>
              <w:t>23.1%</w:t>
            </w:r>
          </w:p>
        </w:tc>
      </w:tr>
      <w:tr w:rsidR="00000000" w14:paraId="2164BEC0" w14:textId="77777777">
        <w:tc>
          <w:tcPr>
            <w:tcW w:w="0" w:type="auto"/>
            <w:shd w:val="clear" w:color="auto" w:fill="auto"/>
          </w:tcPr>
          <w:p w14:paraId="529EBA68" w14:textId="77777777" w:rsidR="00FF2345" w:rsidRDefault="00FF2345">
            <w:pPr>
              <w:jc w:val="both"/>
              <w:rPr>
                <w:rFonts w:cs="Arial"/>
                <w:kern w:val="2"/>
                <w:szCs w:val="20"/>
              </w:rPr>
            </w:pPr>
            <w:r>
              <w:rPr>
                <w:rFonts w:cs="Arial"/>
                <w:kern w:val="2"/>
                <w:szCs w:val="20"/>
              </w:rPr>
              <w:t>Q5</w:t>
            </w:r>
          </w:p>
        </w:tc>
        <w:tc>
          <w:tcPr>
            <w:tcW w:w="6564" w:type="dxa"/>
            <w:shd w:val="clear" w:color="auto" w:fill="auto"/>
          </w:tcPr>
          <w:p w14:paraId="2E61FD33" w14:textId="77777777" w:rsidR="00FF2345" w:rsidRDefault="00FF2345">
            <w:pPr>
              <w:jc w:val="both"/>
              <w:rPr>
                <w:rFonts w:cs="Arial"/>
                <w:color w:val="202124"/>
                <w:kern w:val="2"/>
                <w:szCs w:val="20"/>
              </w:rPr>
            </w:pPr>
            <w:r>
              <w:rPr>
                <w:rFonts w:cs="Arial"/>
                <w:color w:val="202124"/>
                <w:kern w:val="2"/>
                <w:szCs w:val="20"/>
              </w:rPr>
              <w:t>For patients with a high likelihood of PZA side effects, shortening the duration of PZA administration to two months and extending the overall treatment duration are considered positively.</w:t>
            </w:r>
          </w:p>
        </w:tc>
        <w:tc>
          <w:tcPr>
            <w:tcW w:w="1133" w:type="dxa"/>
            <w:shd w:val="clear" w:color="auto" w:fill="auto"/>
            <w:vAlign w:val="center"/>
          </w:tcPr>
          <w:p w14:paraId="003B6A11" w14:textId="77777777" w:rsidR="00FF2345" w:rsidRDefault="00FF2345">
            <w:pPr>
              <w:jc w:val="both"/>
              <w:rPr>
                <w:rFonts w:cs="Arial"/>
                <w:kern w:val="2"/>
                <w:szCs w:val="20"/>
              </w:rPr>
            </w:pPr>
            <w:r>
              <w:rPr>
                <w:rFonts w:cs="Arial"/>
                <w:color w:val="000000"/>
                <w:kern w:val="2"/>
                <w:szCs w:val="20"/>
              </w:rPr>
              <w:t>13 (20.0)</w:t>
            </w:r>
          </w:p>
        </w:tc>
        <w:tc>
          <w:tcPr>
            <w:tcW w:w="1134" w:type="dxa"/>
            <w:shd w:val="clear" w:color="auto" w:fill="auto"/>
            <w:vAlign w:val="center"/>
          </w:tcPr>
          <w:p w14:paraId="0260CE2B" w14:textId="77777777" w:rsidR="00FF2345" w:rsidRDefault="00FF2345">
            <w:pPr>
              <w:jc w:val="both"/>
              <w:rPr>
                <w:rFonts w:cs="Arial"/>
                <w:kern w:val="2"/>
                <w:szCs w:val="20"/>
              </w:rPr>
            </w:pPr>
            <w:r>
              <w:rPr>
                <w:rFonts w:cs="Arial"/>
                <w:color w:val="000000"/>
                <w:kern w:val="2"/>
                <w:szCs w:val="20"/>
              </w:rPr>
              <w:t>39 (60.0)</w:t>
            </w:r>
          </w:p>
        </w:tc>
        <w:tc>
          <w:tcPr>
            <w:tcW w:w="1092" w:type="dxa"/>
            <w:shd w:val="clear" w:color="auto" w:fill="auto"/>
            <w:vAlign w:val="center"/>
          </w:tcPr>
          <w:p w14:paraId="56D1FFBE" w14:textId="77777777" w:rsidR="00FF2345" w:rsidRDefault="00FF2345">
            <w:pPr>
              <w:jc w:val="both"/>
              <w:rPr>
                <w:rFonts w:cs="Arial"/>
                <w:kern w:val="2"/>
                <w:szCs w:val="20"/>
              </w:rPr>
            </w:pPr>
            <w:r>
              <w:rPr>
                <w:rFonts w:cs="Arial"/>
                <w:color w:val="000000"/>
                <w:kern w:val="2"/>
                <w:szCs w:val="20"/>
              </w:rPr>
              <w:t>7 (10.8)</w:t>
            </w:r>
          </w:p>
        </w:tc>
        <w:tc>
          <w:tcPr>
            <w:tcW w:w="1176" w:type="dxa"/>
            <w:shd w:val="clear" w:color="auto" w:fill="auto"/>
            <w:vAlign w:val="center"/>
          </w:tcPr>
          <w:p w14:paraId="514D061C" w14:textId="77777777" w:rsidR="00FF2345" w:rsidRDefault="00FF2345">
            <w:pPr>
              <w:jc w:val="both"/>
              <w:rPr>
                <w:rFonts w:cs="Arial"/>
                <w:kern w:val="2"/>
                <w:szCs w:val="20"/>
              </w:rPr>
            </w:pPr>
            <w:r>
              <w:rPr>
                <w:rFonts w:cs="Arial"/>
                <w:color w:val="000000"/>
                <w:kern w:val="2"/>
                <w:szCs w:val="20"/>
              </w:rPr>
              <w:t>6 (9.2)</w:t>
            </w:r>
          </w:p>
        </w:tc>
        <w:tc>
          <w:tcPr>
            <w:tcW w:w="1135" w:type="dxa"/>
            <w:shd w:val="clear" w:color="auto" w:fill="auto"/>
            <w:vAlign w:val="center"/>
          </w:tcPr>
          <w:p w14:paraId="12F041E2"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261C292F" w14:textId="77777777" w:rsidR="00FF2345" w:rsidRDefault="00FF2345">
            <w:pPr>
              <w:jc w:val="both"/>
              <w:rPr>
                <w:rFonts w:cs="Arial"/>
                <w:color w:val="000000"/>
                <w:kern w:val="2"/>
                <w:szCs w:val="20"/>
              </w:rPr>
            </w:pPr>
            <w:r>
              <w:rPr>
                <w:rFonts w:cs="Arial"/>
                <w:kern w:val="2"/>
                <w:szCs w:val="20"/>
              </w:rPr>
              <w:t>80.0%</w:t>
            </w:r>
          </w:p>
        </w:tc>
      </w:tr>
      <w:tr w:rsidR="00000000" w14:paraId="743E1C13" w14:textId="77777777">
        <w:tc>
          <w:tcPr>
            <w:tcW w:w="0" w:type="auto"/>
            <w:shd w:val="clear" w:color="auto" w:fill="auto"/>
          </w:tcPr>
          <w:p w14:paraId="30F69AF3" w14:textId="77777777" w:rsidR="00FF2345" w:rsidRDefault="00FF2345">
            <w:pPr>
              <w:jc w:val="both"/>
              <w:rPr>
                <w:rFonts w:cs="Arial"/>
                <w:kern w:val="2"/>
                <w:szCs w:val="20"/>
              </w:rPr>
            </w:pPr>
            <w:r>
              <w:rPr>
                <w:rFonts w:cs="Arial"/>
                <w:kern w:val="2"/>
                <w:szCs w:val="20"/>
              </w:rPr>
              <w:t>Q6</w:t>
            </w:r>
          </w:p>
        </w:tc>
        <w:tc>
          <w:tcPr>
            <w:tcW w:w="6564" w:type="dxa"/>
            <w:shd w:val="clear" w:color="auto" w:fill="auto"/>
          </w:tcPr>
          <w:p w14:paraId="7FA335E3" w14:textId="77777777" w:rsidR="00FF2345" w:rsidRDefault="00FF2345">
            <w:pPr>
              <w:jc w:val="both"/>
              <w:rPr>
                <w:rFonts w:cs="Arial"/>
                <w:color w:val="202124"/>
                <w:kern w:val="2"/>
                <w:szCs w:val="20"/>
              </w:rPr>
            </w:pPr>
            <w:r>
              <w:rPr>
                <w:rFonts w:cs="Arial"/>
                <w:color w:val="202124"/>
                <w:kern w:val="2"/>
                <w:szCs w:val="20"/>
              </w:rPr>
              <w:t xml:space="preserve">If no side effects occur and medication adherence is good during INH </w:t>
            </w:r>
            <w:proofErr w:type="spellStart"/>
            <w:r>
              <w:rPr>
                <w:rFonts w:cs="Arial"/>
                <w:color w:val="202124"/>
                <w:kern w:val="2"/>
                <w:szCs w:val="20"/>
              </w:rPr>
              <w:t>monoresistant</w:t>
            </w:r>
            <w:proofErr w:type="spellEnd"/>
            <w:r>
              <w:rPr>
                <w:rFonts w:cs="Arial"/>
                <w:color w:val="202124"/>
                <w:kern w:val="2"/>
                <w:szCs w:val="20"/>
              </w:rPr>
              <w:t xml:space="preserve"> tuberculosis treatment, extending the total treatment duration beyond 12 months is deemed unnecessary.</w:t>
            </w:r>
          </w:p>
        </w:tc>
        <w:tc>
          <w:tcPr>
            <w:tcW w:w="1133" w:type="dxa"/>
            <w:shd w:val="clear" w:color="auto" w:fill="auto"/>
            <w:vAlign w:val="center"/>
          </w:tcPr>
          <w:p w14:paraId="33574EF6" w14:textId="77777777" w:rsidR="00FF2345" w:rsidRDefault="00FF2345">
            <w:pPr>
              <w:jc w:val="both"/>
              <w:rPr>
                <w:rFonts w:cs="Arial"/>
                <w:kern w:val="2"/>
                <w:szCs w:val="20"/>
              </w:rPr>
            </w:pPr>
            <w:r>
              <w:rPr>
                <w:rFonts w:cs="Arial"/>
                <w:color w:val="000000"/>
                <w:kern w:val="2"/>
                <w:szCs w:val="20"/>
              </w:rPr>
              <w:t>31 (47.7)</w:t>
            </w:r>
          </w:p>
        </w:tc>
        <w:tc>
          <w:tcPr>
            <w:tcW w:w="1134" w:type="dxa"/>
            <w:shd w:val="clear" w:color="auto" w:fill="auto"/>
            <w:vAlign w:val="center"/>
          </w:tcPr>
          <w:p w14:paraId="377CF2D5" w14:textId="77777777" w:rsidR="00FF2345" w:rsidRDefault="00FF2345">
            <w:pPr>
              <w:jc w:val="both"/>
              <w:rPr>
                <w:rFonts w:cs="Arial"/>
                <w:kern w:val="2"/>
                <w:szCs w:val="20"/>
              </w:rPr>
            </w:pPr>
            <w:r>
              <w:rPr>
                <w:rFonts w:cs="Arial"/>
                <w:color w:val="000000"/>
                <w:kern w:val="2"/>
                <w:szCs w:val="20"/>
              </w:rPr>
              <w:t>31 (47.7)</w:t>
            </w:r>
          </w:p>
        </w:tc>
        <w:tc>
          <w:tcPr>
            <w:tcW w:w="1092" w:type="dxa"/>
            <w:shd w:val="clear" w:color="auto" w:fill="auto"/>
            <w:vAlign w:val="center"/>
          </w:tcPr>
          <w:p w14:paraId="4F7CA973" w14:textId="77777777" w:rsidR="00FF2345" w:rsidRDefault="00FF2345">
            <w:pPr>
              <w:jc w:val="both"/>
              <w:rPr>
                <w:rFonts w:cs="Arial"/>
                <w:kern w:val="2"/>
                <w:szCs w:val="20"/>
              </w:rPr>
            </w:pPr>
            <w:r>
              <w:rPr>
                <w:rFonts w:cs="Arial"/>
                <w:color w:val="000000"/>
                <w:kern w:val="2"/>
                <w:szCs w:val="20"/>
              </w:rPr>
              <w:t>3 (4.6)</w:t>
            </w:r>
          </w:p>
        </w:tc>
        <w:tc>
          <w:tcPr>
            <w:tcW w:w="1176" w:type="dxa"/>
            <w:shd w:val="clear" w:color="auto" w:fill="auto"/>
            <w:vAlign w:val="center"/>
          </w:tcPr>
          <w:p w14:paraId="7C7D72F8" w14:textId="77777777" w:rsidR="00FF2345" w:rsidRDefault="00FF2345">
            <w:pPr>
              <w:jc w:val="both"/>
              <w:rPr>
                <w:rFonts w:cs="Arial"/>
                <w:kern w:val="2"/>
                <w:szCs w:val="20"/>
              </w:rPr>
            </w:pPr>
            <w:r>
              <w:rPr>
                <w:rFonts w:cs="Arial"/>
                <w:color w:val="000000"/>
                <w:kern w:val="2"/>
                <w:szCs w:val="20"/>
              </w:rPr>
              <w:t>0 (0.0)</w:t>
            </w:r>
          </w:p>
        </w:tc>
        <w:tc>
          <w:tcPr>
            <w:tcW w:w="1135" w:type="dxa"/>
            <w:shd w:val="clear" w:color="auto" w:fill="auto"/>
            <w:vAlign w:val="center"/>
          </w:tcPr>
          <w:p w14:paraId="73B09E42"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59B44814" w14:textId="77777777" w:rsidR="00FF2345" w:rsidRDefault="00FF2345">
            <w:pPr>
              <w:jc w:val="both"/>
              <w:rPr>
                <w:rFonts w:cs="Arial"/>
                <w:color w:val="000000"/>
                <w:kern w:val="2"/>
                <w:szCs w:val="20"/>
              </w:rPr>
            </w:pPr>
            <w:r>
              <w:rPr>
                <w:rFonts w:cs="Arial"/>
                <w:kern w:val="2"/>
                <w:szCs w:val="20"/>
              </w:rPr>
              <w:t>95.4%</w:t>
            </w:r>
          </w:p>
        </w:tc>
      </w:tr>
      <w:tr w:rsidR="00000000" w14:paraId="15F335BF" w14:textId="77777777">
        <w:tc>
          <w:tcPr>
            <w:tcW w:w="0" w:type="auto"/>
            <w:shd w:val="clear" w:color="auto" w:fill="auto"/>
          </w:tcPr>
          <w:p w14:paraId="0DC80BED" w14:textId="77777777" w:rsidR="00FF2345" w:rsidRDefault="00FF2345">
            <w:pPr>
              <w:jc w:val="both"/>
              <w:rPr>
                <w:rFonts w:cs="Arial"/>
                <w:kern w:val="2"/>
                <w:szCs w:val="20"/>
              </w:rPr>
            </w:pPr>
            <w:r>
              <w:rPr>
                <w:rFonts w:cs="Arial"/>
                <w:kern w:val="2"/>
                <w:szCs w:val="20"/>
              </w:rPr>
              <w:t>Q7</w:t>
            </w:r>
          </w:p>
        </w:tc>
        <w:tc>
          <w:tcPr>
            <w:tcW w:w="6564" w:type="dxa"/>
            <w:shd w:val="clear" w:color="auto" w:fill="auto"/>
          </w:tcPr>
          <w:p w14:paraId="4E7E42DC" w14:textId="77777777" w:rsidR="00FF2345" w:rsidRDefault="00FF2345">
            <w:pPr>
              <w:jc w:val="both"/>
              <w:rPr>
                <w:rFonts w:cs="Arial"/>
                <w:color w:val="202124"/>
                <w:kern w:val="2"/>
                <w:szCs w:val="20"/>
              </w:rPr>
            </w:pPr>
            <w:r>
              <w:rPr>
                <w:rFonts w:cs="Arial"/>
                <w:color w:val="202124"/>
                <w:kern w:val="2"/>
                <w:szCs w:val="20"/>
              </w:rPr>
              <w:t xml:space="preserve">For cases with low-concentration resistance to INH in phenotypic DST or when the </w:t>
            </w:r>
            <w:proofErr w:type="spellStart"/>
            <w:r>
              <w:rPr>
                <w:rFonts w:cs="Arial"/>
                <w:i/>
                <w:iCs/>
                <w:color w:val="202124"/>
                <w:kern w:val="2"/>
                <w:szCs w:val="20"/>
              </w:rPr>
              <w:t>inhA</w:t>
            </w:r>
            <w:proofErr w:type="spellEnd"/>
            <w:r>
              <w:rPr>
                <w:rFonts w:cs="Arial"/>
                <w:color w:val="202124"/>
                <w:kern w:val="2"/>
                <w:szCs w:val="20"/>
              </w:rPr>
              <w:t xml:space="preserve"> gene mutation is detected in molecular DST, high-dose INH administration can be considered.</w:t>
            </w:r>
          </w:p>
        </w:tc>
        <w:tc>
          <w:tcPr>
            <w:tcW w:w="1133" w:type="dxa"/>
            <w:shd w:val="clear" w:color="auto" w:fill="auto"/>
            <w:vAlign w:val="center"/>
          </w:tcPr>
          <w:p w14:paraId="5CD7E1DD" w14:textId="77777777" w:rsidR="00FF2345" w:rsidRDefault="00FF2345">
            <w:pPr>
              <w:jc w:val="both"/>
              <w:rPr>
                <w:rFonts w:cs="Arial"/>
                <w:kern w:val="2"/>
                <w:szCs w:val="20"/>
              </w:rPr>
            </w:pPr>
            <w:r>
              <w:rPr>
                <w:rFonts w:cs="Arial"/>
                <w:color w:val="000000"/>
                <w:kern w:val="2"/>
                <w:szCs w:val="20"/>
              </w:rPr>
              <w:t>4 (6.2)</w:t>
            </w:r>
          </w:p>
        </w:tc>
        <w:tc>
          <w:tcPr>
            <w:tcW w:w="1134" w:type="dxa"/>
            <w:shd w:val="clear" w:color="auto" w:fill="auto"/>
            <w:vAlign w:val="center"/>
          </w:tcPr>
          <w:p w14:paraId="6100C35C" w14:textId="77777777" w:rsidR="00FF2345" w:rsidRDefault="00FF2345">
            <w:pPr>
              <w:jc w:val="both"/>
              <w:rPr>
                <w:rFonts w:cs="Arial"/>
                <w:kern w:val="2"/>
                <w:szCs w:val="20"/>
              </w:rPr>
            </w:pPr>
            <w:r>
              <w:rPr>
                <w:rFonts w:cs="Arial"/>
                <w:color w:val="000000"/>
                <w:kern w:val="2"/>
                <w:szCs w:val="20"/>
              </w:rPr>
              <w:t>23 (35.4)</w:t>
            </w:r>
          </w:p>
        </w:tc>
        <w:tc>
          <w:tcPr>
            <w:tcW w:w="1092" w:type="dxa"/>
            <w:shd w:val="clear" w:color="auto" w:fill="auto"/>
            <w:vAlign w:val="center"/>
          </w:tcPr>
          <w:p w14:paraId="755385B9" w14:textId="77777777" w:rsidR="00FF2345" w:rsidRDefault="00FF2345">
            <w:pPr>
              <w:jc w:val="both"/>
              <w:rPr>
                <w:rFonts w:cs="Arial"/>
                <w:kern w:val="2"/>
                <w:szCs w:val="20"/>
              </w:rPr>
            </w:pPr>
            <w:r>
              <w:rPr>
                <w:rFonts w:cs="Arial"/>
                <w:color w:val="000000"/>
                <w:kern w:val="2"/>
                <w:szCs w:val="20"/>
              </w:rPr>
              <w:t>24 (36.9)</w:t>
            </w:r>
          </w:p>
        </w:tc>
        <w:tc>
          <w:tcPr>
            <w:tcW w:w="1176" w:type="dxa"/>
            <w:shd w:val="clear" w:color="auto" w:fill="auto"/>
            <w:vAlign w:val="center"/>
          </w:tcPr>
          <w:p w14:paraId="203DFA3A" w14:textId="77777777" w:rsidR="00FF2345" w:rsidRDefault="00FF2345">
            <w:pPr>
              <w:jc w:val="both"/>
              <w:rPr>
                <w:rFonts w:cs="Arial"/>
                <w:kern w:val="2"/>
                <w:szCs w:val="20"/>
              </w:rPr>
            </w:pPr>
            <w:r>
              <w:rPr>
                <w:rFonts w:cs="Arial"/>
                <w:color w:val="000000"/>
                <w:kern w:val="2"/>
                <w:szCs w:val="20"/>
              </w:rPr>
              <w:t>14 (21.5)</w:t>
            </w:r>
          </w:p>
        </w:tc>
        <w:tc>
          <w:tcPr>
            <w:tcW w:w="1135" w:type="dxa"/>
            <w:shd w:val="clear" w:color="auto" w:fill="auto"/>
            <w:vAlign w:val="center"/>
          </w:tcPr>
          <w:p w14:paraId="04B54BD4"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3A2AC5CE" w14:textId="77777777" w:rsidR="00FF2345" w:rsidRDefault="00FF2345">
            <w:pPr>
              <w:jc w:val="both"/>
              <w:rPr>
                <w:rFonts w:cs="Arial"/>
                <w:color w:val="000000"/>
                <w:kern w:val="2"/>
                <w:szCs w:val="20"/>
              </w:rPr>
            </w:pPr>
            <w:r>
              <w:rPr>
                <w:rFonts w:cs="Arial"/>
                <w:kern w:val="2"/>
                <w:szCs w:val="20"/>
              </w:rPr>
              <w:t>41.5%</w:t>
            </w:r>
          </w:p>
        </w:tc>
      </w:tr>
      <w:tr w:rsidR="00000000" w14:paraId="19411581" w14:textId="77777777">
        <w:tc>
          <w:tcPr>
            <w:tcW w:w="0" w:type="auto"/>
            <w:shd w:val="clear" w:color="auto" w:fill="auto"/>
          </w:tcPr>
          <w:p w14:paraId="2E61A5EC" w14:textId="77777777" w:rsidR="00FF2345" w:rsidRDefault="00FF2345">
            <w:pPr>
              <w:jc w:val="both"/>
              <w:rPr>
                <w:rFonts w:cs="Arial"/>
                <w:kern w:val="2"/>
                <w:szCs w:val="20"/>
              </w:rPr>
            </w:pPr>
            <w:r>
              <w:rPr>
                <w:rFonts w:cs="Arial"/>
                <w:kern w:val="2"/>
                <w:szCs w:val="20"/>
              </w:rPr>
              <w:t>Q8</w:t>
            </w:r>
          </w:p>
        </w:tc>
        <w:tc>
          <w:tcPr>
            <w:tcW w:w="6564" w:type="dxa"/>
            <w:shd w:val="clear" w:color="auto" w:fill="auto"/>
          </w:tcPr>
          <w:p w14:paraId="732717C9" w14:textId="77777777" w:rsidR="00FF2345" w:rsidRDefault="00FF2345">
            <w:pPr>
              <w:jc w:val="both"/>
              <w:rPr>
                <w:rFonts w:cs="Arial"/>
                <w:color w:val="202124"/>
                <w:kern w:val="2"/>
                <w:szCs w:val="20"/>
              </w:rPr>
            </w:pPr>
            <w:r>
              <w:rPr>
                <w:rFonts w:cs="Arial"/>
                <w:color w:val="202124"/>
                <w:kern w:val="2"/>
                <w:szCs w:val="20"/>
              </w:rPr>
              <w:t xml:space="preserve">When rifampin is discontinued due to side effects or other reasons during INH </w:t>
            </w:r>
            <w:proofErr w:type="spellStart"/>
            <w:r>
              <w:rPr>
                <w:rFonts w:cs="Arial"/>
                <w:color w:val="202124"/>
                <w:kern w:val="2"/>
                <w:szCs w:val="20"/>
              </w:rPr>
              <w:t>monoresistant</w:t>
            </w:r>
            <w:proofErr w:type="spellEnd"/>
            <w:r>
              <w:rPr>
                <w:rFonts w:cs="Arial"/>
                <w:color w:val="202124"/>
                <w:kern w:val="2"/>
                <w:szCs w:val="20"/>
              </w:rPr>
              <w:t xml:space="preserve"> tuberculosis treatment, anti-tuberculosis drugs should be selected according to multidrug-resistant tuberculosis criteria.</w:t>
            </w:r>
          </w:p>
        </w:tc>
        <w:tc>
          <w:tcPr>
            <w:tcW w:w="1133" w:type="dxa"/>
            <w:shd w:val="clear" w:color="auto" w:fill="auto"/>
            <w:vAlign w:val="center"/>
          </w:tcPr>
          <w:p w14:paraId="3DC87E0B" w14:textId="77777777" w:rsidR="00FF2345" w:rsidRDefault="00FF2345">
            <w:pPr>
              <w:jc w:val="both"/>
              <w:rPr>
                <w:rFonts w:cs="Arial"/>
                <w:kern w:val="2"/>
                <w:szCs w:val="20"/>
              </w:rPr>
            </w:pPr>
            <w:r>
              <w:rPr>
                <w:rFonts w:cs="Arial"/>
                <w:color w:val="000000"/>
                <w:kern w:val="2"/>
                <w:szCs w:val="20"/>
              </w:rPr>
              <w:t>18 (27.7)</w:t>
            </w:r>
          </w:p>
        </w:tc>
        <w:tc>
          <w:tcPr>
            <w:tcW w:w="1134" w:type="dxa"/>
            <w:shd w:val="clear" w:color="auto" w:fill="auto"/>
            <w:vAlign w:val="center"/>
          </w:tcPr>
          <w:p w14:paraId="4F9847EF" w14:textId="77777777" w:rsidR="00FF2345" w:rsidRDefault="00FF2345">
            <w:pPr>
              <w:jc w:val="both"/>
              <w:rPr>
                <w:rFonts w:cs="Arial"/>
                <w:kern w:val="2"/>
                <w:szCs w:val="20"/>
              </w:rPr>
            </w:pPr>
            <w:r>
              <w:rPr>
                <w:rFonts w:cs="Arial"/>
                <w:color w:val="000000"/>
                <w:kern w:val="2"/>
                <w:szCs w:val="20"/>
              </w:rPr>
              <w:t>37 (56.9)</w:t>
            </w:r>
          </w:p>
        </w:tc>
        <w:tc>
          <w:tcPr>
            <w:tcW w:w="1092" w:type="dxa"/>
            <w:shd w:val="clear" w:color="auto" w:fill="auto"/>
            <w:vAlign w:val="center"/>
          </w:tcPr>
          <w:p w14:paraId="200C70CC" w14:textId="77777777" w:rsidR="00FF2345" w:rsidRDefault="00FF2345">
            <w:pPr>
              <w:jc w:val="both"/>
              <w:rPr>
                <w:rFonts w:cs="Arial"/>
                <w:kern w:val="2"/>
                <w:szCs w:val="20"/>
              </w:rPr>
            </w:pPr>
            <w:r>
              <w:rPr>
                <w:rFonts w:cs="Arial"/>
                <w:color w:val="000000"/>
                <w:kern w:val="2"/>
                <w:szCs w:val="20"/>
              </w:rPr>
              <w:t>6 (9.2)</w:t>
            </w:r>
          </w:p>
        </w:tc>
        <w:tc>
          <w:tcPr>
            <w:tcW w:w="1176" w:type="dxa"/>
            <w:shd w:val="clear" w:color="auto" w:fill="auto"/>
            <w:vAlign w:val="center"/>
          </w:tcPr>
          <w:p w14:paraId="184FF4D7" w14:textId="77777777" w:rsidR="00FF2345" w:rsidRDefault="00FF2345">
            <w:pPr>
              <w:jc w:val="both"/>
              <w:rPr>
                <w:rFonts w:cs="Arial"/>
                <w:kern w:val="2"/>
                <w:szCs w:val="20"/>
              </w:rPr>
            </w:pPr>
            <w:r>
              <w:rPr>
                <w:rFonts w:cs="Arial"/>
                <w:color w:val="000000"/>
                <w:kern w:val="2"/>
                <w:szCs w:val="20"/>
              </w:rPr>
              <w:t>3 (4.6)</w:t>
            </w:r>
          </w:p>
        </w:tc>
        <w:tc>
          <w:tcPr>
            <w:tcW w:w="1135" w:type="dxa"/>
            <w:shd w:val="clear" w:color="auto" w:fill="auto"/>
            <w:vAlign w:val="center"/>
          </w:tcPr>
          <w:p w14:paraId="4E708E75" w14:textId="77777777" w:rsidR="00FF2345" w:rsidRDefault="00FF2345">
            <w:pPr>
              <w:jc w:val="both"/>
              <w:rPr>
                <w:rFonts w:cs="Arial"/>
                <w:kern w:val="2"/>
                <w:szCs w:val="20"/>
              </w:rPr>
            </w:pPr>
            <w:r>
              <w:rPr>
                <w:rFonts w:cs="Arial"/>
                <w:color w:val="000000"/>
                <w:kern w:val="2"/>
                <w:szCs w:val="20"/>
              </w:rPr>
              <w:t>1 (1.5)</w:t>
            </w:r>
          </w:p>
        </w:tc>
        <w:tc>
          <w:tcPr>
            <w:tcW w:w="1194" w:type="dxa"/>
            <w:shd w:val="clear" w:color="auto" w:fill="auto"/>
            <w:vAlign w:val="center"/>
          </w:tcPr>
          <w:p w14:paraId="4F15FABD" w14:textId="77777777" w:rsidR="00FF2345" w:rsidRDefault="00FF2345">
            <w:pPr>
              <w:jc w:val="both"/>
              <w:rPr>
                <w:rFonts w:cs="Arial"/>
                <w:color w:val="000000"/>
                <w:kern w:val="2"/>
                <w:szCs w:val="20"/>
              </w:rPr>
            </w:pPr>
            <w:r>
              <w:rPr>
                <w:rFonts w:cs="Arial"/>
                <w:kern w:val="2"/>
                <w:szCs w:val="20"/>
              </w:rPr>
              <w:t>84.6%</w:t>
            </w:r>
          </w:p>
        </w:tc>
      </w:tr>
      <w:tr w:rsidR="00000000" w14:paraId="6A0CCF20" w14:textId="77777777">
        <w:tc>
          <w:tcPr>
            <w:tcW w:w="0" w:type="auto"/>
            <w:shd w:val="clear" w:color="auto" w:fill="auto"/>
          </w:tcPr>
          <w:p w14:paraId="70E2BE77" w14:textId="77777777" w:rsidR="00FF2345" w:rsidRDefault="00FF2345">
            <w:pPr>
              <w:jc w:val="both"/>
              <w:rPr>
                <w:rFonts w:cs="Arial"/>
                <w:kern w:val="2"/>
                <w:szCs w:val="20"/>
              </w:rPr>
            </w:pPr>
            <w:r>
              <w:rPr>
                <w:rFonts w:cs="Arial"/>
                <w:kern w:val="2"/>
                <w:szCs w:val="20"/>
              </w:rPr>
              <w:t>Q9</w:t>
            </w:r>
          </w:p>
        </w:tc>
        <w:tc>
          <w:tcPr>
            <w:tcW w:w="6564" w:type="dxa"/>
            <w:shd w:val="clear" w:color="auto" w:fill="auto"/>
          </w:tcPr>
          <w:p w14:paraId="45B1DBCF" w14:textId="77777777" w:rsidR="00FF2345" w:rsidRDefault="00FF2345">
            <w:pPr>
              <w:jc w:val="both"/>
              <w:rPr>
                <w:rFonts w:cs="Arial"/>
                <w:color w:val="202124"/>
                <w:kern w:val="2"/>
                <w:szCs w:val="20"/>
              </w:rPr>
            </w:pPr>
            <w:r>
              <w:rPr>
                <w:rFonts w:cs="Arial"/>
                <w:color w:val="202124"/>
                <w:kern w:val="2"/>
                <w:szCs w:val="20"/>
              </w:rPr>
              <w:t xml:space="preserve">If INH </w:t>
            </w:r>
            <w:proofErr w:type="spellStart"/>
            <w:r>
              <w:rPr>
                <w:rFonts w:cs="Arial"/>
                <w:color w:val="202124"/>
                <w:kern w:val="2"/>
                <w:szCs w:val="20"/>
              </w:rPr>
              <w:t>monoresistant</w:t>
            </w:r>
            <w:proofErr w:type="spellEnd"/>
            <w:r>
              <w:rPr>
                <w:rFonts w:cs="Arial"/>
                <w:color w:val="202124"/>
                <w:kern w:val="2"/>
                <w:szCs w:val="20"/>
              </w:rPr>
              <w:t xml:space="preserve"> tuberculosis is diagnosed during six months of standard tuberculosis treatment, it is recommended to consult </w:t>
            </w:r>
            <w:r>
              <w:rPr>
                <w:rFonts w:cs="Arial"/>
                <w:color w:val="202124"/>
                <w:kern w:val="2"/>
                <w:szCs w:val="20"/>
              </w:rPr>
              <w:lastRenderedPageBreak/>
              <w:t>an expert with extensive experience in drug-resistant tuberculosis treatment.</w:t>
            </w:r>
          </w:p>
        </w:tc>
        <w:tc>
          <w:tcPr>
            <w:tcW w:w="1133" w:type="dxa"/>
            <w:shd w:val="clear" w:color="auto" w:fill="auto"/>
            <w:vAlign w:val="center"/>
          </w:tcPr>
          <w:p w14:paraId="534A6259" w14:textId="77777777" w:rsidR="00FF2345" w:rsidRDefault="00FF2345">
            <w:pPr>
              <w:jc w:val="both"/>
              <w:rPr>
                <w:rFonts w:cs="Arial"/>
                <w:kern w:val="2"/>
                <w:szCs w:val="20"/>
              </w:rPr>
            </w:pPr>
            <w:r>
              <w:rPr>
                <w:rFonts w:cs="Arial"/>
                <w:color w:val="000000"/>
                <w:kern w:val="2"/>
                <w:szCs w:val="20"/>
              </w:rPr>
              <w:lastRenderedPageBreak/>
              <w:t>15 (23.1)</w:t>
            </w:r>
          </w:p>
        </w:tc>
        <w:tc>
          <w:tcPr>
            <w:tcW w:w="1134" w:type="dxa"/>
            <w:shd w:val="clear" w:color="auto" w:fill="auto"/>
            <w:vAlign w:val="center"/>
          </w:tcPr>
          <w:p w14:paraId="67ABDB7A" w14:textId="77777777" w:rsidR="00FF2345" w:rsidRDefault="00FF2345">
            <w:pPr>
              <w:jc w:val="both"/>
              <w:rPr>
                <w:rFonts w:cs="Arial"/>
                <w:kern w:val="2"/>
                <w:szCs w:val="20"/>
              </w:rPr>
            </w:pPr>
            <w:r>
              <w:rPr>
                <w:rFonts w:cs="Arial"/>
                <w:color w:val="000000"/>
                <w:kern w:val="2"/>
                <w:szCs w:val="20"/>
              </w:rPr>
              <w:t>25 (38.5)</w:t>
            </w:r>
          </w:p>
        </w:tc>
        <w:tc>
          <w:tcPr>
            <w:tcW w:w="1092" w:type="dxa"/>
            <w:shd w:val="clear" w:color="auto" w:fill="auto"/>
            <w:vAlign w:val="center"/>
          </w:tcPr>
          <w:p w14:paraId="470FCDC8" w14:textId="77777777" w:rsidR="00FF2345" w:rsidRDefault="00FF2345">
            <w:pPr>
              <w:jc w:val="both"/>
              <w:rPr>
                <w:rFonts w:cs="Arial"/>
                <w:kern w:val="2"/>
                <w:szCs w:val="20"/>
              </w:rPr>
            </w:pPr>
            <w:r>
              <w:rPr>
                <w:rFonts w:cs="Arial"/>
                <w:color w:val="000000"/>
                <w:kern w:val="2"/>
                <w:szCs w:val="20"/>
              </w:rPr>
              <w:t>15 (23.1)</w:t>
            </w:r>
          </w:p>
        </w:tc>
        <w:tc>
          <w:tcPr>
            <w:tcW w:w="1176" w:type="dxa"/>
            <w:shd w:val="clear" w:color="auto" w:fill="auto"/>
            <w:vAlign w:val="center"/>
          </w:tcPr>
          <w:p w14:paraId="4456522A" w14:textId="77777777" w:rsidR="00FF2345" w:rsidRDefault="00FF2345">
            <w:pPr>
              <w:jc w:val="both"/>
              <w:rPr>
                <w:rFonts w:cs="Arial"/>
                <w:kern w:val="2"/>
                <w:szCs w:val="20"/>
              </w:rPr>
            </w:pPr>
            <w:r>
              <w:rPr>
                <w:rFonts w:cs="Arial"/>
                <w:color w:val="000000"/>
                <w:kern w:val="2"/>
                <w:szCs w:val="20"/>
              </w:rPr>
              <w:t>9 (13.8)</w:t>
            </w:r>
          </w:p>
        </w:tc>
        <w:tc>
          <w:tcPr>
            <w:tcW w:w="1135" w:type="dxa"/>
            <w:shd w:val="clear" w:color="auto" w:fill="auto"/>
            <w:vAlign w:val="center"/>
          </w:tcPr>
          <w:p w14:paraId="3E9AED4D" w14:textId="77777777" w:rsidR="00FF2345" w:rsidRDefault="00FF2345">
            <w:pPr>
              <w:jc w:val="both"/>
              <w:rPr>
                <w:rFonts w:cs="Arial"/>
                <w:kern w:val="2"/>
                <w:szCs w:val="20"/>
              </w:rPr>
            </w:pPr>
            <w:r>
              <w:rPr>
                <w:rFonts w:cs="Arial"/>
                <w:color w:val="000000"/>
                <w:kern w:val="2"/>
                <w:szCs w:val="20"/>
              </w:rPr>
              <w:t>1 (1.5)</w:t>
            </w:r>
          </w:p>
        </w:tc>
        <w:tc>
          <w:tcPr>
            <w:tcW w:w="1194" w:type="dxa"/>
            <w:shd w:val="clear" w:color="auto" w:fill="auto"/>
            <w:vAlign w:val="center"/>
          </w:tcPr>
          <w:p w14:paraId="588E66DB" w14:textId="77777777" w:rsidR="00FF2345" w:rsidRDefault="00FF2345">
            <w:pPr>
              <w:jc w:val="both"/>
              <w:rPr>
                <w:rFonts w:cs="Arial"/>
                <w:color w:val="000000"/>
                <w:kern w:val="2"/>
                <w:szCs w:val="20"/>
              </w:rPr>
            </w:pPr>
            <w:r>
              <w:rPr>
                <w:rFonts w:cs="Arial"/>
                <w:kern w:val="2"/>
                <w:szCs w:val="20"/>
              </w:rPr>
              <w:t>61.5%</w:t>
            </w:r>
          </w:p>
        </w:tc>
      </w:tr>
      <w:tr w:rsidR="00000000" w14:paraId="3B906041" w14:textId="77777777">
        <w:tc>
          <w:tcPr>
            <w:tcW w:w="0" w:type="auto"/>
            <w:gridSpan w:val="8"/>
            <w:shd w:val="clear" w:color="auto" w:fill="auto"/>
            <w:vAlign w:val="center"/>
          </w:tcPr>
          <w:p w14:paraId="0872EA3A" w14:textId="77777777" w:rsidR="00FF2345" w:rsidRDefault="00FF2345">
            <w:pPr>
              <w:jc w:val="both"/>
              <w:rPr>
                <w:rFonts w:cs="Arial"/>
                <w:color w:val="000000"/>
                <w:kern w:val="2"/>
                <w:szCs w:val="20"/>
              </w:rPr>
            </w:pPr>
            <w:r>
              <w:rPr>
                <w:rFonts w:cs="Arial"/>
                <w:color w:val="000000"/>
                <w:kern w:val="2"/>
                <w:szCs w:val="20"/>
              </w:rPr>
              <w:t>General</w:t>
            </w:r>
          </w:p>
        </w:tc>
      </w:tr>
      <w:tr w:rsidR="00000000" w14:paraId="39686F1A" w14:textId="77777777">
        <w:tc>
          <w:tcPr>
            <w:tcW w:w="0" w:type="auto"/>
            <w:shd w:val="clear" w:color="auto" w:fill="auto"/>
          </w:tcPr>
          <w:p w14:paraId="2CC96565" w14:textId="77777777" w:rsidR="00FF2345" w:rsidRDefault="00FF2345">
            <w:pPr>
              <w:jc w:val="both"/>
              <w:rPr>
                <w:rFonts w:cs="Arial"/>
                <w:kern w:val="2"/>
                <w:szCs w:val="20"/>
              </w:rPr>
            </w:pPr>
            <w:r>
              <w:rPr>
                <w:rFonts w:cs="Arial"/>
                <w:kern w:val="2"/>
                <w:szCs w:val="20"/>
              </w:rPr>
              <w:t>Q1</w:t>
            </w:r>
          </w:p>
        </w:tc>
        <w:tc>
          <w:tcPr>
            <w:tcW w:w="6564" w:type="dxa"/>
            <w:shd w:val="clear" w:color="auto" w:fill="auto"/>
          </w:tcPr>
          <w:p w14:paraId="4543ADFB" w14:textId="77777777" w:rsidR="00FF2345" w:rsidRDefault="00FF2345">
            <w:pPr>
              <w:jc w:val="both"/>
              <w:rPr>
                <w:rFonts w:cs="Arial"/>
                <w:color w:val="202124"/>
                <w:kern w:val="2"/>
                <w:szCs w:val="20"/>
              </w:rPr>
            </w:pPr>
            <w:r>
              <w:rPr>
                <w:rFonts w:cs="Arial"/>
                <w:color w:val="202124"/>
                <w:kern w:val="2"/>
                <w:szCs w:val="20"/>
              </w:rPr>
              <w:t xml:space="preserve">The current tuberculosis treatment guidelines (4th edition, 2020) require improvements in the section on INH </w:t>
            </w:r>
            <w:proofErr w:type="spellStart"/>
            <w:r>
              <w:rPr>
                <w:rFonts w:cs="Arial"/>
                <w:color w:val="202124"/>
                <w:kern w:val="2"/>
                <w:szCs w:val="20"/>
              </w:rPr>
              <w:t>monoresistant</w:t>
            </w:r>
            <w:proofErr w:type="spellEnd"/>
            <w:r>
              <w:rPr>
                <w:rFonts w:cs="Arial"/>
                <w:color w:val="202124"/>
                <w:kern w:val="2"/>
                <w:szCs w:val="20"/>
              </w:rPr>
              <w:t xml:space="preserve"> tuberculosis.</w:t>
            </w:r>
          </w:p>
        </w:tc>
        <w:tc>
          <w:tcPr>
            <w:tcW w:w="1133" w:type="dxa"/>
            <w:shd w:val="clear" w:color="auto" w:fill="auto"/>
            <w:vAlign w:val="center"/>
          </w:tcPr>
          <w:p w14:paraId="50764B4D" w14:textId="77777777" w:rsidR="00FF2345" w:rsidRDefault="00FF2345">
            <w:pPr>
              <w:jc w:val="both"/>
              <w:rPr>
                <w:rFonts w:cs="Arial"/>
                <w:kern w:val="2"/>
                <w:szCs w:val="20"/>
              </w:rPr>
            </w:pPr>
            <w:r>
              <w:rPr>
                <w:rFonts w:cs="Arial"/>
                <w:color w:val="000000"/>
                <w:kern w:val="2"/>
                <w:szCs w:val="20"/>
              </w:rPr>
              <w:t>6 (9.2)</w:t>
            </w:r>
          </w:p>
        </w:tc>
        <w:tc>
          <w:tcPr>
            <w:tcW w:w="1134" w:type="dxa"/>
            <w:shd w:val="clear" w:color="auto" w:fill="auto"/>
            <w:vAlign w:val="center"/>
          </w:tcPr>
          <w:p w14:paraId="6533AFFF" w14:textId="77777777" w:rsidR="00FF2345" w:rsidRDefault="00FF2345">
            <w:pPr>
              <w:jc w:val="both"/>
              <w:rPr>
                <w:rFonts w:cs="Arial"/>
                <w:kern w:val="2"/>
                <w:szCs w:val="20"/>
              </w:rPr>
            </w:pPr>
            <w:r>
              <w:rPr>
                <w:rFonts w:cs="Arial"/>
                <w:color w:val="000000"/>
                <w:kern w:val="2"/>
                <w:szCs w:val="20"/>
              </w:rPr>
              <w:t>28 (43.1)</w:t>
            </w:r>
          </w:p>
        </w:tc>
        <w:tc>
          <w:tcPr>
            <w:tcW w:w="1092" w:type="dxa"/>
            <w:shd w:val="clear" w:color="auto" w:fill="auto"/>
            <w:vAlign w:val="center"/>
          </w:tcPr>
          <w:p w14:paraId="0AF3C07A" w14:textId="77777777" w:rsidR="00FF2345" w:rsidRDefault="00FF2345">
            <w:pPr>
              <w:jc w:val="both"/>
              <w:rPr>
                <w:rFonts w:cs="Arial"/>
                <w:kern w:val="2"/>
                <w:szCs w:val="20"/>
              </w:rPr>
            </w:pPr>
            <w:r>
              <w:rPr>
                <w:rFonts w:cs="Arial"/>
                <w:color w:val="000000"/>
                <w:kern w:val="2"/>
                <w:szCs w:val="20"/>
              </w:rPr>
              <w:t>23 (35.4)</w:t>
            </w:r>
          </w:p>
        </w:tc>
        <w:tc>
          <w:tcPr>
            <w:tcW w:w="1176" w:type="dxa"/>
            <w:shd w:val="clear" w:color="auto" w:fill="auto"/>
            <w:vAlign w:val="center"/>
          </w:tcPr>
          <w:p w14:paraId="442BBEF1" w14:textId="77777777" w:rsidR="00FF2345" w:rsidRDefault="00FF2345">
            <w:pPr>
              <w:jc w:val="both"/>
              <w:rPr>
                <w:rFonts w:cs="Arial"/>
                <w:kern w:val="2"/>
                <w:szCs w:val="20"/>
              </w:rPr>
            </w:pPr>
            <w:r>
              <w:rPr>
                <w:rFonts w:cs="Arial"/>
                <w:color w:val="000000"/>
                <w:kern w:val="2"/>
                <w:szCs w:val="20"/>
              </w:rPr>
              <w:t>8 (12.3)</w:t>
            </w:r>
          </w:p>
        </w:tc>
        <w:tc>
          <w:tcPr>
            <w:tcW w:w="1135" w:type="dxa"/>
            <w:shd w:val="clear" w:color="auto" w:fill="auto"/>
            <w:vAlign w:val="center"/>
          </w:tcPr>
          <w:p w14:paraId="5D490D59"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5691FB74" w14:textId="77777777" w:rsidR="00FF2345" w:rsidRDefault="00FF2345">
            <w:pPr>
              <w:jc w:val="both"/>
              <w:rPr>
                <w:rFonts w:cs="Arial"/>
                <w:color w:val="000000"/>
                <w:kern w:val="2"/>
                <w:szCs w:val="20"/>
              </w:rPr>
            </w:pPr>
            <w:r>
              <w:rPr>
                <w:rFonts w:cs="Arial"/>
                <w:kern w:val="2"/>
                <w:szCs w:val="20"/>
              </w:rPr>
              <w:t>52.3%</w:t>
            </w:r>
          </w:p>
        </w:tc>
      </w:tr>
      <w:tr w:rsidR="00000000" w14:paraId="21E18762" w14:textId="77777777">
        <w:tc>
          <w:tcPr>
            <w:tcW w:w="0" w:type="auto"/>
            <w:shd w:val="clear" w:color="auto" w:fill="auto"/>
          </w:tcPr>
          <w:p w14:paraId="767B09BD" w14:textId="77777777" w:rsidR="00FF2345" w:rsidRDefault="00FF2345">
            <w:pPr>
              <w:jc w:val="both"/>
              <w:rPr>
                <w:rFonts w:cs="Arial"/>
                <w:kern w:val="2"/>
                <w:szCs w:val="20"/>
              </w:rPr>
            </w:pPr>
            <w:r>
              <w:rPr>
                <w:rFonts w:cs="Arial"/>
                <w:kern w:val="2"/>
                <w:szCs w:val="20"/>
              </w:rPr>
              <w:t>Q2</w:t>
            </w:r>
          </w:p>
        </w:tc>
        <w:tc>
          <w:tcPr>
            <w:tcW w:w="6564" w:type="dxa"/>
            <w:shd w:val="clear" w:color="auto" w:fill="auto"/>
          </w:tcPr>
          <w:p w14:paraId="69319AEF" w14:textId="77777777" w:rsidR="00FF2345" w:rsidRDefault="00FF2345">
            <w:pPr>
              <w:jc w:val="both"/>
              <w:rPr>
                <w:rFonts w:cs="Arial"/>
                <w:color w:val="202124"/>
                <w:kern w:val="2"/>
                <w:szCs w:val="20"/>
              </w:rPr>
            </w:pPr>
            <w:r>
              <w:rPr>
                <w:rFonts w:cs="Arial"/>
                <w:color w:val="202124"/>
                <w:kern w:val="2"/>
                <w:szCs w:val="20"/>
              </w:rPr>
              <w:t xml:space="preserve">The current tuberculosis treatment guidelines (4th edition, 2020) sufficiently consider recently introduced diagnostic methods for INH </w:t>
            </w:r>
            <w:proofErr w:type="spellStart"/>
            <w:r>
              <w:rPr>
                <w:rFonts w:cs="Arial"/>
                <w:color w:val="202124"/>
                <w:kern w:val="2"/>
                <w:szCs w:val="20"/>
              </w:rPr>
              <w:t>monoresistant</w:t>
            </w:r>
            <w:proofErr w:type="spellEnd"/>
            <w:r>
              <w:rPr>
                <w:rFonts w:cs="Arial"/>
                <w:color w:val="202124"/>
                <w:kern w:val="2"/>
                <w:szCs w:val="20"/>
              </w:rPr>
              <w:t xml:space="preserve"> tuberculosis.</w:t>
            </w:r>
          </w:p>
        </w:tc>
        <w:tc>
          <w:tcPr>
            <w:tcW w:w="1133" w:type="dxa"/>
            <w:shd w:val="clear" w:color="auto" w:fill="auto"/>
            <w:vAlign w:val="center"/>
          </w:tcPr>
          <w:p w14:paraId="2F11A5A8" w14:textId="77777777" w:rsidR="00FF2345" w:rsidRDefault="00FF2345">
            <w:pPr>
              <w:jc w:val="both"/>
              <w:rPr>
                <w:rFonts w:cs="Arial"/>
                <w:kern w:val="2"/>
                <w:szCs w:val="20"/>
              </w:rPr>
            </w:pPr>
            <w:r>
              <w:rPr>
                <w:rFonts w:cs="Arial"/>
                <w:color w:val="000000"/>
                <w:kern w:val="2"/>
                <w:szCs w:val="20"/>
              </w:rPr>
              <w:t>1 (1.5)</w:t>
            </w:r>
          </w:p>
        </w:tc>
        <w:tc>
          <w:tcPr>
            <w:tcW w:w="1134" w:type="dxa"/>
            <w:shd w:val="clear" w:color="auto" w:fill="auto"/>
            <w:vAlign w:val="center"/>
          </w:tcPr>
          <w:p w14:paraId="530CE7E9" w14:textId="77777777" w:rsidR="00FF2345" w:rsidRDefault="00FF2345">
            <w:pPr>
              <w:jc w:val="both"/>
              <w:rPr>
                <w:rFonts w:cs="Arial"/>
                <w:kern w:val="2"/>
                <w:szCs w:val="20"/>
              </w:rPr>
            </w:pPr>
            <w:r>
              <w:rPr>
                <w:rFonts w:cs="Arial"/>
                <w:color w:val="000000"/>
                <w:kern w:val="2"/>
                <w:szCs w:val="20"/>
              </w:rPr>
              <w:t>17 (26.2)</w:t>
            </w:r>
          </w:p>
        </w:tc>
        <w:tc>
          <w:tcPr>
            <w:tcW w:w="1092" w:type="dxa"/>
            <w:shd w:val="clear" w:color="auto" w:fill="auto"/>
            <w:vAlign w:val="center"/>
          </w:tcPr>
          <w:p w14:paraId="3129B33B" w14:textId="77777777" w:rsidR="00FF2345" w:rsidRDefault="00FF2345">
            <w:pPr>
              <w:jc w:val="both"/>
              <w:rPr>
                <w:rFonts w:cs="Arial"/>
                <w:kern w:val="2"/>
                <w:szCs w:val="20"/>
              </w:rPr>
            </w:pPr>
            <w:r>
              <w:rPr>
                <w:rFonts w:cs="Arial"/>
                <w:color w:val="000000"/>
                <w:kern w:val="2"/>
                <w:szCs w:val="20"/>
              </w:rPr>
              <w:t>29 (44.6)</w:t>
            </w:r>
          </w:p>
        </w:tc>
        <w:tc>
          <w:tcPr>
            <w:tcW w:w="1176" w:type="dxa"/>
            <w:shd w:val="clear" w:color="auto" w:fill="auto"/>
            <w:vAlign w:val="center"/>
          </w:tcPr>
          <w:p w14:paraId="27CDB341" w14:textId="77777777" w:rsidR="00FF2345" w:rsidRDefault="00FF2345">
            <w:pPr>
              <w:jc w:val="both"/>
              <w:rPr>
                <w:rFonts w:cs="Arial"/>
                <w:kern w:val="2"/>
                <w:szCs w:val="20"/>
              </w:rPr>
            </w:pPr>
            <w:r>
              <w:rPr>
                <w:rFonts w:cs="Arial"/>
                <w:color w:val="000000"/>
                <w:kern w:val="2"/>
                <w:szCs w:val="20"/>
              </w:rPr>
              <w:t>18 (27.7)</w:t>
            </w:r>
          </w:p>
        </w:tc>
        <w:tc>
          <w:tcPr>
            <w:tcW w:w="1135" w:type="dxa"/>
            <w:shd w:val="clear" w:color="auto" w:fill="auto"/>
            <w:vAlign w:val="center"/>
          </w:tcPr>
          <w:p w14:paraId="19628FC5"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75323328" w14:textId="77777777" w:rsidR="00FF2345" w:rsidRDefault="00FF2345">
            <w:pPr>
              <w:jc w:val="both"/>
              <w:rPr>
                <w:rFonts w:cs="Arial"/>
                <w:color w:val="000000"/>
                <w:kern w:val="2"/>
                <w:szCs w:val="20"/>
              </w:rPr>
            </w:pPr>
            <w:r>
              <w:rPr>
                <w:rFonts w:cs="Arial"/>
                <w:kern w:val="2"/>
                <w:szCs w:val="20"/>
              </w:rPr>
              <w:t>27.7%</w:t>
            </w:r>
          </w:p>
        </w:tc>
      </w:tr>
      <w:tr w:rsidR="00000000" w14:paraId="433A6878" w14:textId="77777777">
        <w:tc>
          <w:tcPr>
            <w:tcW w:w="0" w:type="auto"/>
            <w:shd w:val="clear" w:color="auto" w:fill="auto"/>
          </w:tcPr>
          <w:p w14:paraId="64138C32" w14:textId="77777777" w:rsidR="00FF2345" w:rsidRDefault="00FF2345">
            <w:pPr>
              <w:jc w:val="both"/>
              <w:rPr>
                <w:rFonts w:cs="Arial"/>
                <w:kern w:val="2"/>
                <w:szCs w:val="20"/>
              </w:rPr>
            </w:pPr>
            <w:r>
              <w:rPr>
                <w:rFonts w:cs="Arial"/>
                <w:kern w:val="2"/>
                <w:szCs w:val="20"/>
              </w:rPr>
              <w:t>Q3</w:t>
            </w:r>
          </w:p>
        </w:tc>
        <w:tc>
          <w:tcPr>
            <w:tcW w:w="6564" w:type="dxa"/>
            <w:shd w:val="clear" w:color="auto" w:fill="auto"/>
          </w:tcPr>
          <w:p w14:paraId="5CF652F2" w14:textId="77777777" w:rsidR="00FF2345" w:rsidRDefault="00FF2345">
            <w:pPr>
              <w:jc w:val="both"/>
              <w:rPr>
                <w:rFonts w:cs="Arial"/>
                <w:color w:val="202124"/>
                <w:kern w:val="2"/>
                <w:szCs w:val="20"/>
              </w:rPr>
            </w:pPr>
            <w:r>
              <w:rPr>
                <w:rFonts w:cs="Arial"/>
                <w:color w:val="202124"/>
                <w:kern w:val="2"/>
                <w:szCs w:val="20"/>
              </w:rPr>
              <w:t xml:space="preserve">The current tuberculosis treatment guidelines (4th edition, 2020) sufficiently consider recently introduced treatment strategies for INH </w:t>
            </w:r>
            <w:proofErr w:type="spellStart"/>
            <w:r>
              <w:rPr>
                <w:rFonts w:cs="Arial"/>
                <w:color w:val="202124"/>
                <w:kern w:val="2"/>
                <w:szCs w:val="20"/>
              </w:rPr>
              <w:t>monoresistant</w:t>
            </w:r>
            <w:proofErr w:type="spellEnd"/>
            <w:r>
              <w:rPr>
                <w:rFonts w:cs="Arial"/>
                <w:color w:val="202124"/>
                <w:kern w:val="2"/>
                <w:szCs w:val="20"/>
              </w:rPr>
              <w:t xml:space="preserve"> tuberculosis.</w:t>
            </w:r>
          </w:p>
        </w:tc>
        <w:tc>
          <w:tcPr>
            <w:tcW w:w="1133" w:type="dxa"/>
            <w:shd w:val="clear" w:color="auto" w:fill="auto"/>
            <w:vAlign w:val="center"/>
          </w:tcPr>
          <w:p w14:paraId="70D9069F" w14:textId="77777777" w:rsidR="00FF2345" w:rsidRDefault="00FF2345">
            <w:pPr>
              <w:jc w:val="both"/>
              <w:rPr>
                <w:rFonts w:cs="Arial"/>
                <w:kern w:val="2"/>
                <w:szCs w:val="20"/>
              </w:rPr>
            </w:pPr>
            <w:r>
              <w:rPr>
                <w:rFonts w:cs="Arial"/>
                <w:color w:val="000000"/>
                <w:kern w:val="2"/>
                <w:szCs w:val="20"/>
              </w:rPr>
              <w:t>6 (9.2)</w:t>
            </w:r>
          </w:p>
        </w:tc>
        <w:tc>
          <w:tcPr>
            <w:tcW w:w="1134" w:type="dxa"/>
            <w:shd w:val="clear" w:color="auto" w:fill="auto"/>
            <w:vAlign w:val="center"/>
          </w:tcPr>
          <w:p w14:paraId="50DFF381" w14:textId="77777777" w:rsidR="00FF2345" w:rsidRDefault="00FF2345">
            <w:pPr>
              <w:jc w:val="both"/>
              <w:rPr>
                <w:rFonts w:cs="Arial"/>
                <w:kern w:val="2"/>
                <w:szCs w:val="20"/>
              </w:rPr>
            </w:pPr>
            <w:r>
              <w:rPr>
                <w:rFonts w:cs="Arial"/>
                <w:color w:val="000000"/>
                <w:kern w:val="2"/>
                <w:szCs w:val="20"/>
              </w:rPr>
              <w:t>24 (36.9)</w:t>
            </w:r>
          </w:p>
        </w:tc>
        <w:tc>
          <w:tcPr>
            <w:tcW w:w="1092" w:type="dxa"/>
            <w:shd w:val="clear" w:color="auto" w:fill="auto"/>
            <w:vAlign w:val="center"/>
          </w:tcPr>
          <w:p w14:paraId="3A8D6B83" w14:textId="77777777" w:rsidR="00FF2345" w:rsidRDefault="00FF2345">
            <w:pPr>
              <w:jc w:val="both"/>
              <w:rPr>
                <w:rFonts w:cs="Arial"/>
                <w:kern w:val="2"/>
                <w:szCs w:val="20"/>
              </w:rPr>
            </w:pPr>
            <w:r>
              <w:rPr>
                <w:rFonts w:cs="Arial"/>
                <w:color w:val="000000"/>
                <w:kern w:val="2"/>
                <w:szCs w:val="20"/>
              </w:rPr>
              <w:t>23 (35.4)</w:t>
            </w:r>
          </w:p>
        </w:tc>
        <w:tc>
          <w:tcPr>
            <w:tcW w:w="1176" w:type="dxa"/>
            <w:shd w:val="clear" w:color="auto" w:fill="auto"/>
            <w:vAlign w:val="center"/>
          </w:tcPr>
          <w:p w14:paraId="5E625DA6" w14:textId="77777777" w:rsidR="00FF2345" w:rsidRDefault="00FF2345">
            <w:pPr>
              <w:jc w:val="both"/>
              <w:rPr>
                <w:rFonts w:cs="Arial"/>
                <w:kern w:val="2"/>
                <w:szCs w:val="20"/>
              </w:rPr>
            </w:pPr>
            <w:r>
              <w:rPr>
                <w:rFonts w:cs="Arial"/>
                <w:color w:val="000000"/>
                <w:kern w:val="2"/>
                <w:szCs w:val="20"/>
              </w:rPr>
              <w:t>11 (16.9)</w:t>
            </w:r>
          </w:p>
        </w:tc>
        <w:tc>
          <w:tcPr>
            <w:tcW w:w="1135" w:type="dxa"/>
            <w:shd w:val="clear" w:color="auto" w:fill="auto"/>
            <w:vAlign w:val="center"/>
          </w:tcPr>
          <w:p w14:paraId="7EAF9A11"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31B68C8A" w14:textId="77777777" w:rsidR="00FF2345" w:rsidRDefault="00FF2345">
            <w:pPr>
              <w:jc w:val="both"/>
              <w:rPr>
                <w:rFonts w:cs="Arial"/>
                <w:color w:val="000000"/>
                <w:kern w:val="2"/>
                <w:szCs w:val="20"/>
              </w:rPr>
            </w:pPr>
            <w:r>
              <w:rPr>
                <w:rFonts w:cs="Arial"/>
                <w:kern w:val="2"/>
                <w:szCs w:val="20"/>
              </w:rPr>
              <w:t>46.9%</w:t>
            </w:r>
          </w:p>
        </w:tc>
      </w:tr>
      <w:tr w:rsidR="00000000" w14:paraId="4BF3E9C8" w14:textId="77777777">
        <w:tc>
          <w:tcPr>
            <w:tcW w:w="0" w:type="auto"/>
            <w:shd w:val="clear" w:color="auto" w:fill="auto"/>
          </w:tcPr>
          <w:p w14:paraId="32C6915F" w14:textId="77777777" w:rsidR="00FF2345" w:rsidRDefault="00FF2345">
            <w:pPr>
              <w:jc w:val="both"/>
              <w:rPr>
                <w:rFonts w:cs="Arial"/>
                <w:kern w:val="2"/>
                <w:szCs w:val="20"/>
              </w:rPr>
            </w:pPr>
            <w:r>
              <w:rPr>
                <w:rFonts w:cs="Arial"/>
                <w:kern w:val="2"/>
                <w:szCs w:val="20"/>
              </w:rPr>
              <w:t>Q4</w:t>
            </w:r>
          </w:p>
        </w:tc>
        <w:tc>
          <w:tcPr>
            <w:tcW w:w="6564" w:type="dxa"/>
            <w:shd w:val="clear" w:color="auto" w:fill="auto"/>
          </w:tcPr>
          <w:p w14:paraId="06C3B1D2" w14:textId="77777777" w:rsidR="00FF2345" w:rsidRDefault="00FF2345">
            <w:pPr>
              <w:jc w:val="both"/>
              <w:rPr>
                <w:rFonts w:cs="Arial"/>
                <w:color w:val="202124"/>
                <w:kern w:val="2"/>
                <w:szCs w:val="20"/>
              </w:rPr>
            </w:pPr>
            <w:r>
              <w:rPr>
                <w:rFonts w:cs="Arial"/>
                <w:color w:val="202124"/>
                <w:kern w:val="2"/>
                <w:szCs w:val="20"/>
              </w:rPr>
              <w:t>The current tuberculosis treatment guidelines (4th edition, 2020) adequately reflect the clinical and socioeconomic characteristics of domestic patients.</w:t>
            </w:r>
          </w:p>
        </w:tc>
        <w:tc>
          <w:tcPr>
            <w:tcW w:w="1133" w:type="dxa"/>
            <w:shd w:val="clear" w:color="auto" w:fill="auto"/>
            <w:vAlign w:val="center"/>
          </w:tcPr>
          <w:p w14:paraId="1C8983A2" w14:textId="77777777" w:rsidR="00FF2345" w:rsidRDefault="00FF2345">
            <w:pPr>
              <w:jc w:val="both"/>
              <w:rPr>
                <w:rFonts w:cs="Arial"/>
                <w:kern w:val="2"/>
                <w:szCs w:val="20"/>
              </w:rPr>
            </w:pPr>
            <w:r>
              <w:rPr>
                <w:rFonts w:cs="Arial"/>
                <w:color w:val="000000"/>
                <w:kern w:val="2"/>
                <w:szCs w:val="20"/>
              </w:rPr>
              <w:t>1 (1.5)</w:t>
            </w:r>
          </w:p>
        </w:tc>
        <w:tc>
          <w:tcPr>
            <w:tcW w:w="1134" w:type="dxa"/>
            <w:shd w:val="clear" w:color="auto" w:fill="auto"/>
            <w:vAlign w:val="center"/>
          </w:tcPr>
          <w:p w14:paraId="628B961F" w14:textId="77777777" w:rsidR="00FF2345" w:rsidRDefault="00FF2345">
            <w:pPr>
              <w:jc w:val="both"/>
              <w:rPr>
                <w:rFonts w:cs="Arial"/>
                <w:kern w:val="2"/>
                <w:szCs w:val="20"/>
              </w:rPr>
            </w:pPr>
            <w:r>
              <w:rPr>
                <w:rFonts w:cs="Arial"/>
                <w:color w:val="000000"/>
                <w:kern w:val="2"/>
                <w:szCs w:val="20"/>
              </w:rPr>
              <w:t>19 (29.2)</w:t>
            </w:r>
          </w:p>
        </w:tc>
        <w:tc>
          <w:tcPr>
            <w:tcW w:w="1092" w:type="dxa"/>
            <w:shd w:val="clear" w:color="auto" w:fill="auto"/>
            <w:vAlign w:val="center"/>
          </w:tcPr>
          <w:p w14:paraId="200B0CEA" w14:textId="77777777" w:rsidR="00FF2345" w:rsidRDefault="00FF2345">
            <w:pPr>
              <w:jc w:val="both"/>
              <w:rPr>
                <w:rFonts w:cs="Arial"/>
                <w:kern w:val="2"/>
                <w:szCs w:val="20"/>
              </w:rPr>
            </w:pPr>
            <w:r>
              <w:rPr>
                <w:rFonts w:cs="Arial"/>
                <w:color w:val="000000"/>
                <w:kern w:val="2"/>
                <w:szCs w:val="20"/>
              </w:rPr>
              <w:t>32 (49.2)</w:t>
            </w:r>
          </w:p>
        </w:tc>
        <w:tc>
          <w:tcPr>
            <w:tcW w:w="1176" w:type="dxa"/>
            <w:shd w:val="clear" w:color="auto" w:fill="auto"/>
            <w:vAlign w:val="center"/>
          </w:tcPr>
          <w:p w14:paraId="62FB24D4" w14:textId="77777777" w:rsidR="00FF2345" w:rsidRDefault="00FF2345">
            <w:pPr>
              <w:jc w:val="both"/>
              <w:rPr>
                <w:rFonts w:cs="Arial"/>
                <w:kern w:val="2"/>
                <w:szCs w:val="20"/>
              </w:rPr>
            </w:pPr>
            <w:r>
              <w:rPr>
                <w:rFonts w:cs="Arial"/>
                <w:color w:val="000000"/>
                <w:kern w:val="2"/>
                <w:szCs w:val="20"/>
              </w:rPr>
              <w:t>13 (20.0)</w:t>
            </w:r>
          </w:p>
        </w:tc>
        <w:tc>
          <w:tcPr>
            <w:tcW w:w="1135" w:type="dxa"/>
            <w:shd w:val="clear" w:color="auto" w:fill="auto"/>
            <w:vAlign w:val="center"/>
          </w:tcPr>
          <w:p w14:paraId="57C0BF37"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187497E5" w14:textId="77777777" w:rsidR="00FF2345" w:rsidRDefault="00FF2345">
            <w:pPr>
              <w:jc w:val="both"/>
              <w:rPr>
                <w:rFonts w:cs="Arial"/>
                <w:color w:val="000000"/>
                <w:kern w:val="2"/>
                <w:szCs w:val="20"/>
              </w:rPr>
            </w:pPr>
            <w:r>
              <w:rPr>
                <w:rFonts w:cs="Arial"/>
                <w:kern w:val="2"/>
                <w:szCs w:val="20"/>
              </w:rPr>
              <w:t>30.8%</w:t>
            </w:r>
          </w:p>
        </w:tc>
      </w:tr>
      <w:tr w:rsidR="00000000" w14:paraId="76C39617" w14:textId="77777777">
        <w:tc>
          <w:tcPr>
            <w:tcW w:w="0" w:type="auto"/>
            <w:shd w:val="clear" w:color="auto" w:fill="auto"/>
          </w:tcPr>
          <w:p w14:paraId="675C8355" w14:textId="77777777" w:rsidR="00FF2345" w:rsidRDefault="00FF2345">
            <w:pPr>
              <w:jc w:val="both"/>
              <w:rPr>
                <w:rFonts w:cs="Arial"/>
                <w:kern w:val="2"/>
                <w:szCs w:val="20"/>
              </w:rPr>
            </w:pPr>
            <w:r>
              <w:rPr>
                <w:rFonts w:cs="Arial"/>
                <w:kern w:val="2"/>
                <w:szCs w:val="20"/>
              </w:rPr>
              <w:t>Q5</w:t>
            </w:r>
          </w:p>
        </w:tc>
        <w:tc>
          <w:tcPr>
            <w:tcW w:w="6564" w:type="dxa"/>
            <w:shd w:val="clear" w:color="auto" w:fill="auto"/>
          </w:tcPr>
          <w:p w14:paraId="63274060" w14:textId="77777777" w:rsidR="00FF2345" w:rsidRDefault="00FF2345">
            <w:pPr>
              <w:jc w:val="both"/>
              <w:rPr>
                <w:rFonts w:cs="Arial"/>
                <w:color w:val="202124"/>
                <w:kern w:val="2"/>
                <w:szCs w:val="20"/>
              </w:rPr>
            </w:pPr>
            <w:r>
              <w:rPr>
                <w:rFonts w:cs="Arial"/>
                <w:color w:val="202124"/>
                <w:kern w:val="2"/>
                <w:szCs w:val="20"/>
              </w:rPr>
              <w:t>The consensus reached through this Delphi survey should be reflected in the future revision of tuberculosis treatment guidelines in our country.</w:t>
            </w:r>
          </w:p>
        </w:tc>
        <w:tc>
          <w:tcPr>
            <w:tcW w:w="1133" w:type="dxa"/>
            <w:shd w:val="clear" w:color="auto" w:fill="auto"/>
            <w:vAlign w:val="center"/>
          </w:tcPr>
          <w:p w14:paraId="73DD7D50" w14:textId="77777777" w:rsidR="00FF2345" w:rsidRDefault="00FF2345">
            <w:pPr>
              <w:jc w:val="both"/>
              <w:rPr>
                <w:rFonts w:cs="Arial"/>
                <w:kern w:val="2"/>
                <w:szCs w:val="20"/>
              </w:rPr>
            </w:pPr>
            <w:r>
              <w:rPr>
                <w:rFonts w:cs="Arial"/>
                <w:color w:val="000000"/>
                <w:kern w:val="2"/>
                <w:szCs w:val="20"/>
              </w:rPr>
              <w:t>26 (40.0)</w:t>
            </w:r>
          </w:p>
        </w:tc>
        <w:tc>
          <w:tcPr>
            <w:tcW w:w="1134" w:type="dxa"/>
            <w:shd w:val="clear" w:color="auto" w:fill="auto"/>
            <w:vAlign w:val="center"/>
          </w:tcPr>
          <w:p w14:paraId="131D491F" w14:textId="77777777" w:rsidR="00FF2345" w:rsidRDefault="00FF2345">
            <w:pPr>
              <w:jc w:val="both"/>
              <w:rPr>
                <w:rFonts w:cs="Arial"/>
                <w:kern w:val="2"/>
                <w:szCs w:val="20"/>
              </w:rPr>
            </w:pPr>
            <w:r>
              <w:rPr>
                <w:rFonts w:cs="Arial"/>
                <w:color w:val="000000"/>
                <w:kern w:val="2"/>
                <w:szCs w:val="20"/>
              </w:rPr>
              <w:t>36 (55.4)</w:t>
            </w:r>
          </w:p>
        </w:tc>
        <w:tc>
          <w:tcPr>
            <w:tcW w:w="1092" w:type="dxa"/>
            <w:shd w:val="clear" w:color="auto" w:fill="auto"/>
            <w:vAlign w:val="center"/>
          </w:tcPr>
          <w:p w14:paraId="658AE2D5" w14:textId="77777777" w:rsidR="00FF2345" w:rsidRDefault="00FF2345">
            <w:pPr>
              <w:jc w:val="both"/>
              <w:rPr>
                <w:rFonts w:cs="Arial"/>
                <w:kern w:val="2"/>
                <w:szCs w:val="20"/>
              </w:rPr>
            </w:pPr>
            <w:r>
              <w:rPr>
                <w:rFonts w:cs="Arial"/>
                <w:color w:val="000000"/>
                <w:kern w:val="2"/>
                <w:szCs w:val="20"/>
              </w:rPr>
              <w:t>3 (4.6)</w:t>
            </w:r>
          </w:p>
        </w:tc>
        <w:tc>
          <w:tcPr>
            <w:tcW w:w="1176" w:type="dxa"/>
            <w:shd w:val="clear" w:color="auto" w:fill="auto"/>
            <w:vAlign w:val="center"/>
          </w:tcPr>
          <w:p w14:paraId="1C2CE48A" w14:textId="77777777" w:rsidR="00FF2345" w:rsidRDefault="00FF2345">
            <w:pPr>
              <w:jc w:val="both"/>
              <w:rPr>
                <w:rFonts w:cs="Arial"/>
                <w:kern w:val="2"/>
                <w:szCs w:val="20"/>
              </w:rPr>
            </w:pPr>
            <w:r>
              <w:rPr>
                <w:rFonts w:cs="Arial"/>
                <w:color w:val="000000"/>
                <w:kern w:val="2"/>
                <w:szCs w:val="20"/>
              </w:rPr>
              <w:t>0 (0.0)</w:t>
            </w:r>
          </w:p>
        </w:tc>
        <w:tc>
          <w:tcPr>
            <w:tcW w:w="1135" w:type="dxa"/>
            <w:shd w:val="clear" w:color="auto" w:fill="auto"/>
            <w:vAlign w:val="center"/>
          </w:tcPr>
          <w:p w14:paraId="01484FD6" w14:textId="77777777" w:rsidR="00FF2345" w:rsidRDefault="00FF2345">
            <w:pPr>
              <w:jc w:val="both"/>
              <w:rPr>
                <w:rFonts w:cs="Arial"/>
                <w:kern w:val="2"/>
                <w:szCs w:val="20"/>
              </w:rPr>
            </w:pPr>
            <w:r>
              <w:rPr>
                <w:rFonts w:cs="Arial"/>
                <w:color w:val="000000"/>
                <w:kern w:val="2"/>
                <w:szCs w:val="20"/>
              </w:rPr>
              <w:t>0 (0.0)</w:t>
            </w:r>
          </w:p>
        </w:tc>
        <w:tc>
          <w:tcPr>
            <w:tcW w:w="1194" w:type="dxa"/>
            <w:shd w:val="clear" w:color="auto" w:fill="auto"/>
            <w:vAlign w:val="center"/>
          </w:tcPr>
          <w:p w14:paraId="4E2B8614" w14:textId="77777777" w:rsidR="00FF2345" w:rsidRDefault="00FF2345">
            <w:pPr>
              <w:jc w:val="both"/>
              <w:rPr>
                <w:rFonts w:cs="Arial"/>
                <w:color w:val="000000"/>
                <w:kern w:val="2"/>
                <w:szCs w:val="20"/>
              </w:rPr>
            </w:pPr>
            <w:r>
              <w:rPr>
                <w:rFonts w:cs="Arial"/>
                <w:kern w:val="2"/>
                <w:szCs w:val="20"/>
              </w:rPr>
              <w:t>95.4%</w:t>
            </w:r>
          </w:p>
        </w:tc>
      </w:tr>
      <w:tr w:rsidR="00000000" w14:paraId="6CF8167E" w14:textId="77777777">
        <w:tc>
          <w:tcPr>
            <w:tcW w:w="0" w:type="auto"/>
            <w:gridSpan w:val="8"/>
            <w:shd w:val="clear" w:color="auto" w:fill="auto"/>
          </w:tcPr>
          <w:p w14:paraId="4861DA14" w14:textId="77777777" w:rsidR="00FF2345" w:rsidRDefault="00FF2345">
            <w:pPr>
              <w:jc w:val="both"/>
              <w:rPr>
                <w:rFonts w:cs="Arial"/>
                <w:color w:val="000000"/>
                <w:kern w:val="2"/>
                <w:szCs w:val="20"/>
              </w:rPr>
            </w:pPr>
            <w:r>
              <w:rPr>
                <w:rFonts w:cs="Arial"/>
                <w:color w:val="000000"/>
                <w:kern w:val="2"/>
                <w:szCs w:val="20"/>
              </w:rPr>
              <w:t>* Agreement rate was defined as the percentage of responses with either “strongly agree” or “agree”</w:t>
            </w:r>
          </w:p>
        </w:tc>
      </w:tr>
    </w:tbl>
    <w:p w14:paraId="02744ABB" w14:textId="77777777" w:rsidR="00FF2345" w:rsidRDefault="00FF2345" w:rsidP="00FF2345">
      <w:pPr>
        <w:widowControl w:val="0"/>
        <w:rPr>
          <w:rFonts w:cs="Arial"/>
          <w:b/>
          <w:szCs w:val="20"/>
        </w:rPr>
      </w:pPr>
    </w:p>
    <w:p w14:paraId="53A5C5A1" w14:textId="726AB37A" w:rsidR="00FF2345" w:rsidRDefault="00FF2345" w:rsidP="00FF2345">
      <w:pPr>
        <w:widowControl w:val="0"/>
        <w:rPr>
          <w:rFonts w:cs="Arial"/>
          <w:szCs w:val="20"/>
        </w:rPr>
      </w:pPr>
      <w:r w:rsidRPr="00A10727">
        <w:rPr>
          <w:rFonts w:cs="Arial"/>
          <w:b/>
          <w:szCs w:val="20"/>
        </w:rPr>
        <w:t>Notes:</w:t>
      </w:r>
      <w:r>
        <w:rPr>
          <w:rFonts w:cs="Arial"/>
          <w:szCs w:val="20"/>
        </w:rPr>
        <w:t xml:space="preserve"> </w:t>
      </w:r>
    </w:p>
    <w:p w14:paraId="13DEC44A" w14:textId="77777777" w:rsidR="00FF2345" w:rsidRPr="00FF2345" w:rsidRDefault="00FF2345" w:rsidP="00FF2345">
      <w:pPr>
        <w:rPr>
          <w:rFonts w:cs="Arial"/>
          <w:szCs w:val="20"/>
        </w:rPr>
      </w:pPr>
      <w:r w:rsidRPr="00A10727">
        <w:rPr>
          <w:rFonts w:cs="Arial"/>
          <w:b/>
          <w:szCs w:val="20"/>
        </w:rPr>
        <w:t>Abbreviations:</w:t>
      </w:r>
      <w:r>
        <w:rPr>
          <w:rFonts w:cs="Arial"/>
          <w:b/>
          <w:szCs w:val="20"/>
        </w:rPr>
        <w:t xml:space="preserve"> </w:t>
      </w:r>
      <w:r w:rsidRPr="00FF2345">
        <w:rPr>
          <w:rFonts w:cs="Arial"/>
          <w:szCs w:val="20"/>
        </w:rPr>
        <w:t>DST, drug susceptibility testing; INH, isoniazid; RIF, rifampin; EMB, ethambutol; PZA, pyrazinamide; LFX, levofloxacin.</w:t>
      </w:r>
    </w:p>
    <w:p w14:paraId="43FAEE1D" w14:textId="641D119D" w:rsidR="00FF2345" w:rsidRDefault="00FF2345" w:rsidP="00FF2345">
      <w:pPr>
        <w:widowControl w:val="0"/>
        <w:rPr>
          <w:rFonts w:cs="Arial"/>
          <w:b/>
          <w:bCs/>
        </w:rPr>
      </w:pPr>
    </w:p>
    <w:p w14:paraId="3E2CDEB2" w14:textId="77777777" w:rsidR="00FF2345" w:rsidRDefault="00FF2345" w:rsidP="00EE0017">
      <w:pPr>
        <w:widowControl w:val="0"/>
        <w:rPr>
          <w:rFonts w:cs="Arial"/>
          <w:b/>
          <w:bCs/>
        </w:rPr>
      </w:pPr>
    </w:p>
    <w:sectPr w:rsidR="00FF2345" w:rsidSect="00D3627D">
      <w:footerReference w:type="even" r:id="rId7"/>
      <w:footerReference w:type="default" r:id="rId8"/>
      <w:footerReference w:type="first" r:id="rId9"/>
      <w:pgSz w:w="15840" w:h="12240" w:orient="landscape"/>
      <w:pgMar w:top="1800" w:right="1440" w:bottom="180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93AB" w14:textId="77777777" w:rsidR="00430DC6" w:rsidRDefault="00430DC6">
      <w:r>
        <w:separator/>
      </w:r>
    </w:p>
  </w:endnote>
  <w:endnote w:type="continuationSeparator" w:id="0">
    <w:p w14:paraId="776795E0" w14:textId="77777777" w:rsidR="00430DC6" w:rsidRDefault="0043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CAF2E2E" w14:textId="77777777" w:rsidR="006C5368" w:rsidRDefault="006C536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59E9D5B8" w:rsidR="006C5368" w:rsidRDefault="00000000" w:rsidP="00FF2660">
    <w:pPr>
      <w:pStyle w:val="a3"/>
      <w:framePr w:wrap="around" w:vAnchor="text" w:hAnchor="margin" w:xAlign="center" w:y="1"/>
      <w:rPr>
        <w:rStyle w:val="a4"/>
      </w:rPr>
    </w:pPr>
    <w:r>
      <w:rPr>
        <w:noProof/>
      </w:rPr>
      <w:pict w14:anchorId="7AB8E50F">
        <v:shapetype id="_x0000_t202" coordsize="21600,21600" o:spt="202" path="m,l,21600r21600,l21600,xe">
          <v:stroke joinstyle="miter"/>
          <v:path gradientshapeok="t" o:connecttype="rect"/>
        </v:shapetype>
        <v:shape id="MSIPCM8ef54de2a7a4d03c423a990a" o:spid="_x0000_s1025" type="#_x0000_t202" alt="{&quot;HashCode&quot;:-1348403003,&quot;Height&quot;:792.0,&quot;Width&quot;:612.0,&quot;Placement&quot;:&quot;Footer&quot;,&quot;Index&quot;:&quot;Primary&quot;,&quot;Section&quot;:1,&quot;Top&quot;:0.0,&quot;Left&quot;:0.0}" style="position:absolute;margin-left:0;margin-top:756.2pt;width:612pt;height:20.8pt;z-index:1;mso-wrap-style:square;mso-position-horizontal:absolute;mso-position-horizontal-relative:page;mso-position-vertical:absolute;mso-position-vertical-relative:page;v-text-anchor:bottom"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w:r>
    <w:r w:rsidR="006C5368">
      <w:rPr>
        <w:rStyle w:val="a4"/>
      </w:rPr>
      <w:fldChar w:fldCharType="begin"/>
    </w:r>
    <w:r w:rsidR="006C5368">
      <w:rPr>
        <w:rStyle w:val="a4"/>
      </w:rPr>
      <w:instrText xml:space="preserve">PAGE  </w:instrText>
    </w:r>
    <w:r w:rsidR="006C5368">
      <w:rPr>
        <w:rStyle w:val="a4"/>
      </w:rPr>
      <w:fldChar w:fldCharType="separate"/>
    </w:r>
    <w:r w:rsidR="00C94612">
      <w:rPr>
        <w:rStyle w:val="a4"/>
        <w:noProof/>
      </w:rPr>
      <w:t>5</w:t>
    </w:r>
    <w:r w:rsidR="006C5368">
      <w:rPr>
        <w:rStyle w:val="a4"/>
      </w:rPr>
      <w:fldChar w:fldCharType="end"/>
    </w:r>
  </w:p>
  <w:p w14:paraId="57E037CD" w14:textId="77777777" w:rsidR="006C5368" w:rsidRDefault="006C536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30AB0F3C" w:rsidR="00740F67" w:rsidRDefault="00000000">
    <w:pPr>
      <w:pStyle w:val="a3"/>
    </w:pPr>
    <w:r>
      <w:rPr>
        <w:noProof/>
      </w:rPr>
      <w:pict w14:anchorId="2D742D44">
        <v:shapetype id="_x0000_t202" coordsize="21600,21600" o:spt="202" path="m,l,21600r21600,l21600,xe">
          <v:stroke joinstyle="miter"/>
          <v:path gradientshapeok="t" o:connecttype="rect"/>
        </v:shapetype>
        <v:shape id="MSIPCM71df4afb82ef22201046dfa6" o:spid="_x0000_s1026" type="#_x0000_t202" alt="{&quot;HashCode&quot;:-1348403003,&quot;Height&quot;:792.0,&quot;Width&quot;:612.0,&quot;Placement&quot;:&quot;Footer&quot;,&quot;Index&quot;:&quot;FirstPage&quot;,&quot;Section&quot;:1,&quot;Top&quot;:0.0,&quot;Left&quot;:0.0}" style="position:absolute;margin-left:0;margin-top:756.2pt;width:612pt;height:20.8pt;z-index:2;mso-wrap-style:square;mso-position-horizontal:absolute;mso-position-horizontal-relative:page;mso-position-vertical:absolute;mso-position-vertical-relative:page;v-text-anchor:bottom" o:allowincell="f" filled="f" stroked="f">
          <v:textbox inset="20pt,0,,0">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3B66" w14:textId="77777777" w:rsidR="00430DC6" w:rsidRDefault="00430DC6">
      <w:r>
        <w:separator/>
      </w:r>
    </w:p>
  </w:footnote>
  <w:footnote w:type="continuationSeparator" w:id="0">
    <w:p w14:paraId="621E3EAD" w14:textId="77777777" w:rsidR="00430DC6" w:rsidRDefault="00430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8671243">
    <w:abstractNumId w:val="1"/>
  </w:num>
  <w:num w:numId="2" w16cid:durableId="500851723">
    <w:abstractNumId w:val="2"/>
  </w:num>
  <w:num w:numId="3" w16cid:durableId="1643846707">
    <w:abstractNumId w:val="5"/>
  </w:num>
  <w:num w:numId="4" w16cid:durableId="341781947">
    <w:abstractNumId w:val="3"/>
  </w:num>
  <w:num w:numId="5" w16cid:durableId="2068189196">
    <w:abstractNumId w:val="0"/>
  </w:num>
  <w:num w:numId="6" w16cid:durableId="661397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66AF"/>
    <w:rsid w:val="0007252D"/>
    <w:rsid w:val="0008401B"/>
    <w:rsid w:val="00087F9B"/>
    <w:rsid w:val="000A4388"/>
    <w:rsid w:val="000B1A07"/>
    <w:rsid w:val="000B2BC9"/>
    <w:rsid w:val="000C59ED"/>
    <w:rsid w:val="000D3E37"/>
    <w:rsid w:val="000E6B48"/>
    <w:rsid w:val="000E7758"/>
    <w:rsid w:val="00117777"/>
    <w:rsid w:val="00127CD5"/>
    <w:rsid w:val="00165BAD"/>
    <w:rsid w:val="0017004E"/>
    <w:rsid w:val="00170F20"/>
    <w:rsid w:val="00173279"/>
    <w:rsid w:val="00191F49"/>
    <w:rsid w:val="001941D2"/>
    <w:rsid w:val="001A518F"/>
    <w:rsid w:val="001E7479"/>
    <w:rsid w:val="00203209"/>
    <w:rsid w:val="00217B78"/>
    <w:rsid w:val="00217D65"/>
    <w:rsid w:val="0022632E"/>
    <w:rsid w:val="00240E76"/>
    <w:rsid w:val="00246A32"/>
    <w:rsid w:val="00270A96"/>
    <w:rsid w:val="00272487"/>
    <w:rsid w:val="00285503"/>
    <w:rsid w:val="00286E82"/>
    <w:rsid w:val="00294CB0"/>
    <w:rsid w:val="002A2D9E"/>
    <w:rsid w:val="002D1A3E"/>
    <w:rsid w:val="002F4012"/>
    <w:rsid w:val="003155A1"/>
    <w:rsid w:val="00320521"/>
    <w:rsid w:val="00324666"/>
    <w:rsid w:val="0037212B"/>
    <w:rsid w:val="0038573C"/>
    <w:rsid w:val="0038598C"/>
    <w:rsid w:val="0039041E"/>
    <w:rsid w:val="003948EC"/>
    <w:rsid w:val="003A6F39"/>
    <w:rsid w:val="003B4083"/>
    <w:rsid w:val="003C3A70"/>
    <w:rsid w:val="003D69BD"/>
    <w:rsid w:val="00410570"/>
    <w:rsid w:val="00411796"/>
    <w:rsid w:val="00430DC6"/>
    <w:rsid w:val="00431388"/>
    <w:rsid w:val="00453E8C"/>
    <w:rsid w:val="00473BF1"/>
    <w:rsid w:val="004754C9"/>
    <w:rsid w:val="004A0C96"/>
    <w:rsid w:val="004B52C5"/>
    <w:rsid w:val="004C5313"/>
    <w:rsid w:val="004C5DB2"/>
    <w:rsid w:val="004E0368"/>
    <w:rsid w:val="004E2F6D"/>
    <w:rsid w:val="004E782D"/>
    <w:rsid w:val="00511DB2"/>
    <w:rsid w:val="00553800"/>
    <w:rsid w:val="00556F09"/>
    <w:rsid w:val="00565970"/>
    <w:rsid w:val="005A6431"/>
    <w:rsid w:val="005E1ECB"/>
    <w:rsid w:val="00600B5C"/>
    <w:rsid w:val="0060400B"/>
    <w:rsid w:val="00611C5F"/>
    <w:rsid w:val="00616A5D"/>
    <w:rsid w:val="0062140C"/>
    <w:rsid w:val="00646CF0"/>
    <w:rsid w:val="00661C2D"/>
    <w:rsid w:val="00662E52"/>
    <w:rsid w:val="00664525"/>
    <w:rsid w:val="00667BDF"/>
    <w:rsid w:val="00680193"/>
    <w:rsid w:val="006C5368"/>
    <w:rsid w:val="006C58F2"/>
    <w:rsid w:val="006C6E88"/>
    <w:rsid w:val="006D0474"/>
    <w:rsid w:val="006D142F"/>
    <w:rsid w:val="006D4AC5"/>
    <w:rsid w:val="006E7713"/>
    <w:rsid w:val="00711171"/>
    <w:rsid w:val="00723455"/>
    <w:rsid w:val="007265D3"/>
    <w:rsid w:val="00740F67"/>
    <w:rsid w:val="00745C2A"/>
    <w:rsid w:val="00753E6B"/>
    <w:rsid w:val="00776A7C"/>
    <w:rsid w:val="00780A29"/>
    <w:rsid w:val="007900DA"/>
    <w:rsid w:val="007A1BDB"/>
    <w:rsid w:val="007A2AB8"/>
    <w:rsid w:val="007A3BEE"/>
    <w:rsid w:val="007C30BC"/>
    <w:rsid w:val="007E39E1"/>
    <w:rsid w:val="007E5D6F"/>
    <w:rsid w:val="007F32DA"/>
    <w:rsid w:val="007F3E8B"/>
    <w:rsid w:val="00812321"/>
    <w:rsid w:val="00812A13"/>
    <w:rsid w:val="00821FB4"/>
    <w:rsid w:val="00827FC5"/>
    <w:rsid w:val="00852799"/>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47A1E"/>
    <w:rsid w:val="009563F4"/>
    <w:rsid w:val="00956C4D"/>
    <w:rsid w:val="00957CE2"/>
    <w:rsid w:val="009828D3"/>
    <w:rsid w:val="00992CB9"/>
    <w:rsid w:val="009A1F5A"/>
    <w:rsid w:val="009B1D49"/>
    <w:rsid w:val="009C5906"/>
    <w:rsid w:val="009D3AD0"/>
    <w:rsid w:val="00A10913"/>
    <w:rsid w:val="00A20FFB"/>
    <w:rsid w:val="00A3756A"/>
    <w:rsid w:val="00A445D7"/>
    <w:rsid w:val="00A6170F"/>
    <w:rsid w:val="00A63CD7"/>
    <w:rsid w:val="00A70251"/>
    <w:rsid w:val="00AB37DD"/>
    <w:rsid w:val="00AB389E"/>
    <w:rsid w:val="00AB47E4"/>
    <w:rsid w:val="00AC1F93"/>
    <w:rsid w:val="00AC5480"/>
    <w:rsid w:val="00AD76B0"/>
    <w:rsid w:val="00AE5062"/>
    <w:rsid w:val="00B26A6E"/>
    <w:rsid w:val="00B30BC3"/>
    <w:rsid w:val="00B7570E"/>
    <w:rsid w:val="00B82724"/>
    <w:rsid w:val="00B86FEB"/>
    <w:rsid w:val="00B96017"/>
    <w:rsid w:val="00BB027B"/>
    <w:rsid w:val="00C43B3D"/>
    <w:rsid w:val="00C548FC"/>
    <w:rsid w:val="00C701F9"/>
    <w:rsid w:val="00C94612"/>
    <w:rsid w:val="00CB0023"/>
    <w:rsid w:val="00CC1ADF"/>
    <w:rsid w:val="00CD0348"/>
    <w:rsid w:val="00CD758F"/>
    <w:rsid w:val="00CE79D7"/>
    <w:rsid w:val="00CE7DDC"/>
    <w:rsid w:val="00D00B4B"/>
    <w:rsid w:val="00D10823"/>
    <w:rsid w:val="00D20F53"/>
    <w:rsid w:val="00D2211A"/>
    <w:rsid w:val="00D3627D"/>
    <w:rsid w:val="00D50641"/>
    <w:rsid w:val="00D51863"/>
    <w:rsid w:val="00D578A6"/>
    <w:rsid w:val="00D700C3"/>
    <w:rsid w:val="00D7204D"/>
    <w:rsid w:val="00D81B3E"/>
    <w:rsid w:val="00D94F22"/>
    <w:rsid w:val="00DB0A0D"/>
    <w:rsid w:val="00DE5F42"/>
    <w:rsid w:val="00DF4C7F"/>
    <w:rsid w:val="00DF6A1F"/>
    <w:rsid w:val="00E031E1"/>
    <w:rsid w:val="00E1216B"/>
    <w:rsid w:val="00E45ED2"/>
    <w:rsid w:val="00E96D45"/>
    <w:rsid w:val="00EC0D75"/>
    <w:rsid w:val="00ED4D96"/>
    <w:rsid w:val="00EE0017"/>
    <w:rsid w:val="00EE2FBA"/>
    <w:rsid w:val="00F03012"/>
    <w:rsid w:val="00F05A9C"/>
    <w:rsid w:val="00F05E46"/>
    <w:rsid w:val="00F16121"/>
    <w:rsid w:val="00F210A1"/>
    <w:rsid w:val="00F24210"/>
    <w:rsid w:val="00F4140B"/>
    <w:rsid w:val="00F41860"/>
    <w:rsid w:val="00F424C5"/>
    <w:rsid w:val="00F56A5E"/>
    <w:rsid w:val="00F65D9F"/>
    <w:rsid w:val="00F67733"/>
    <w:rsid w:val="00F82795"/>
    <w:rsid w:val="00F91124"/>
    <w:rsid w:val="00F9503E"/>
    <w:rsid w:val="00FA2EA1"/>
    <w:rsid w:val="00FB3908"/>
    <w:rsid w:val="00FB5A89"/>
    <w:rsid w:val="00FC05F2"/>
    <w:rsid w:val="00FD4807"/>
    <w:rsid w:val="00FD484F"/>
    <w:rsid w:val="00FF2345"/>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00B"/>
    <w:pPr>
      <w:spacing w:line="480" w:lineRule="auto"/>
    </w:pPr>
    <w:rPr>
      <w:rFonts w:ascii="Arial" w:hAnsi="Arial"/>
      <w:szCs w:val="24"/>
      <w:lang w:eastAsia="en-US"/>
    </w:rPr>
  </w:style>
  <w:style w:type="paragraph" w:styleId="1">
    <w:name w:val="heading 1"/>
    <w:basedOn w:val="a"/>
    <w:next w:val="a"/>
    <w:qFormat/>
    <w:rsid w:val="0060400B"/>
    <w:pPr>
      <w:keepNext/>
      <w:spacing w:before="240" w:after="60"/>
      <w:outlineLvl w:val="0"/>
    </w:pPr>
    <w:rPr>
      <w:rFonts w:cs="Arial"/>
      <w:b/>
      <w:bCs/>
      <w:kern w:val="32"/>
      <w:sz w:val="32"/>
      <w:szCs w:val="32"/>
    </w:rPr>
  </w:style>
  <w:style w:type="paragraph" w:styleId="2">
    <w:name w:val="heading 2"/>
    <w:basedOn w:val="a"/>
    <w:next w:val="a"/>
    <w:qFormat/>
    <w:rsid w:val="0060400B"/>
    <w:pPr>
      <w:keepNext/>
      <w:spacing w:before="240" w:after="60"/>
      <w:outlineLvl w:val="1"/>
    </w:pPr>
    <w:rPr>
      <w:rFonts w:cs="Arial"/>
      <w:b/>
      <w:bCs/>
      <w:i/>
      <w:iCs/>
      <w:sz w:val="28"/>
      <w:szCs w:val="28"/>
    </w:rPr>
  </w:style>
  <w:style w:type="paragraph" w:styleId="3">
    <w:name w:val="heading 3"/>
    <w:basedOn w:val="a"/>
    <w:next w:val="a"/>
    <w:qFormat/>
    <w:rsid w:val="0060400B"/>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2795"/>
    <w:pPr>
      <w:tabs>
        <w:tab w:val="center" w:pos="4320"/>
        <w:tab w:val="right" w:pos="8640"/>
      </w:tabs>
    </w:pPr>
  </w:style>
  <w:style w:type="character" w:styleId="a4">
    <w:name w:val="page number"/>
    <w:basedOn w:val="a0"/>
    <w:rsid w:val="00F82795"/>
  </w:style>
  <w:style w:type="character" w:styleId="a5">
    <w:name w:val="Emphasis"/>
    <w:qFormat/>
    <w:rsid w:val="00FF6EA8"/>
    <w:rPr>
      <w:b/>
      <w:bCs/>
      <w:i w:val="0"/>
      <w:iCs w:val="0"/>
    </w:rPr>
  </w:style>
  <w:style w:type="character" w:styleId="a6">
    <w:name w:val="Hyperlink"/>
    <w:rsid w:val="00887016"/>
    <w:rPr>
      <w:color w:val="0000FF"/>
      <w:u w:val="single"/>
    </w:rPr>
  </w:style>
  <w:style w:type="character" w:styleId="a7">
    <w:name w:val="annotation reference"/>
    <w:semiHidden/>
    <w:rsid w:val="00D00B4B"/>
    <w:rPr>
      <w:sz w:val="16"/>
      <w:szCs w:val="16"/>
    </w:rPr>
  </w:style>
  <w:style w:type="paragraph" w:styleId="a8">
    <w:name w:val="annotation text"/>
    <w:basedOn w:val="a"/>
    <w:semiHidden/>
    <w:rsid w:val="00D00B4B"/>
    <w:rPr>
      <w:szCs w:val="20"/>
    </w:rPr>
  </w:style>
  <w:style w:type="paragraph" w:styleId="a9">
    <w:name w:val="annotation subject"/>
    <w:basedOn w:val="a8"/>
    <w:next w:val="a8"/>
    <w:semiHidden/>
    <w:rsid w:val="00D00B4B"/>
    <w:rPr>
      <w:b/>
      <w:bCs/>
    </w:rPr>
  </w:style>
  <w:style w:type="paragraph" w:styleId="aa">
    <w:name w:val="Balloon Text"/>
    <w:basedOn w:val="a"/>
    <w:semiHidden/>
    <w:rsid w:val="00D00B4B"/>
    <w:rPr>
      <w:rFonts w:ascii="Tahoma" w:hAnsi="Tahoma" w:cs="Tahoma"/>
      <w:sz w:val="16"/>
      <w:szCs w:val="16"/>
    </w:rPr>
  </w:style>
  <w:style w:type="character" w:styleId="ab">
    <w:name w:val="line number"/>
    <w:rsid w:val="00C94612"/>
  </w:style>
  <w:style w:type="paragraph" w:styleId="ac">
    <w:name w:val="header"/>
    <w:basedOn w:val="a"/>
    <w:link w:val="Char"/>
    <w:rsid w:val="00740F67"/>
    <w:pPr>
      <w:tabs>
        <w:tab w:val="center" w:pos="4680"/>
        <w:tab w:val="right" w:pos="9360"/>
      </w:tabs>
    </w:pPr>
  </w:style>
  <w:style w:type="character" w:customStyle="1" w:styleId="Char">
    <w:name w:val="머리글 Char"/>
    <w:link w:val="ac"/>
    <w:rsid w:val="00740F67"/>
    <w:rPr>
      <w:rFonts w:ascii="Arial" w:hAnsi="Arial"/>
      <w:szCs w:val="24"/>
      <w:lang w:val="en-US" w:eastAsia="en-US"/>
    </w:rPr>
  </w:style>
  <w:style w:type="table" w:styleId="ad">
    <w:name w:val="Table Grid"/>
    <w:basedOn w:val="a1"/>
    <w:uiPriority w:val="39"/>
    <w:rsid w:val="001941D2"/>
    <w:pPr>
      <w:jc w:val="both"/>
    </w:pPr>
    <w:rPr>
      <w:rFonts w:ascii="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F65D9F"/>
    <w:rPr>
      <w:color w:val="605E5C"/>
      <w:shd w:val="clear" w:color="auto" w:fill="E1DFDD"/>
    </w:rPr>
  </w:style>
  <w:style w:type="character" w:styleId="af">
    <w:name w:val="FollowedHyperlink"/>
    <w:rsid w:val="00F65D9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737</Words>
  <Characters>4201</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Manuscript template</vt:lpstr>
      <vt:lpstr>The contraceptive implant</vt:lpstr>
    </vt:vector>
  </TitlesOfParts>
  <Company>Dove Medical Press</Company>
  <LinksUpToDate>false</LinksUpToDate>
  <CharactersWithSpaces>4929</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Wan Seo</cp:lastModifiedBy>
  <cp:revision>2</cp:revision>
  <cp:lastPrinted>2009-01-07T21:57:00Z</cp:lastPrinted>
  <dcterms:created xsi:type="dcterms:W3CDTF">2023-05-11T02:00:00Z</dcterms:created>
  <dcterms:modified xsi:type="dcterms:W3CDTF">2023-05-11T02:00:00Z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12">
    <vt:lpwstr>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</vt:lpwstr>
  </property>
  <property fmtid="{D5CDD505-2E9C-101B-9397-08002B2CF9AE}" name="FDRClass" pid="13">
    <vt:lpwstr>0</vt:lpwstr>
  </property>
  <property fmtid="{D5CDD505-2E9C-101B-9397-08002B2CF9AE}" name="FDRSet" pid="14">
    <vt:lpwstr>manual</vt:lpwstr>
  </property>
  <property fmtid="{D5CDD505-2E9C-101B-9397-08002B2CF9AE}" name="MSIP_Label_2bbab825-a111-45e4-86a1-18cee0005896_ActionId" pid="15">
    <vt:lpwstr>0936c748-9820-4e4e-a7fa-9383c967e889</vt:lpwstr>
  </property>
  <property fmtid="{D5CDD505-2E9C-101B-9397-08002B2CF9AE}" name="MSIP_Label_2bbab825-a111-45e4-86a1-18cee0005896_ContentBits" pid="16">
    <vt:lpwstr>2</vt:lpwstr>
  </property>
  <property fmtid="{D5CDD505-2E9C-101B-9397-08002B2CF9AE}" name="MSIP_Label_2bbab825-a111-45e4-86a1-18cee0005896_Enabled" pid="17">
    <vt:lpwstr>true</vt:lpwstr>
  </property>
  <property fmtid="{D5CDD505-2E9C-101B-9397-08002B2CF9AE}" name="MSIP_Label_2bbab825-a111-45e4-86a1-18cee0005896_Method" pid="18">
    <vt:lpwstr>Standard</vt:lpwstr>
  </property>
  <property fmtid="{D5CDD505-2E9C-101B-9397-08002B2CF9AE}" name="MSIP_Label_2bbab825-a111-45e4-86a1-18cee0005896_Name" pid="19">
    <vt:lpwstr>2bbab825-a111-45e4-86a1-18cee0005896</vt:lpwstr>
  </property>
  <property fmtid="{D5CDD505-2E9C-101B-9397-08002B2CF9AE}" name="MSIP_Label_2bbab825-a111-45e4-86a1-18cee0005896_SetDate" pid="20">
    <vt:lpwstr>2022-06-22T01:38:32Z</vt:lpwstr>
  </property>
  <property fmtid="{D5CDD505-2E9C-101B-9397-08002B2CF9AE}" name="MSIP_Label_2bbab825-a111-45e4-86a1-18cee0005896_SiteId" pid="21">
    <vt:lpwstr>2567d566-604c-408a-8a60-55d0dc9d9d6b</vt:lpwstr>
  </property>
</Properties>
</file>