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6CC16" w14:textId="5576D24F" w:rsidR="00441753" w:rsidRPr="00441753" w:rsidRDefault="00441753" w:rsidP="00441753">
      <w:r w:rsidRPr="00441753">
        <w:t>Supplementary File 1</w:t>
      </w:r>
    </w:p>
    <w:p w14:paraId="18FAFBB8" w14:textId="5ABAA131" w:rsidR="00FD3D5B" w:rsidRPr="0046776D" w:rsidRDefault="00FD3D5B" w:rsidP="00FD3D5B">
      <w:pPr>
        <w:pStyle w:val="Heading1"/>
        <w:spacing w:before="0"/>
        <w:jc w:val="center"/>
        <w:rPr>
          <w:rFonts w:ascii="Arial" w:eastAsia="MS Gothic" w:hAnsi="Arial" w:cs="Arial"/>
          <w:color w:val="4472C4" w:themeColor="accent1"/>
          <w:sz w:val="36"/>
          <w:szCs w:val="36"/>
          <w:lang w:val="pt-BR"/>
        </w:rPr>
      </w:pPr>
      <w:r w:rsidRPr="0046776D">
        <w:rPr>
          <w:rFonts w:ascii="Arial" w:eastAsia="MS Gothic" w:hAnsi="Arial" w:cs="Arial"/>
          <w:color w:val="4472C4" w:themeColor="accent1"/>
          <w:sz w:val="36"/>
          <w:szCs w:val="36"/>
          <w:lang w:val="pt-BR"/>
        </w:rPr>
        <w:t>Requisitos para centro</w:t>
      </w:r>
      <w:r w:rsidR="00C73BEC" w:rsidRPr="0046776D">
        <w:rPr>
          <w:rFonts w:ascii="Arial" w:eastAsia="MS Gothic" w:hAnsi="Arial" w:cs="Arial"/>
          <w:color w:val="4472C4" w:themeColor="accent1"/>
          <w:sz w:val="36"/>
          <w:szCs w:val="36"/>
          <w:lang w:val="pt-BR"/>
        </w:rPr>
        <w:t>s</w:t>
      </w:r>
      <w:r w:rsidRPr="0046776D">
        <w:rPr>
          <w:rFonts w:ascii="Arial" w:eastAsia="MS Gothic" w:hAnsi="Arial" w:cs="Arial"/>
          <w:color w:val="4472C4" w:themeColor="accent1"/>
          <w:sz w:val="36"/>
          <w:szCs w:val="36"/>
          <w:lang w:val="pt-BR"/>
        </w:rPr>
        <w:t xml:space="preserve"> de excelência em HS</w:t>
      </w:r>
    </w:p>
    <w:p w14:paraId="0C7B7596" w14:textId="77777777" w:rsidR="00FD3D5B" w:rsidRPr="0046776D" w:rsidRDefault="00FD3D5B" w:rsidP="0046776D">
      <w:pPr>
        <w:ind w:left="720" w:hanging="720"/>
        <w:rPr>
          <w:lang w:val="pt-BR"/>
        </w:rPr>
      </w:pPr>
    </w:p>
    <w:p w14:paraId="390ABCB6" w14:textId="75C59F9B" w:rsidR="00FD3D5B" w:rsidRPr="0046776D" w:rsidRDefault="00FD3D5B" w:rsidP="00FD3D5B">
      <w:pPr>
        <w:keepNext/>
        <w:spacing w:before="40" w:after="0"/>
        <w:outlineLvl w:val="1"/>
        <w:rPr>
          <w:rFonts w:eastAsia="Calibri"/>
          <w:color w:val="2F5496"/>
          <w:sz w:val="26"/>
          <w:szCs w:val="26"/>
          <w:lang w:val="pt-BR"/>
        </w:rPr>
      </w:pPr>
      <w:r w:rsidRPr="0046776D">
        <w:rPr>
          <w:rFonts w:eastAsia="MS Gothic"/>
          <w:color w:val="2F5496"/>
          <w:sz w:val="26"/>
          <w:szCs w:val="26"/>
          <w:lang w:val="pt-BR"/>
        </w:rPr>
        <w:t>1. Recepção e acolhimento</w:t>
      </w:r>
    </w:p>
    <w:tbl>
      <w:tblPr>
        <w:tblStyle w:val="GridTable4-Accent3"/>
        <w:tblW w:w="9351" w:type="dxa"/>
        <w:tblLayout w:type="fixed"/>
        <w:tblLook w:val="06A0" w:firstRow="1" w:lastRow="0" w:firstColumn="1" w:lastColumn="0" w:noHBand="1" w:noVBand="1"/>
      </w:tblPr>
      <w:tblGrid>
        <w:gridCol w:w="704"/>
        <w:gridCol w:w="1985"/>
        <w:gridCol w:w="4110"/>
        <w:gridCol w:w="2552"/>
      </w:tblGrid>
      <w:tr w:rsidR="0046776D" w:rsidRPr="0046776D" w14:paraId="70A09D14" w14:textId="77777777" w:rsidTr="00CB41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D982C8D" w14:textId="3B415BA0" w:rsidR="0046776D" w:rsidRPr="0046776D" w:rsidRDefault="0046776D" w:rsidP="00CB416E">
            <w:pPr>
              <w:spacing w:line="259" w:lineRule="auto"/>
              <w:rPr>
                <w:rFonts w:eastAsia="Calibri"/>
                <w:color w:val="auto"/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REQUISITO</w:t>
            </w:r>
          </w:p>
        </w:tc>
        <w:tc>
          <w:tcPr>
            <w:tcW w:w="41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F1FABC" w14:textId="6E753338" w:rsidR="0046776D" w:rsidRPr="0046776D" w:rsidRDefault="0046776D" w:rsidP="00CB41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auto"/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RACIONAL</w:t>
            </w:r>
          </w:p>
        </w:tc>
        <w:tc>
          <w:tcPr>
            <w:tcW w:w="2552" w:type="dxa"/>
            <w:tcBorders>
              <w:left w:val="single" w:sz="4" w:space="0" w:color="FFFFFF" w:themeColor="background1"/>
            </w:tcBorders>
            <w:vAlign w:val="center"/>
          </w:tcPr>
          <w:p w14:paraId="2B2CCC26" w14:textId="7B6B9EDC" w:rsidR="0046776D" w:rsidRPr="0046776D" w:rsidRDefault="0046776D" w:rsidP="00CB416E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ENTREGÁVEL / MENSURÁVEL</w:t>
            </w:r>
          </w:p>
        </w:tc>
      </w:tr>
      <w:tr w:rsidR="0046776D" w:rsidRPr="00E934A7" w14:paraId="1753CB28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vAlign w:val="center"/>
          </w:tcPr>
          <w:p w14:paraId="5CB6E8D9" w14:textId="77777777" w:rsidR="0046776D" w:rsidRPr="0046776D" w:rsidRDefault="0046776D" w:rsidP="0046776D">
            <w:pPr>
              <w:spacing w:line="259" w:lineRule="auto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i/>
                <w:color w:val="212121"/>
                <w:lang w:val="pt-BR"/>
              </w:rPr>
              <w:t>Must Have</w:t>
            </w:r>
          </w:p>
        </w:tc>
        <w:tc>
          <w:tcPr>
            <w:tcW w:w="1985" w:type="dxa"/>
            <w:vAlign w:val="center"/>
          </w:tcPr>
          <w:p w14:paraId="700FABEA" w14:textId="5FADB57B" w:rsidR="0046776D" w:rsidRPr="0046776D" w:rsidRDefault="0046776D" w:rsidP="0046776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 xml:space="preserve">Sala de espera </w:t>
            </w:r>
          </w:p>
        </w:tc>
        <w:tc>
          <w:tcPr>
            <w:tcW w:w="4110" w:type="dxa"/>
            <w:vAlign w:val="center"/>
          </w:tcPr>
          <w:p w14:paraId="24431D1B" w14:textId="0573F15C" w:rsidR="0046776D" w:rsidRPr="0046776D" w:rsidRDefault="0046776D" w:rsidP="00467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Local par acolhimento, espera adequada, distração e informação, arejado limpo e confortável.</w:t>
            </w:r>
          </w:p>
        </w:tc>
        <w:tc>
          <w:tcPr>
            <w:tcW w:w="2552" w:type="dxa"/>
            <w:vAlign w:val="center"/>
          </w:tcPr>
          <w:p w14:paraId="3DC05A45" w14:textId="147313FA" w:rsidR="0046776D" w:rsidRPr="0046776D" w:rsidRDefault="0046776D" w:rsidP="00467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Evidência de sala adequada para espera</w:t>
            </w:r>
          </w:p>
        </w:tc>
      </w:tr>
      <w:tr w:rsidR="0046776D" w:rsidRPr="00E934A7" w14:paraId="0BB68C73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04A578F4" w14:textId="77777777" w:rsidR="0046776D" w:rsidRPr="0046776D" w:rsidRDefault="0046776D" w:rsidP="0046776D">
            <w:pPr>
              <w:spacing w:line="259" w:lineRule="auto"/>
              <w:rPr>
                <w:rFonts w:eastAsia="Segoe UI"/>
                <w:color w:val="212121"/>
                <w:lang w:val="pt-BR"/>
              </w:rPr>
            </w:pP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5B1DDDB0" w14:textId="66531F6F" w:rsidR="0046776D" w:rsidRPr="0046776D" w:rsidRDefault="0046776D" w:rsidP="0046776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 xml:space="preserve">Consulta explicativa e alinhamento de expectativas </w:t>
            </w:r>
          </w:p>
        </w:tc>
        <w:tc>
          <w:tcPr>
            <w:tcW w:w="4110" w:type="dxa"/>
            <w:shd w:val="clear" w:color="auto" w:fill="E7E6E6" w:themeFill="background2"/>
            <w:vAlign w:val="center"/>
          </w:tcPr>
          <w:p w14:paraId="23CE99DB" w14:textId="2E3FFE70" w:rsidR="0046776D" w:rsidRPr="0046776D" w:rsidRDefault="0046776D" w:rsidP="00467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Importância de discutir com o paciente um plano terapêutico de médio, longo prazo.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47F13622" w14:textId="66E9EBEF" w:rsidR="0046776D" w:rsidRPr="0046776D" w:rsidRDefault="0046776D" w:rsidP="00467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Existência de template estruturado de atendimento</w:t>
            </w:r>
          </w:p>
        </w:tc>
      </w:tr>
      <w:tr w:rsidR="0046776D" w:rsidRPr="00E934A7" w14:paraId="03DEC6F1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7536BFF0" w14:textId="77777777" w:rsidR="0046776D" w:rsidRPr="0046776D" w:rsidRDefault="0046776D" w:rsidP="00CB416E">
            <w:pPr>
              <w:spacing w:line="259" w:lineRule="auto"/>
              <w:rPr>
                <w:rFonts w:eastAsia="Segoe UI"/>
                <w:color w:val="212121"/>
                <w:lang w:val="pt-BR"/>
              </w:rPr>
            </w:pPr>
          </w:p>
        </w:tc>
        <w:tc>
          <w:tcPr>
            <w:tcW w:w="1985" w:type="dxa"/>
            <w:vAlign w:val="center"/>
          </w:tcPr>
          <w:p w14:paraId="506E41D0" w14:textId="77777777" w:rsidR="0046776D" w:rsidRPr="0046776D" w:rsidRDefault="0046776D" w:rsidP="00CB416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 xml:space="preserve">Prover atendimento ou orientações em situações de emergências  </w:t>
            </w:r>
            <w:r w:rsidRPr="0046776D">
              <w:rPr>
                <w:rFonts w:eastAsia="Calibri"/>
                <w:lang w:val="pt-BR"/>
              </w:rPr>
              <w:t xml:space="preserve"> </w:t>
            </w:r>
          </w:p>
        </w:tc>
        <w:tc>
          <w:tcPr>
            <w:tcW w:w="4110" w:type="dxa"/>
            <w:vAlign w:val="center"/>
          </w:tcPr>
          <w:p w14:paraId="30DFAA7F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Atendimento para situações de emergência como infecção generalizada ou internação por complicações.</w:t>
            </w:r>
          </w:p>
        </w:tc>
        <w:tc>
          <w:tcPr>
            <w:tcW w:w="2552" w:type="dxa"/>
            <w:vAlign w:val="center"/>
          </w:tcPr>
          <w:p w14:paraId="0F9C8D20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Existência de fluxo de atendimento/orientações para emergências.</w:t>
            </w:r>
          </w:p>
        </w:tc>
      </w:tr>
      <w:tr w:rsidR="0046776D" w:rsidRPr="00E934A7" w14:paraId="3C88FC5E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1482B583" w14:textId="77777777" w:rsidR="0046776D" w:rsidRPr="0046776D" w:rsidRDefault="0046776D" w:rsidP="00CB416E">
            <w:pPr>
              <w:spacing w:line="259" w:lineRule="auto"/>
              <w:rPr>
                <w:rFonts w:eastAsia="Segoe UI"/>
                <w:color w:val="212121"/>
                <w:lang w:val="pt-BR"/>
              </w:rPr>
            </w:pP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57A31A3" w14:textId="77777777" w:rsidR="0046776D" w:rsidRPr="0046776D" w:rsidRDefault="0046776D" w:rsidP="00CB416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 xml:space="preserve">Agendamento disponível para atendimento em prazo curto </w:t>
            </w:r>
          </w:p>
        </w:tc>
        <w:tc>
          <w:tcPr>
            <w:tcW w:w="4110" w:type="dxa"/>
            <w:shd w:val="clear" w:color="auto" w:fill="E7E6E6" w:themeFill="background2"/>
            <w:vAlign w:val="center"/>
          </w:tcPr>
          <w:p w14:paraId="6BCF2C41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Os pacientes podem precisar consultas mais próximas e atendimentos extras devido à natureza da doença.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05E1A524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Existência de fluxo para atendimento próximo/encaixe</w:t>
            </w:r>
          </w:p>
        </w:tc>
      </w:tr>
      <w:tr w:rsidR="0046776D" w:rsidRPr="00E934A7" w14:paraId="3FBA7FD3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6E467504" w14:textId="77777777" w:rsidR="0046776D" w:rsidRPr="0046776D" w:rsidRDefault="0046776D" w:rsidP="00CB416E">
            <w:pPr>
              <w:spacing w:line="259" w:lineRule="auto"/>
              <w:rPr>
                <w:rFonts w:eastAsia="Segoe UI"/>
                <w:color w:val="212121"/>
                <w:lang w:val="pt-BR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004169D" w14:textId="77777777" w:rsidR="0046776D" w:rsidRPr="0046776D" w:rsidRDefault="0046776D" w:rsidP="00CB416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 xml:space="preserve">Facilitação do fluxo interno e externo para chegada do paciente e garantia de vagas para atendimento </w:t>
            </w:r>
            <w:r w:rsidRPr="0046776D">
              <w:rPr>
                <w:rFonts w:eastAsia="Calibri"/>
                <w:lang w:val="pt-BR"/>
              </w:rPr>
              <w:t xml:space="preserve"> 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57E437C3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Facilidade de acesso a partir de outros locais internos (i.e., atenção primária, se houver) e externos. Cada centro precisa conhecer sua realidade rede de referenciamento para criar fluxos adequados.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93C0C8E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Comprovação de atendimento rotineiro de HS. Relevante ter códigos específicos e critérios de encaminhamento para centros de excelência no serviço público.</w:t>
            </w:r>
          </w:p>
        </w:tc>
      </w:tr>
      <w:tr w:rsidR="0046776D" w:rsidRPr="00E934A7" w14:paraId="3942E5D0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4" w:space="0" w:color="auto"/>
            </w:tcBorders>
            <w:vAlign w:val="center"/>
          </w:tcPr>
          <w:p w14:paraId="70C68C21" w14:textId="77777777" w:rsidR="0046776D" w:rsidRPr="0046776D" w:rsidRDefault="0046776D" w:rsidP="00CB416E">
            <w:pPr>
              <w:spacing w:line="259" w:lineRule="auto"/>
              <w:rPr>
                <w:rFonts w:eastAsia="Calibri"/>
                <w:lang w:val="pt-BR"/>
              </w:rPr>
            </w:pPr>
            <w:r w:rsidRPr="0046776D">
              <w:rPr>
                <w:rFonts w:eastAsia="Calibri"/>
                <w:i/>
                <w:lang w:val="pt-BR"/>
              </w:rPr>
              <w:t>Nice to Have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BFABCF6" w14:textId="77777777" w:rsidR="0046776D" w:rsidRPr="0046776D" w:rsidRDefault="0046776D" w:rsidP="00CB416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Sala de triagem, conversa e preparação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D2FDD4B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Um espaço para informações onde é possível ter</w:t>
            </w:r>
            <w:r w:rsidRPr="0046776D">
              <w:rPr>
                <w:rFonts w:eastAsia="Segoe UI"/>
                <w:color w:val="FF0000"/>
                <w:lang w:val="pt-BR"/>
              </w:rPr>
              <w:t xml:space="preserve"> </w:t>
            </w:r>
            <w:r w:rsidRPr="0046776D">
              <w:rPr>
                <w:rFonts w:eastAsia="Segoe UI"/>
                <w:color w:val="212121"/>
                <w:lang w:val="pt-BR"/>
              </w:rPr>
              <w:t>pré e pós consulta com enfermagem e/ou médico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0495B5E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Evidência direta de existência de sala adequada</w:t>
            </w:r>
          </w:p>
        </w:tc>
      </w:tr>
      <w:tr w:rsidR="0046776D" w:rsidRPr="00E934A7" w14:paraId="1A6200BE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56772D09" w14:textId="77777777" w:rsidR="0046776D" w:rsidRPr="0046776D" w:rsidRDefault="0046776D" w:rsidP="00CB416E">
            <w:pPr>
              <w:spacing w:line="259" w:lineRule="auto"/>
              <w:rPr>
                <w:rFonts w:eastAsia="Calibri"/>
                <w:lang w:val="pt-BR"/>
              </w:rPr>
            </w:pPr>
          </w:p>
        </w:tc>
        <w:tc>
          <w:tcPr>
            <w:tcW w:w="1985" w:type="dxa"/>
            <w:vAlign w:val="center"/>
          </w:tcPr>
          <w:p w14:paraId="35078F42" w14:textId="77777777" w:rsidR="0046776D" w:rsidRPr="0046776D" w:rsidRDefault="0046776D" w:rsidP="00CB416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Espaço ou configuração para pronto atendimento</w:t>
            </w:r>
          </w:p>
        </w:tc>
        <w:tc>
          <w:tcPr>
            <w:tcW w:w="4110" w:type="dxa"/>
            <w:vAlign w:val="center"/>
          </w:tcPr>
          <w:p w14:paraId="7E0F9A69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(Incorporado no item acima) - relação com pessoal emergência, informação sobre a doença. Existência de nomes e contato do dermatologista para atendimento.</w:t>
            </w:r>
          </w:p>
        </w:tc>
        <w:tc>
          <w:tcPr>
            <w:tcW w:w="2552" w:type="dxa"/>
            <w:vAlign w:val="center"/>
          </w:tcPr>
          <w:p w14:paraId="37A39A44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Conexão com responsável pela excelência em emergência</w:t>
            </w:r>
          </w:p>
        </w:tc>
      </w:tr>
      <w:tr w:rsidR="0046776D" w:rsidRPr="00E934A7" w14:paraId="07617874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3CC32AED" w14:textId="77777777" w:rsidR="0046776D" w:rsidRPr="0046776D" w:rsidRDefault="0046776D" w:rsidP="00CB416E">
            <w:pPr>
              <w:spacing w:line="259" w:lineRule="auto"/>
              <w:rPr>
                <w:rFonts w:eastAsia="Calibri"/>
                <w:lang w:val="pt-BR"/>
              </w:rPr>
            </w:pP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26529EE4" w14:textId="77777777" w:rsidR="0046776D" w:rsidRPr="0046776D" w:rsidRDefault="0046776D" w:rsidP="00CB416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Ambiente espaçoso e arejado</w:t>
            </w:r>
          </w:p>
        </w:tc>
        <w:tc>
          <w:tcPr>
            <w:tcW w:w="4110" w:type="dxa"/>
            <w:shd w:val="clear" w:color="auto" w:fill="E7E6E6" w:themeFill="background2"/>
            <w:vAlign w:val="center"/>
          </w:tcPr>
          <w:p w14:paraId="4AA64DAB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Pacientes ficam constrangidos pelo odor ou pela secreção e isso requer mais privacidade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68FE85D7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Evidência direta de existência de sala adequada</w:t>
            </w:r>
          </w:p>
        </w:tc>
      </w:tr>
      <w:tr w:rsidR="0046776D" w:rsidRPr="00E934A7" w14:paraId="144F4932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4156AA78" w14:textId="77777777" w:rsidR="0046776D" w:rsidRPr="0046776D" w:rsidRDefault="0046776D" w:rsidP="00CB416E">
            <w:pPr>
              <w:spacing w:line="259" w:lineRule="auto"/>
              <w:rPr>
                <w:rFonts w:eastAsia="Calibri"/>
                <w:lang w:val="pt-BR"/>
              </w:rPr>
            </w:pPr>
          </w:p>
        </w:tc>
        <w:tc>
          <w:tcPr>
            <w:tcW w:w="1985" w:type="dxa"/>
            <w:vAlign w:val="center"/>
          </w:tcPr>
          <w:p w14:paraId="34D69D81" w14:textId="77777777" w:rsidR="0046776D" w:rsidRPr="0046776D" w:rsidRDefault="0046776D" w:rsidP="00CB416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Sala de espera produtiva com vídeos, palestra, panfletos e/ou entrevistas. </w:t>
            </w:r>
          </w:p>
        </w:tc>
        <w:tc>
          <w:tcPr>
            <w:tcW w:w="4110" w:type="dxa"/>
            <w:vAlign w:val="center"/>
          </w:tcPr>
          <w:p w14:paraId="28652486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Paciente consciente sobre a doença tem maior chance de atingir bons desfechos. Otimização do tempo do médico e paciente</w:t>
            </w:r>
          </w:p>
        </w:tc>
        <w:tc>
          <w:tcPr>
            <w:tcW w:w="2552" w:type="dxa"/>
            <w:vAlign w:val="center"/>
          </w:tcPr>
          <w:p w14:paraId="4B36E72B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Evidência de material educativo para paciente</w:t>
            </w:r>
          </w:p>
        </w:tc>
      </w:tr>
    </w:tbl>
    <w:p w14:paraId="2A9BCCCF" w14:textId="77777777" w:rsidR="00FD3D5B" w:rsidRPr="0046776D" w:rsidRDefault="00FD3D5B">
      <w:pPr>
        <w:rPr>
          <w:rFonts w:eastAsia="MS Gothic"/>
          <w:color w:val="2F5496"/>
          <w:sz w:val="26"/>
          <w:szCs w:val="26"/>
          <w:lang w:val="pt-BR"/>
        </w:rPr>
      </w:pPr>
      <w:r w:rsidRPr="0046776D">
        <w:rPr>
          <w:rFonts w:eastAsia="MS Gothic"/>
          <w:color w:val="2F5496"/>
          <w:sz w:val="26"/>
          <w:szCs w:val="26"/>
          <w:lang w:val="pt-BR"/>
        </w:rPr>
        <w:br w:type="page"/>
      </w:r>
    </w:p>
    <w:p w14:paraId="39A714E0" w14:textId="3E1444AF" w:rsidR="00FD3D5B" w:rsidRPr="0046776D" w:rsidRDefault="00FD3D5B" w:rsidP="00FD3D5B">
      <w:pPr>
        <w:keepNext/>
        <w:spacing w:before="40" w:after="0"/>
        <w:outlineLvl w:val="1"/>
        <w:rPr>
          <w:rFonts w:eastAsia="Calibri"/>
          <w:color w:val="2F5496"/>
          <w:sz w:val="26"/>
          <w:szCs w:val="26"/>
          <w:lang w:val="pt-BR"/>
        </w:rPr>
      </w:pPr>
      <w:r w:rsidRPr="0046776D">
        <w:rPr>
          <w:rFonts w:eastAsia="MS Gothic"/>
          <w:color w:val="2F5496"/>
          <w:sz w:val="26"/>
          <w:szCs w:val="26"/>
          <w:lang w:val="pt-BR"/>
        </w:rPr>
        <w:lastRenderedPageBreak/>
        <w:t>2. Consultório e procedimentos</w:t>
      </w:r>
    </w:p>
    <w:tbl>
      <w:tblPr>
        <w:tblStyle w:val="GridTable4-Accent3"/>
        <w:tblW w:w="9351" w:type="dxa"/>
        <w:tblLayout w:type="fixed"/>
        <w:tblLook w:val="06A0" w:firstRow="1" w:lastRow="0" w:firstColumn="1" w:lastColumn="0" w:noHBand="1" w:noVBand="1"/>
      </w:tblPr>
      <w:tblGrid>
        <w:gridCol w:w="704"/>
        <w:gridCol w:w="1843"/>
        <w:gridCol w:w="4394"/>
        <w:gridCol w:w="2410"/>
      </w:tblGrid>
      <w:tr w:rsidR="0046776D" w:rsidRPr="0046776D" w14:paraId="47B22CAB" w14:textId="77777777" w:rsidTr="004677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622DF2F" w14:textId="77777777" w:rsidR="0046776D" w:rsidRPr="0046776D" w:rsidRDefault="0046776D" w:rsidP="00CB416E">
            <w:pPr>
              <w:spacing w:line="259" w:lineRule="auto"/>
              <w:rPr>
                <w:rFonts w:eastAsia="Calibri"/>
                <w:color w:val="000000" w:themeColor="text1"/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REQUISITO</w:t>
            </w:r>
          </w:p>
        </w:tc>
        <w:tc>
          <w:tcPr>
            <w:tcW w:w="439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D8CE84" w14:textId="77777777" w:rsidR="0046776D" w:rsidRPr="0046776D" w:rsidRDefault="0046776D" w:rsidP="00CB41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RACIONAL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</w:tcBorders>
            <w:vAlign w:val="center"/>
          </w:tcPr>
          <w:p w14:paraId="52775985" w14:textId="77777777" w:rsidR="0046776D" w:rsidRPr="0046776D" w:rsidRDefault="0046776D" w:rsidP="00CB41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ENTREGÁVEL / MENSURÁVEL</w:t>
            </w:r>
          </w:p>
        </w:tc>
      </w:tr>
      <w:tr w:rsidR="0046776D" w:rsidRPr="00E934A7" w14:paraId="016CB2F4" w14:textId="77777777" w:rsidTr="00467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vAlign w:val="center"/>
          </w:tcPr>
          <w:p w14:paraId="19687570" w14:textId="77777777" w:rsidR="0046776D" w:rsidRPr="0046776D" w:rsidRDefault="0046776D" w:rsidP="00CB416E">
            <w:pPr>
              <w:spacing w:line="259" w:lineRule="auto"/>
              <w:rPr>
                <w:rFonts w:eastAsia="Segoe UI"/>
                <w:b w:val="0"/>
                <w:bCs w:val="0"/>
                <w:color w:val="212121"/>
                <w:lang w:val="pt-BR"/>
              </w:rPr>
            </w:pPr>
            <w:r w:rsidRPr="0046776D"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  <w:t>Must Have</w:t>
            </w:r>
          </w:p>
        </w:tc>
        <w:tc>
          <w:tcPr>
            <w:tcW w:w="1843" w:type="dxa"/>
            <w:vAlign w:val="center"/>
          </w:tcPr>
          <w:p w14:paraId="576E10F1" w14:textId="77777777" w:rsidR="0046776D" w:rsidRPr="0046776D" w:rsidRDefault="0046776D" w:rsidP="00CB416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Sala para procedimentos e cirurgias de pequeno ou médio porte </w:t>
            </w:r>
          </w:p>
        </w:tc>
        <w:tc>
          <w:tcPr>
            <w:tcW w:w="4394" w:type="dxa"/>
            <w:vAlign w:val="center"/>
          </w:tcPr>
          <w:p w14:paraId="348CE3CA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 xml:space="preserve">Necessidade de realizar procedimento de </w:t>
            </w:r>
            <w:r w:rsidRPr="0046776D">
              <w:rPr>
                <w:rFonts w:eastAsia="Segoe UI"/>
                <w:lang w:val="pt-BR"/>
              </w:rPr>
              <w:t>alívio</w:t>
            </w:r>
            <w:r w:rsidRPr="0046776D">
              <w:rPr>
                <w:rFonts w:eastAsia="Segoe UI"/>
                <w:color w:val="212121"/>
                <w:lang w:val="pt-BR"/>
              </w:rPr>
              <w:t>, drenagem, toxina botulínica, infiltração e curativos, entre outros.</w:t>
            </w:r>
          </w:p>
        </w:tc>
        <w:tc>
          <w:tcPr>
            <w:tcW w:w="2410" w:type="dxa"/>
            <w:vAlign w:val="center"/>
          </w:tcPr>
          <w:p w14:paraId="1C0B87FD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 xml:space="preserve">Evidência de sala adequada </w:t>
            </w:r>
            <w:r w:rsidRPr="0046776D">
              <w:rPr>
                <w:rFonts w:eastAsia="Segoe UI"/>
                <w:lang w:val="pt-BR"/>
              </w:rPr>
              <w:t xml:space="preserve">com equipamentos adequados </w:t>
            </w:r>
          </w:p>
        </w:tc>
      </w:tr>
      <w:tr w:rsidR="0046776D" w:rsidRPr="00E934A7" w14:paraId="59546F8D" w14:textId="77777777" w:rsidTr="00467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4219FD67" w14:textId="77777777" w:rsidR="0046776D" w:rsidRPr="0046776D" w:rsidRDefault="0046776D" w:rsidP="00CB416E">
            <w:pPr>
              <w:spacing w:line="259" w:lineRule="auto"/>
              <w:rPr>
                <w:rFonts w:eastAsia="Segoe UI"/>
                <w:b w:val="0"/>
                <w:bCs w:val="0"/>
                <w:color w:val="212121"/>
                <w:lang w:val="pt-BR"/>
              </w:rPr>
            </w:pP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7A1B2C30" w14:textId="77777777" w:rsidR="0046776D" w:rsidRPr="0046776D" w:rsidRDefault="0046776D" w:rsidP="00CB416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Maca para exame ginecológico (com perneira) </w:t>
            </w: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7F7B1596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Necessidade de exame adequado de região perineal.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2FF807EA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Evidência de maca com perneira ginecológica.</w:t>
            </w:r>
          </w:p>
        </w:tc>
      </w:tr>
      <w:tr w:rsidR="0046776D" w:rsidRPr="00E934A7" w14:paraId="47C0CD76" w14:textId="77777777" w:rsidTr="00467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1748625F" w14:textId="77777777" w:rsidR="0046776D" w:rsidRPr="0046776D" w:rsidRDefault="0046776D" w:rsidP="00CB416E">
            <w:pPr>
              <w:spacing w:line="259" w:lineRule="auto"/>
              <w:rPr>
                <w:rFonts w:eastAsia="Segoe UI"/>
                <w:b w:val="0"/>
                <w:bCs w:val="0"/>
                <w:color w:val="212121"/>
                <w:lang w:val="pt-BR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EF28A70" w14:textId="77777777" w:rsidR="0046776D" w:rsidRPr="0046776D" w:rsidRDefault="0046776D" w:rsidP="00CB416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Materiais para infiltração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9B5BFCE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Item essencial na sala de procedimento para alívio, diagnóstico e exame adequado.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C8C28DC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Infiltração de corticoide (triancinolona, betametasona).</w:t>
            </w:r>
          </w:p>
          <w:p w14:paraId="080876C3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Evidência de material disponíveil para infiltração.</w:t>
            </w:r>
          </w:p>
        </w:tc>
      </w:tr>
      <w:tr w:rsidR="0046776D" w:rsidRPr="00E934A7" w14:paraId="543FB823" w14:textId="77777777" w:rsidTr="00467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4A9711AA" w14:textId="77777777" w:rsidR="0046776D" w:rsidRPr="0046776D" w:rsidRDefault="0046776D" w:rsidP="00CB416E">
            <w:pPr>
              <w:spacing w:line="259" w:lineRule="auto"/>
              <w:rPr>
                <w:rFonts w:eastAsia="Segoe UI"/>
                <w:b w:val="0"/>
                <w:bCs w:val="0"/>
                <w:color w:val="212121"/>
                <w:lang w:val="pt-BR"/>
              </w:rPr>
            </w:pP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208D92E2" w14:textId="77777777" w:rsidR="0046776D" w:rsidRPr="0046776D" w:rsidRDefault="0046776D" w:rsidP="00CB416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Materiais para drenagem </w:t>
            </w: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72489FB2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Item essencial na sala de procedimento para alívio, diagnóstico e exame adequado.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67236753" w14:textId="77777777" w:rsidR="0046776D" w:rsidRPr="0046776D" w:rsidRDefault="0046776D" w:rsidP="00CB416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Evidência de material disponível em quantidade razoável</w:t>
            </w:r>
          </w:p>
        </w:tc>
      </w:tr>
      <w:tr w:rsidR="0046776D" w:rsidRPr="00E934A7" w14:paraId="08AC063A" w14:textId="77777777" w:rsidTr="00467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2B880084" w14:textId="77777777" w:rsidR="0046776D" w:rsidRPr="0046776D" w:rsidRDefault="0046776D" w:rsidP="00CB416E">
            <w:pPr>
              <w:rPr>
                <w:rFonts w:eastAsia="Segoe UI"/>
                <w:b w:val="0"/>
                <w:bCs w:val="0"/>
                <w:color w:val="212121"/>
                <w:lang w:val="pt-BR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B888DB7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Camisola descartável para exame completo 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0B15D13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Item essencial na sala de procedimento para alívio, diagnóstico e exame adequado.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F4C9991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Evidência de material disponível em quantidade razoável</w:t>
            </w:r>
          </w:p>
        </w:tc>
      </w:tr>
      <w:tr w:rsidR="0046776D" w:rsidRPr="00E934A7" w14:paraId="5ACE3B46" w14:textId="77777777" w:rsidTr="00467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4A779B8A" w14:textId="77777777" w:rsidR="0046776D" w:rsidRPr="0046776D" w:rsidRDefault="0046776D" w:rsidP="00CB416E">
            <w:pPr>
              <w:spacing w:line="259" w:lineRule="auto"/>
              <w:rPr>
                <w:rFonts w:eastAsia="Segoe UI"/>
                <w:b w:val="0"/>
                <w:bCs w:val="0"/>
                <w:color w:val="212121"/>
                <w:lang w:val="pt-BR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6996C703" w14:textId="77777777" w:rsidR="0046776D" w:rsidRPr="0046776D" w:rsidRDefault="0046776D" w:rsidP="00CB416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Ultrassom certificado OU fluxo de encaminhamento alternativo definido</w:t>
            </w:r>
          </w:p>
        </w:tc>
        <w:tc>
          <w:tcPr>
            <w:tcW w:w="4394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585D9BAD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Usado para realizar exames de imagem das lesões. O equipamento deve ser certificado e ser operado por um médico capacitado. Alternativamente, o centro pode ter um fluxo de encaminhamento definido com o nome do procedimento, equipamento utilizado e o profissional responsável.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1A2A10AB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Equipamento em funcionamento com indicativo de sua certificação OU evidência protocolar do fluxo de encaminhamento.</w:t>
            </w:r>
          </w:p>
        </w:tc>
      </w:tr>
      <w:tr w:rsidR="0046776D" w:rsidRPr="00E934A7" w14:paraId="398FDC16" w14:textId="77777777" w:rsidTr="00467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12" w:space="0" w:color="auto"/>
            </w:tcBorders>
            <w:vAlign w:val="center"/>
          </w:tcPr>
          <w:p w14:paraId="34C4CD63" w14:textId="77777777" w:rsidR="0046776D" w:rsidRPr="0046776D" w:rsidRDefault="0046776D" w:rsidP="00CB416E">
            <w:pPr>
              <w:spacing w:line="259" w:lineRule="auto"/>
              <w:rPr>
                <w:rFonts w:eastAsia="Calibri"/>
                <w:b w:val="0"/>
                <w:bCs w:val="0"/>
                <w:color w:val="000000" w:themeColor="text1"/>
                <w:lang w:val="pt-BR"/>
              </w:rPr>
            </w:pPr>
            <w:r w:rsidRPr="0046776D">
              <w:rPr>
                <w:rFonts w:eastAsia="Calibri"/>
                <w:b w:val="0"/>
                <w:bCs w:val="0"/>
                <w:i/>
                <w:iCs/>
                <w:color w:val="000000" w:themeColor="text1"/>
                <w:lang w:val="pt-BR"/>
              </w:rPr>
              <w:t>Nice to Have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082A73" w14:textId="77777777" w:rsidR="0046776D" w:rsidRPr="0046776D" w:rsidRDefault="0046776D" w:rsidP="00CB416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Materiais para curativos e vácuo 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5175AA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Curativos avançados para lesões ativas e para pós operatório de ferida por segunda intenção. Também relevante para serviço de acompanhamento de feridas pós operatórias ou para curativo domiciliar.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1BC635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Material disponível em quantidade razoável.</w:t>
            </w:r>
          </w:p>
        </w:tc>
      </w:tr>
      <w:tr w:rsidR="0046776D" w:rsidRPr="0046776D" w14:paraId="725EA99B" w14:textId="77777777" w:rsidTr="00467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5EFB0325" w14:textId="77777777" w:rsidR="0046776D" w:rsidRPr="0046776D" w:rsidRDefault="0046776D" w:rsidP="00CB416E">
            <w:pPr>
              <w:spacing w:line="259" w:lineRule="auto"/>
              <w:rPr>
                <w:rFonts w:eastAsia="Calibri"/>
                <w:b w:val="0"/>
                <w:bCs w:val="0"/>
                <w:color w:val="000000" w:themeColor="text1"/>
                <w:lang w:val="pt-BR"/>
              </w:rPr>
            </w:pP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EB48366" w14:textId="77777777" w:rsidR="0046776D" w:rsidRPr="0046776D" w:rsidRDefault="0046776D" w:rsidP="00CB416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Ambulatório de curativos</w:t>
            </w: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4E21BB8B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Serviço de acompanhamento de feridas pós operatórias para curativo domiciliar.</w:t>
            </w:r>
          </w:p>
          <w:p w14:paraId="7F249504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3975AC45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Evidência de ambiente adaptado.</w:t>
            </w:r>
          </w:p>
        </w:tc>
      </w:tr>
      <w:tr w:rsidR="0046776D" w:rsidRPr="0046776D" w14:paraId="48B1884F" w14:textId="77777777" w:rsidTr="004677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349D97A5" w14:textId="77777777" w:rsidR="0046776D" w:rsidRPr="0046776D" w:rsidRDefault="0046776D" w:rsidP="00CB416E">
            <w:pPr>
              <w:spacing w:line="259" w:lineRule="auto"/>
              <w:rPr>
                <w:rFonts w:eastAsia="Calibri"/>
                <w:b w:val="0"/>
                <w:bCs w:val="0"/>
                <w:color w:val="000000" w:themeColor="text1"/>
                <w:lang w:val="pt-BR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CCF63FE" w14:textId="77777777" w:rsidR="0046776D" w:rsidRPr="0046776D" w:rsidRDefault="0046776D" w:rsidP="00CB416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Laser e LED de cicatrização e cauterização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B3BD2F3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Serviço de acompanhamento de feridas pós operatórias para curativo domiciliar. Relevante para feridas mais graves e profundas.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189FA7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Segoe UI"/>
                <w:color w:val="212121"/>
                <w:lang w:val="pt-BR"/>
              </w:rPr>
              <w:t>Evidência de equipamento correspondente.</w:t>
            </w:r>
          </w:p>
        </w:tc>
      </w:tr>
    </w:tbl>
    <w:p w14:paraId="69679B68" w14:textId="465E0E5B" w:rsidR="00FD3D5B" w:rsidRPr="0046776D" w:rsidRDefault="00FD3D5B" w:rsidP="0046776D">
      <w:pPr>
        <w:jc w:val="both"/>
        <w:rPr>
          <w:rFonts w:eastAsia="Calibri"/>
          <w:sz w:val="22"/>
          <w:szCs w:val="22"/>
          <w:lang w:val="pt-BR"/>
        </w:rPr>
      </w:pPr>
      <w:r w:rsidRPr="0046776D">
        <w:rPr>
          <w:rFonts w:eastAsia="Calibri"/>
          <w:sz w:val="22"/>
          <w:szCs w:val="22"/>
          <w:lang w:val="pt-BR"/>
        </w:rPr>
        <w:tab/>
      </w:r>
    </w:p>
    <w:p w14:paraId="35E1F307" w14:textId="3BCC9076" w:rsidR="00FD3D5B" w:rsidRPr="0046776D" w:rsidRDefault="00FD3D5B" w:rsidP="00FD3D5B">
      <w:pPr>
        <w:keepNext/>
        <w:spacing w:before="40" w:after="0"/>
        <w:outlineLvl w:val="1"/>
        <w:rPr>
          <w:rFonts w:eastAsia="Calibri"/>
          <w:color w:val="2F5496"/>
          <w:sz w:val="26"/>
          <w:szCs w:val="26"/>
          <w:lang w:val="pt-BR"/>
        </w:rPr>
      </w:pPr>
      <w:r w:rsidRPr="0046776D">
        <w:rPr>
          <w:rFonts w:eastAsia="MS Gothic"/>
          <w:color w:val="2F5496"/>
          <w:sz w:val="26"/>
          <w:szCs w:val="26"/>
          <w:lang w:val="pt-BR"/>
        </w:rPr>
        <w:t>3. Infusão</w:t>
      </w:r>
    </w:p>
    <w:tbl>
      <w:tblPr>
        <w:tblStyle w:val="GridTable4-Accent3"/>
        <w:tblW w:w="9351" w:type="dxa"/>
        <w:tblLayout w:type="fixed"/>
        <w:tblLook w:val="06A0" w:firstRow="1" w:lastRow="0" w:firstColumn="1" w:lastColumn="0" w:noHBand="1" w:noVBand="1"/>
      </w:tblPr>
      <w:tblGrid>
        <w:gridCol w:w="704"/>
        <w:gridCol w:w="2268"/>
        <w:gridCol w:w="3686"/>
        <w:gridCol w:w="2693"/>
      </w:tblGrid>
      <w:tr w:rsidR="0046776D" w:rsidRPr="0046776D" w14:paraId="01516E48" w14:textId="77777777" w:rsidTr="00CB41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A71F698" w14:textId="77777777" w:rsidR="0046776D" w:rsidRPr="0046776D" w:rsidRDefault="0046776D" w:rsidP="00CB416E">
            <w:pPr>
              <w:rPr>
                <w:rFonts w:eastAsia="Segoe UI"/>
                <w:color w:val="212121"/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REQUISITO</w:t>
            </w:r>
          </w:p>
        </w:tc>
        <w:tc>
          <w:tcPr>
            <w:tcW w:w="368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0E020E" w14:textId="77777777" w:rsidR="0046776D" w:rsidRPr="0046776D" w:rsidRDefault="0046776D" w:rsidP="00CB41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RACIONAL</w:t>
            </w:r>
          </w:p>
        </w:tc>
        <w:tc>
          <w:tcPr>
            <w:tcW w:w="2693" w:type="dxa"/>
            <w:tcBorders>
              <w:left w:val="single" w:sz="4" w:space="0" w:color="FFFFFF" w:themeColor="background1"/>
            </w:tcBorders>
            <w:vAlign w:val="center"/>
          </w:tcPr>
          <w:p w14:paraId="0171AEF4" w14:textId="77777777" w:rsidR="0046776D" w:rsidRPr="0046776D" w:rsidRDefault="0046776D" w:rsidP="00CB41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ENTREGÁVEL / MENSURÁVEL</w:t>
            </w:r>
          </w:p>
        </w:tc>
      </w:tr>
      <w:tr w:rsidR="0046776D" w:rsidRPr="00E934A7" w14:paraId="568FDA40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vAlign w:val="center"/>
          </w:tcPr>
          <w:p w14:paraId="2C007702" w14:textId="77777777" w:rsidR="0046776D" w:rsidRPr="0046776D" w:rsidRDefault="0046776D" w:rsidP="00CB416E">
            <w:pPr>
              <w:rPr>
                <w:rFonts w:eastAsia="Calibri"/>
                <w:b w:val="0"/>
                <w:bCs w:val="0"/>
                <w:color w:val="000000" w:themeColor="text1"/>
                <w:lang w:val="pt-BR"/>
              </w:rPr>
            </w:pPr>
            <w:r w:rsidRPr="0046776D"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  <w:t>Must Have</w:t>
            </w:r>
          </w:p>
        </w:tc>
        <w:tc>
          <w:tcPr>
            <w:tcW w:w="2268" w:type="dxa"/>
            <w:vAlign w:val="center"/>
          </w:tcPr>
          <w:p w14:paraId="28E24534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t-BR"/>
              </w:rPr>
            </w:pPr>
            <w:r w:rsidRPr="0046776D">
              <w:rPr>
                <w:color w:val="212121"/>
                <w:shd w:val="clear" w:color="auto" w:fill="FFFFFF"/>
                <w:lang w:val="pt-BR"/>
              </w:rPr>
              <w:t>Atividades de acompanhamento das infusões</w:t>
            </w:r>
          </w:p>
        </w:tc>
        <w:tc>
          <w:tcPr>
            <w:tcW w:w="3686" w:type="dxa"/>
            <w:vAlign w:val="center"/>
          </w:tcPr>
          <w:p w14:paraId="0B85B34C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Imunobiológicos são tratamento mais eficientes e apropriado para HS – requer manejo adequado para garantir eficiência.</w:t>
            </w:r>
          </w:p>
        </w:tc>
        <w:tc>
          <w:tcPr>
            <w:tcW w:w="2693" w:type="dxa"/>
            <w:vAlign w:val="center"/>
          </w:tcPr>
          <w:p w14:paraId="233C2CD0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POP com orientações, aplicação, acondicionamento, transporte, contato emergencial.</w:t>
            </w:r>
          </w:p>
        </w:tc>
      </w:tr>
      <w:tr w:rsidR="0046776D" w:rsidRPr="00E934A7" w14:paraId="56592EA4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67B4B1A9" w14:textId="77777777" w:rsidR="0046776D" w:rsidRPr="0046776D" w:rsidRDefault="0046776D" w:rsidP="00CB416E">
            <w:pPr>
              <w:rPr>
                <w:rFonts w:eastAsia="Segoe UI"/>
                <w:i/>
                <w:iCs/>
                <w:color w:val="212121"/>
                <w:lang w:val="pt-BR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1A1091D7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Centro de infusão adequado às normas de uso de imunobiológicos</w:t>
            </w:r>
          </w:p>
        </w:tc>
        <w:tc>
          <w:tcPr>
            <w:tcW w:w="3686" w:type="dxa"/>
            <w:shd w:val="clear" w:color="auto" w:fill="E7E6E6" w:themeFill="background2"/>
            <w:vAlign w:val="center"/>
          </w:tcPr>
          <w:p w14:paraId="08B798BC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Oferecer o serviço de infusão ter fluxo para encaminhamento e contatos de emergência.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066B1D8C" w14:textId="77777777" w:rsidR="0046776D" w:rsidRPr="0046776D" w:rsidRDefault="0046776D" w:rsidP="00CB416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color w:val="212121"/>
                <w:lang w:val="pt-BR"/>
              </w:rPr>
              <w:t>Evidência do centro de infusões ou encaminhamento</w:t>
            </w:r>
          </w:p>
        </w:tc>
      </w:tr>
    </w:tbl>
    <w:p w14:paraId="5E5F8A79" w14:textId="1BFDCB92" w:rsidR="00FD3D5B" w:rsidRPr="0046776D" w:rsidRDefault="00FD3D5B" w:rsidP="0046776D">
      <w:pPr>
        <w:jc w:val="both"/>
        <w:rPr>
          <w:rFonts w:eastAsia="Calibri"/>
          <w:sz w:val="22"/>
          <w:szCs w:val="22"/>
          <w:lang w:val="pt-BR"/>
        </w:rPr>
      </w:pPr>
    </w:p>
    <w:p w14:paraId="72776BDD" w14:textId="77777777" w:rsidR="0046776D" w:rsidRPr="0046776D" w:rsidRDefault="0046776D" w:rsidP="0046776D">
      <w:pPr>
        <w:jc w:val="both"/>
        <w:rPr>
          <w:rFonts w:eastAsia="MS Gothic"/>
          <w:color w:val="2F5496"/>
          <w:sz w:val="26"/>
          <w:szCs w:val="26"/>
          <w:lang w:val="pt-BR"/>
        </w:rPr>
      </w:pPr>
    </w:p>
    <w:p w14:paraId="642981E1" w14:textId="39024A56" w:rsidR="00FD3D5B" w:rsidRPr="0046776D" w:rsidRDefault="00FD3D5B" w:rsidP="00FD3D5B">
      <w:pPr>
        <w:keepNext/>
        <w:spacing w:before="40" w:after="0"/>
        <w:outlineLvl w:val="1"/>
        <w:rPr>
          <w:rFonts w:eastAsia="Calibri"/>
          <w:color w:val="2F5496"/>
          <w:sz w:val="26"/>
          <w:szCs w:val="26"/>
          <w:lang w:val="pt-BR"/>
        </w:rPr>
      </w:pPr>
      <w:r w:rsidRPr="0046776D">
        <w:rPr>
          <w:rFonts w:eastAsia="MS Gothic"/>
          <w:color w:val="2F5496"/>
          <w:sz w:val="26"/>
          <w:szCs w:val="26"/>
          <w:lang w:val="pt-BR"/>
        </w:rPr>
        <w:t>4. Fluxo</w:t>
      </w:r>
      <w:r w:rsidR="0046776D" w:rsidRPr="0046776D">
        <w:rPr>
          <w:rFonts w:eastAsia="MS Gothic"/>
          <w:color w:val="2F5496"/>
          <w:sz w:val="26"/>
          <w:szCs w:val="26"/>
          <w:lang w:val="pt-BR"/>
        </w:rPr>
        <w:t xml:space="preserve"> e referenciamento</w:t>
      </w:r>
    </w:p>
    <w:tbl>
      <w:tblPr>
        <w:tblStyle w:val="GridTable4-Accent3"/>
        <w:tblW w:w="9351" w:type="dxa"/>
        <w:tblLayout w:type="fixed"/>
        <w:tblLook w:val="06A0" w:firstRow="1" w:lastRow="0" w:firstColumn="1" w:lastColumn="0" w:noHBand="1" w:noVBand="1"/>
      </w:tblPr>
      <w:tblGrid>
        <w:gridCol w:w="704"/>
        <w:gridCol w:w="2268"/>
        <w:gridCol w:w="3686"/>
        <w:gridCol w:w="2693"/>
      </w:tblGrid>
      <w:tr w:rsidR="0046776D" w:rsidRPr="0046776D" w14:paraId="2F57AE39" w14:textId="77777777" w:rsidTr="00CB41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C8B2DEF" w14:textId="77777777" w:rsidR="0046776D" w:rsidRPr="0046776D" w:rsidRDefault="0046776D" w:rsidP="00CB416E">
            <w:pPr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REQUISITO</w:t>
            </w:r>
          </w:p>
        </w:tc>
        <w:tc>
          <w:tcPr>
            <w:tcW w:w="368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6DF979" w14:textId="77777777" w:rsidR="0046776D" w:rsidRPr="0046776D" w:rsidRDefault="0046776D" w:rsidP="00CB41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RACIONAL</w:t>
            </w:r>
          </w:p>
        </w:tc>
        <w:tc>
          <w:tcPr>
            <w:tcW w:w="2693" w:type="dxa"/>
            <w:tcBorders>
              <w:left w:val="single" w:sz="4" w:space="0" w:color="FFFFFF" w:themeColor="background1"/>
            </w:tcBorders>
            <w:vAlign w:val="center"/>
          </w:tcPr>
          <w:p w14:paraId="10087405" w14:textId="77777777" w:rsidR="0046776D" w:rsidRPr="0046776D" w:rsidRDefault="0046776D" w:rsidP="00CB41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ENTREGÁVEL / MENSURÁVEL</w:t>
            </w:r>
          </w:p>
        </w:tc>
      </w:tr>
      <w:tr w:rsidR="0046776D" w:rsidRPr="00E934A7" w14:paraId="6EC412CE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bottom w:val="single" w:sz="12" w:space="0" w:color="auto"/>
            </w:tcBorders>
            <w:vAlign w:val="center"/>
          </w:tcPr>
          <w:p w14:paraId="51C38258" w14:textId="77777777" w:rsidR="0046776D" w:rsidRPr="0046776D" w:rsidRDefault="0046776D" w:rsidP="00CB416E">
            <w:pPr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</w:pPr>
            <w:r w:rsidRPr="0046776D"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  <w:t>Must Have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46C484D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t-BR"/>
              </w:rPr>
            </w:pPr>
            <w:r w:rsidRPr="0046776D">
              <w:rPr>
                <w:color w:val="212121"/>
                <w:shd w:val="clear" w:color="auto" w:fill="FFFFFF"/>
                <w:lang w:val="pt-BR"/>
              </w:rPr>
              <w:t>Sistema de referência e contrarreferência para encaminhamentos</w:t>
            </w:r>
          </w:p>
        </w:tc>
        <w:tc>
          <w:tcPr>
            <w:tcW w:w="3686" w:type="dxa"/>
            <w:tcBorders>
              <w:bottom w:val="single" w:sz="12" w:space="0" w:color="auto"/>
            </w:tcBorders>
            <w:vAlign w:val="center"/>
          </w:tcPr>
          <w:p w14:paraId="591EA61C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 xml:space="preserve">Doença associada a várias comorbidades, requer cuidado multidisciplinar e de outras especialidades 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07D76ED8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POP com responsáveis e fluxo para encaminhamento para outras especialidades – lista de encaminhamento</w:t>
            </w:r>
          </w:p>
        </w:tc>
      </w:tr>
      <w:tr w:rsidR="0046776D" w:rsidRPr="00E934A7" w14:paraId="2AA7A793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12" w:space="0" w:color="auto"/>
            </w:tcBorders>
            <w:vAlign w:val="center"/>
          </w:tcPr>
          <w:p w14:paraId="73126DD5" w14:textId="77777777" w:rsidR="0046776D" w:rsidRPr="0046776D" w:rsidRDefault="0046776D" w:rsidP="00CB416E">
            <w:pPr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</w:pPr>
            <w:r w:rsidRPr="0046776D">
              <w:rPr>
                <w:b w:val="0"/>
                <w:bCs w:val="0"/>
                <w:i/>
                <w:iCs/>
                <w:lang w:val="pt-BR"/>
              </w:rPr>
              <w:t>Nice to Have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250C6E1B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Nutricionistas</w:t>
            </w:r>
          </w:p>
        </w:tc>
        <w:tc>
          <w:tcPr>
            <w:tcW w:w="3686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68E8C0AC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Maior prevalência de obesidade, síndrome metabólica,</w:t>
            </w:r>
            <w:r w:rsidRPr="0046776D">
              <w:rPr>
                <w:color w:val="FF0000"/>
                <w:lang w:val="pt-BR"/>
              </w:rPr>
              <w:t xml:space="preserve"> </w:t>
            </w:r>
            <w:r w:rsidRPr="0046776D">
              <w:rPr>
                <w:color w:val="212121"/>
                <w:lang w:val="pt-BR"/>
              </w:rPr>
              <w:t>o que agrava a HS com maior risco cardiovascular. Orientação para emagrecimento, para controlar comorbidade e para diminuir carga inflamatória.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44346F89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Evidência de rotina de atendimento e/ou dos responsáveis.</w:t>
            </w:r>
          </w:p>
        </w:tc>
      </w:tr>
      <w:tr w:rsidR="0046776D" w:rsidRPr="00E934A7" w14:paraId="1A108978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7CD46CD8" w14:textId="77777777" w:rsidR="0046776D" w:rsidRPr="0046776D" w:rsidRDefault="0046776D" w:rsidP="00CB416E">
            <w:pPr>
              <w:rPr>
                <w:rFonts w:eastAsia="Segoe UI"/>
                <w:i/>
                <w:iCs/>
                <w:color w:val="212121"/>
                <w:lang w:val="pt-BR"/>
              </w:rPr>
            </w:pPr>
          </w:p>
        </w:tc>
        <w:tc>
          <w:tcPr>
            <w:tcW w:w="2268" w:type="dxa"/>
            <w:vAlign w:val="center"/>
          </w:tcPr>
          <w:p w14:paraId="7C608E61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000000"/>
                <w:shd w:val="clear" w:color="auto" w:fill="FFFFFF"/>
                <w:lang w:val="pt-BR"/>
              </w:rPr>
              <w:t xml:space="preserve">Especialidades médicas adicionais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F431F71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  <w:lang w:val="pt-BR"/>
              </w:rPr>
            </w:pPr>
            <w:r w:rsidRPr="0046776D">
              <w:rPr>
                <w:color w:val="000000"/>
                <w:shd w:val="clear" w:color="auto" w:fill="FFFFFF"/>
                <w:lang w:val="pt-BR"/>
              </w:rPr>
              <w:t>Especialidades relevantes para endereçar eventuais comorbidades do paciente. Incluem-se clínico geral, proctologista, cirurgião dermatológico, urologista, cirurgião plástico, cardiologista, reumatologista, ginecologista, medicina do esporte.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D1A03CC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Evidência de rotina de atendimento e/ou dos responsáveis.</w:t>
            </w:r>
          </w:p>
        </w:tc>
      </w:tr>
      <w:tr w:rsidR="0046776D" w:rsidRPr="00E934A7" w14:paraId="7AFC0F91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07768ADA" w14:textId="77777777" w:rsidR="0046776D" w:rsidRPr="0046776D" w:rsidRDefault="0046776D" w:rsidP="00CB416E">
            <w:pPr>
              <w:rPr>
                <w:rFonts w:eastAsia="Segoe UI"/>
                <w:i/>
                <w:iCs/>
                <w:color w:val="212121"/>
                <w:lang w:val="pt-BR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69B980E5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  <w:lang w:val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Estomaterapeuta ou profissional expert em curativos </w:t>
            </w:r>
          </w:p>
        </w:tc>
        <w:tc>
          <w:tcPr>
            <w:tcW w:w="3686" w:type="dxa"/>
            <w:shd w:val="clear" w:color="auto" w:fill="E7E6E6" w:themeFill="background2"/>
            <w:vAlign w:val="center"/>
          </w:tcPr>
          <w:p w14:paraId="0C92B7C6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Pode ser incorporado ao ambulatório de curativos. Relevante para lidar com pacientes mais complexos que tem estomias, fístulas, tubos, cateteres, drenos, incontinências, etc.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73A0CD97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color w:val="212121"/>
                <w:lang w:val="pt-BR"/>
              </w:rPr>
              <w:t>Evidência de rotina de atendimento e/ou dos responsáveis.</w:t>
            </w:r>
          </w:p>
        </w:tc>
      </w:tr>
      <w:tr w:rsidR="0046776D" w:rsidRPr="00E934A7" w14:paraId="531B694E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32EE154E" w14:textId="77777777" w:rsidR="0046776D" w:rsidRPr="0046776D" w:rsidRDefault="0046776D" w:rsidP="00CB416E">
            <w:pPr>
              <w:rPr>
                <w:i/>
                <w:iCs/>
                <w:lang w:val="pt-BR"/>
              </w:rPr>
            </w:pPr>
          </w:p>
        </w:tc>
        <w:tc>
          <w:tcPr>
            <w:tcW w:w="2268" w:type="dxa"/>
            <w:vAlign w:val="center"/>
          </w:tcPr>
          <w:p w14:paraId="72B40CE7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color w:val="212121"/>
                <w:shd w:val="clear" w:color="auto" w:fill="FFFFFF"/>
                <w:lang w:val="pt-BR"/>
              </w:rPr>
              <w:t>Assistente social</w:t>
            </w:r>
          </w:p>
        </w:tc>
        <w:tc>
          <w:tcPr>
            <w:tcW w:w="3686" w:type="dxa"/>
            <w:vAlign w:val="center"/>
          </w:tcPr>
          <w:p w14:paraId="005FE345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Assistente social para apoiar acesso a transporte, benefícios sociais, direitos do paciente, entre outros.</w:t>
            </w:r>
          </w:p>
        </w:tc>
        <w:tc>
          <w:tcPr>
            <w:tcW w:w="2693" w:type="dxa"/>
            <w:vAlign w:val="center"/>
          </w:tcPr>
          <w:p w14:paraId="799E9086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Evidência de rotina de atendimento e/ou dos responsáveis.</w:t>
            </w:r>
          </w:p>
        </w:tc>
      </w:tr>
      <w:tr w:rsidR="0046776D" w:rsidRPr="00E934A7" w14:paraId="07A0246F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5DA3AA87" w14:textId="77777777" w:rsidR="0046776D" w:rsidRPr="0046776D" w:rsidRDefault="0046776D" w:rsidP="00CB416E">
            <w:pPr>
              <w:rPr>
                <w:i/>
                <w:iCs/>
                <w:lang w:val="pt-BR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6AD1EB09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Psicólogos</w:t>
            </w:r>
          </w:p>
        </w:tc>
        <w:tc>
          <w:tcPr>
            <w:tcW w:w="3686" w:type="dxa"/>
            <w:shd w:val="clear" w:color="auto" w:fill="E7E6E6" w:themeFill="background2"/>
            <w:vAlign w:val="center"/>
          </w:tcPr>
          <w:p w14:paraId="1232AAFD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Endereçar pacientes que tem depressão, ansiedade, dificuldade de lidar com a doença.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3CD662FC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Rotina de atendimento dos responsáveis.</w:t>
            </w:r>
          </w:p>
        </w:tc>
      </w:tr>
      <w:tr w:rsidR="0046776D" w:rsidRPr="00E934A7" w14:paraId="5095D054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25A2635C" w14:textId="77777777" w:rsidR="0046776D" w:rsidRPr="0046776D" w:rsidRDefault="0046776D" w:rsidP="00CB416E">
            <w:pPr>
              <w:rPr>
                <w:i/>
                <w:iCs/>
                <w:lang w:val="pt-BR"/>
              </w:rPr>
            </w:pPr>
          </w:p>
        </w:tc>
        <w:tc>
          <w:tcPr>
            <w:tcW w:w="2268" w:type="dxa"/>
            <w:vAlign w:val="center"/>
          </w:tcPr>
          <w:p w14:paraId="61CA7A44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shd w:val="clear" w:color="auto" w:fill="FFFFFF"/>
                <w:lang w:val="pt-BR"/>
              </w:rPr>
              <w:t>Interconexão entre os especialistas</w:t>
            </w:r>
          </w:p>
        </w:tc>
        <w:tc>
          <w:tcPr>
            <w:tcW w:w="3686" w:type="dxa"/>
            <w:vAlign w:val="center"/>
          </w:tcPr>
          <w:p w14:paraId="2FC1653C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Necessidade dos especialistas envolvidos discutirem entre si necessidades multidisciplinares.</w:t>
            </w:r>
          </w:p>
        </w:tc>
        <w:tc>
          <w:tcPr>
            <w:tcW w:w="2693" w:type="dxa"/>
            <w:vAlign w:val="center"/>
          </w:tcPr>
          <w:p w14:paraId="2955832B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Grupo de whatsapp ou outro forum entre os responsáveis.</w:t>
            </w:r>
          </w:p>
        </w:tc>
      </w:tr>
    </w:tbl>
    <w:p w14:paraId="57E3CDFD" w14:textId="3CB573DD" w:rsidR="00FD3D5B" w:rsidRPr="0046776D" w:rsidRDefault="00FD3D5B" w:rsidP="0046776D">
      <w:pPr>
        <w:spacing w:after="0"/>
        <w:jc w:val="both"/>
        <w:rPr>
          <w:rFonts w:eastAsia="Calibri"/>
          <w:sz w:val="22"/>
          <w:szCs w:val="22"/>
          <w:lang w:val="pt-BR"/>
        </w:rPr>
      </w:pPr>
    </w:p>
    <w:p w14:paraId="182AC9C4" w14:textId="77777777" w:rsidR="0046776D" w:rsidRPr="0046776D" w:rsidRDefault="0046776D" w:rsidP="0046776D">
      <w:pPr>
        <w:spacing w:after="0"/>
        <w:jc w:val="both"/>
        <w:rPr>
          <w:rFonts w:eastAsia="Calibri"/>
          <w:sz w:val="22"/>
          <w:szCs w:val="22"/>
          <w:lang w:val="pt-BR"/>
        </w:rPr>
      </w:pPr>
    </w:p>
    <w:p w14:paraId="183F8446" w14:textId="28F52119" w:rsidR="00FD3D5B" w:rsidRPr="0046776D" w:rsidRDefault="00FD3D5B" w:rsidP="00FD3D5B">
      <w:pPr>
        <w:keepNext/>
        <w:spacing w:before="40" w:after="0"/>
        <w:outlineLvl w:val="1"/>
        <w:rPr>
          <w:rFonts w:eastAsia="Calibri"/>
          <w:color w:val="2F5496"/>
          <w:sz w:val="26"/>
          <w:szCs w:val="26"/>
          <w:lang w:val="pt-BR"/>
        </w:rPr>
      </w:pPr>
      <w:r w:rsidRPr="0046776D">
        <w:rPr>
          <w:rFonts w:eastAsia="MS Gothic"/>
          <w:color w:val="2F5496"/>
          <w:sz w:val="26"/>
          <w:szCs w:val="26"/>
          <w:lang w:val="pt-BR"/>
        </w:rPr>
        <w:t>5. Equipe</w:t>
      </w:r>
    </w:p>
    <w:tbl>
      <w:tblPr>
        <w:tblStyle w:val="GridTable4-Accent3"/>
        <w:tblW w:w="9351" w:type="dxa"/>
        <w:tblLayout w:type="fixed"/>
        <w:tblLook w:val="06A0" w:firstRow="1" w:lastRow="0" w:firstColumn="1" w:lastColumn="0" w:noHBand="1" w:noVBand="1"/>
      </w:tblPr>
      <w:tblGrid>
        <w:gridCol w:w="704"/>
        <w:gridCol w:w="2268"/>
        <w:gridCol w:w="3686"/>
        <w:gridCol w:w="2693"/>
      </w:tblGrid>
      <w:tr w:rsidR="0046776D" w:rsidRPr="0046776D" w14:paraId="777F661B" w14:textId="77777777" w:rsidTr="00CB41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9337202" w14:textId="77777777" w:rsidR="0046776D" w:rsidRPr="0046776D" w:rsidRDefault="0046776D" w:rsidP="00CB416E">
            <w:pPr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REQUISITO</w:t>
            </w:r>
          </w:p>
        </w:tc>
        <w:tc>
          <w:tcPr>
            <w:tcW w:w="368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A9AA58" w14:textId="77777777" w:rsidR="0046776D" w:rsidRPr="0046776D" w:rsidRDefault="0046776D" w:rsidP="00CB41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RACIONAL</w:t>
            </w:r>
          </w:p>
        </w:tc>
        <w:tc>
          <w:tcPr>
            <w:tcW w:w="2693" w:type="dxa"/>
            <w:tcBorders>
              <w:left w:val="single" w:sz="4" w:space="0" w:color="FFFFFF" w:themeColor="background1"/>
            </w:tcBorders>
            <w:vAlign w:val="center"/>
          </w:tcPr>
          <w:p w14:paraId="78F8AFDB" w14:textId="77777777" w:rsidR="0046776D" w:rsidRPr="0046776D" w:rsidRDefault="0046776D" w:rsidP="00CB41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ENTREGÁVEL / MENSURÁVEL</w:t>
            </w:r>
          </w:p>
        </w:tc>
      </w:tr>
      <w:tr w:rsidR="0046776D" w:rsidRPr="00E934A7" w14:paraId="7E80A66F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vAlign w:val="center"/>
          </w:tcPr>
          <w:p w14:paraId="6D7D1C42" w14:textId="77777777" w:rsidR="0046776D" w:rsidRPr="0046776D" w:rsidRDefault="0046776D" w:rsidP="00CB416E">
            <w:pPr>
              <w:rPr>
                <w:b w:val="0"/>
                <w:bCs w:val="0"/>
                <w:i/>
                <w:iCs/>
                <w:lang w:val="pt-BR"/>
              </w:rPr>
            </w:pPr>
            <w:r w:rsidRPr="0046776D"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  <w:t>Must Have</w:t>
            </w:r>
          </w:p>
        </w:tc>
        <w:tc>
          <w:tcPr>
            <w:tcW w:w="2268" w:type="dxa"/>
            <w:vAlign w:val="center"/>
          </w:tcPr>
          <w:p w14:paraId="73B1F2F4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Reunião com recorrência, no mínimo, trimestral.  </w:t>
            </w:r>
          </w:p>
        </w:tc>
        <w:tc>
          <w:tcPr>
            <w:tcW w:w="3686" w:type="dxa"/>
            <w:vAlign w:val="center"/>
          </w:tcPr>
          <w:p w14:paraId="0CC278E6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Trimestralmente ter objetivos distintos e atualização constante, incluindo validação dos protocolos, sincronização de jeitos de trabalho, planejamento de ações, entre outros relevantes.</w:t>
            </w:r>
          </w:p>
        </w:tc>
        <w:tc>
          <w:tcPr>
            <w:tcW w:w="2693" w:type="dxa"/>
            <w:vAlign w:val="center"/>
          </w:tcPr>
          <w:p w14:paraId="1BA4C595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 xml:space="preserve">Atas ou checklist para alimentar informações. </w:t>
            </w:r>
          </w:p>
          <w:p w14:paraId="1B3C972F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Presença de médicos, enfermeiros, farmacêuticos.</w:t>
            </w:r>
          </w:p>
        </w:tc>
      </w:tr>
      <w:tr w:rsidR="0046776D" w:rsidRPr="0046776D" w14:paraId="415153DB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287DF1A7" w14:textId="77777777" w:rsidR="0046776D" w:rsidRPr="0046776D" w:rsidRDefault="0046776D" w:rsidP="00CB416E">
            <w:pPr>
              <w:rPr>
                <w:b w:val="0"/>
                <w:bCs w:val="0"/>
                <w:i/>
                <w:iCs/>
                <w:lang w:val="pt-BR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02AC5AEE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Liderança por dermatologistas.</w:t>
            </w:r>
          </w:p>
        </w:tc>
        <w:tc>
          <w:tcPr>
            <w:tcW w:w="3686" w:type="dxa"/>
            <w:shd w:val="clear" w:color="auto" w:fill="E7E6E6" w:themeFill="background2"/>
            <w:vAlign w:val="center"/>
          </w:tcPr>
          <w:p w14:paraId="292905F9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Relevante que o dermatogista centralize as demandas para outros especialistas.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25D6ED10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RQE do profissional.</w:t>
            </w:r>
          </w:p>
        </w:tc>
      </w:tr>
      <w:tr w:rsidR="0046776D" w:rsidRPr="0046776D" w14:paraId="21B7089A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680AD89D" w14:textId="77777777" w:rsidR="0046776D" w:rsidRPr="0046776D" w:rsidRDefault="0046776D" w:rsidP="00CB416E">
            <w:pPr>
              <w:rPr>
                <w:b w:val="0"/>
                <w:bCs w:val="0"/>
                <w:i/>
                <w:iCs/>
                <w:lang w:val="pt-BR"/>
              </w:rPr>
            </w:pPr>
          </w:p>
        </w:tc>
        <w:tc>
          <w:tcPr>
            <w:tcW w:w="2268" w:type="dxa"/>
            <w:vAlign w:val="center"/>
          </w:tcPr>
          <w:p w14:paraId="0324F9FF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Equipe de enfermagem.</w:t>
            </w:r>
          </w:p>
        </w:tc>
        <w:tc>
          <w:tcPr>
            <w:tcW w:w="3686" w:type="dxa"/>
            <w:vAlign w:val="center"/>
          </w:tcPr>
          <w:p w14:paraId="3C9761E3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Enfermeira para suporte geral.</w:t>
            </w:r>
          </w:p>
        </w:tc>
        <w:tc>
          <w:tcPr>
            <w:tcW w:w="2693" w:type="dxa"/>
            <w:vAlign w:val="center"/>
          </w:tcPr>
          <w:p w14:paraId="1693086D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COREM do profissional.</w:t>
            </w:r>
          </w:p>
        </w:tc>
      </w:tr>
      <w:tr w:rsidR="0046776D" w:rsidRPr="00E934A7" w14:paraId="681B2837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05D1CEF8" w14:textId="77777777" w:rsidR="0046776D" w:rsidRPr="0046776D" w:rsidRDefault="0046776D" w:rsidP="00CB416E">
            <w:pPr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CFDBD75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Fórum recorrente de equipe para discussão de dificuldades e experiências.</w:t>
            </w:r>
          </w:p>
        </w:tc>
        <w:tc>
          <w:tcPr>
            <w:tcW w:w="3686" w:type="dxa"/>
            <w:shd w:val="clear" w:color="auto" w:fill="E7E6E6" w:themeFill="background2"/>
            <w:vAlign w:val="center"/>
          </w:tcPr>
          <w:p w14:paraId="0D5A28A5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Necessidade de discussão clínica. A frequência pode ser definida conforme a necessidade do centro.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56D5EE13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Evidência da reunião, como atas e checklists.</w:t>
            </w:r>
          </w:p>
        </w:tc>
      </w:tr>
      <w:tr w:rsidR="0046776D" w:rsidRPr="00E934A7" w14:paraId="0151347E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74E2B399" w14:textId="77777777" w:rsidR="0046776D" w:rsidRPr="0046776D" w:rsidRDefault="0046776D" w:rsidP="00CB416E">
            <w:pPr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810EAD2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No minimo, 1 profissional expert (preferencialmente o dermatologista) dedicado exclusivamente.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C0D460A" w14:textId="77777777" w:rsidR="0046776D" w:rsidRPr="0046776D" w:rsidRDefault="0046776D" w:rsidP="00CB416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color w:val="212121"/>
                <w:lang w:val="pt-BR"/>
              </w:rPr>
              <w:t>HS é uma doença complexa, exigente, que demanda alta dedicação.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44DFFA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Evidência do profissional e sua capacitação, por exemplo participação de eventos de HS, produção científica.</w:t>
            </w:r>
          </w:p>
        </w:tc>
      </w:tr>
      <w:tr w:rsidR="0046776D" w:rsidRPr="00E934A7" w14:paraId="0E01B98A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235781DE" w14:textId="77777777" w:rsidR="0046776D" w:rsidRPr="0046776D" w:rsidRDefault="0046776D" w:rsidP="00CB416E">
            <w:pPr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6F1DEF0C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Treinamentos recorrentes para a equipe do centro.</w:t>
            </w:r>
          </w:p>
        </w:tc>
        <w:tc>
          <w:tcPr>
            <w:tcW w:w="3686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6A689D0D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Necessidade de atualização de conhecimento da equipe.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4A5DDD5B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Certificado ou evidência de participação de cada membro em cursos ou treinamentos.</w:t>
            </w:r>
          </w:p>
        </w:tc>
      </w:tr>
      <w:tr w:rsidR="0046776D" w:rsidRPr="0046776D" w14:paraId="60BFF35F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12" w:space="0" w:color="auto"/>
            </w:tcBorders>
            <w:vAlign w:val="center"/>
          </w:tcPr>
          <w:p w14:paraId="73378F90" w14:textId="77777777" w:rsidR="0046776D" w:rsidRPr="0046776D" w:rsidRDefault="0046776D" w:rsidP="00CB416E">
            <w:pPr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</w:pPr>
            <w:r w:rsidRPr="0046776D">
              <w:rPr>
                <w:b w:val="0"/>
                <w:bCs w:val="0"/>
                <w:i/>
                <w:iCs/>
                <w:lang w:val="pt-BR"/>
              </w:rPr>
              <w:t>Nice to Have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8B7C80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Farmacêutico para reconciliação medicamentosa </w:t>
            </w:r>
          </w:p>
        </w:tc>
        <w:tc>
          <w:tcPr>
            <w:tcW w:w="368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33417A3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Relevante para quando o paciente utiliza múltiplas drogas. Melhor aplicável em clínicas de terapia assistida.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7B9996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Registro COFEM.</w:t>
            </w:r>
          </w:p>
        </w:tc>
      </w:tr>
      <w:tr w:rsidR="0046776D" w:rsidRPr="0046776D" w14:paraId="70B429E6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3EE86239" w14:textId="77777777" w:rsidR="0046776D" w:rsidRPr="0046776D" w:rsidRDefault="0046776D" w:rsidP="00CB416E">
            <w:pPr>
              <w:rPr>
                <w:rFonts w:eastAsia="Segoe UI"/>
                <w:i/>
                <w:iCs/>
                <w:color w:val="212121"/>
                <w:lang w:val="pt-BR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740CEEF5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Concierge/ Primary nurse/ R1 </w:t>
            </w:r>
          </w:p>
        </w:tc>
        <w:tc>
          <w:tcPr>
            <w:tcW w:w="3686" w:type="dxa"/>
            <w:shd w:val="clear" w:color="auto" w:fill="E7E6E6" w:themeFill="background2"/>
            <w:vAlign w:val="center"/>
          </w:tcPr>
          <w:p w14:paraId="2F382D6F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Profissional referência para contatos dos pacientes.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1933BBB1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Organograma da instituição.</w:t>
            </w:r>
          </w:p>
        </w:tc>
      </w:tr>
      <w:tr w:rsidR="0046776D" w:rsidRPr="0046776D" w14:paraId="01A4151D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4AB84A06" w14:textId="77777777" w:rsidR="0046776D" w:rsidRPr="0046776D" w:rsidRDefault="0046776D" w:rsidP="00CB416E">
            <w:pPr>
              <w:rPr>
                <w:i/>
                <w:iCs/>
                <w:lang w:val="pt-B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AFCB08F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Reunião anual para oficialização e revisão de dados 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B0E1266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 xml:space="preserve">Reunião de relevância anual, também pode ser a reunião final das reuniões trimestrais.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E4B297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Ata anual.</w:t>
            </w:r>
          </w:p>
        </w:tc>
      </w:tr>
    </w:tbl>
    <w:p w14:paraId="222C0F01" w14:textId="623AE692" w:rsidR="00FD3D5B" w:rsidRPr="0046776D" w:rsidRDefault="00FD3D5B" w:rsidP="0046776D">
      <w:pPr>
        <w:jc w:val="both"/>
        <w:rPr>
          <w:rFonts w:eastAsia="MS Gothic"/>
          <w:color w:val="2F5496"/>
          <w:sz w:val="26"/>
          <w:szCs w:val="26"/>
          <w:lang w:val="pt-BR"/>
        </w:rPr>
      </w:pPr>
      <w:r w:rsidRPr="0046776D">
        <w:rPr>
          <w:rFonts w:eastAsia="Calibri"/>
          <w:sz w:val="22"/>
          <w:szCs w:val="22"/>
          <w:lang w:val="pt-BR"/>
        </w:rPr>
        <w:tab/>
      </w:r>
    </w:p>
    <w:p w14:paraId="0FEB1D39" w14:textId="639BE712" w:rsidR="00FD3D5B" w:rsidRPr="0046776D" w:rsidRDefault="00FD3D5B" w:rsidP="00FD3D5B">
      <w:pPr>
        <w:keepNext/>
        <w:spacing w:before="40" w:after="0"/>
        <w:outlineLvl w:val="1"/>
        <w:rPr>
          <w:rFonts w:eastAsia="Calibri"/>
          <w:color w:val="2F5496"/>
          <w:sz w:val="26"/>
          <w:szCs w:val="26"/>
          <w:lang w:val="pt-BR"/>
        </w:rPr>
      </w:pPr>
      <w:r w:rsidRPr="0046776D">
        <w:rPr>
          <w:rFonts w:eastAsia="MS Gothic"/>
          <w:color w:val="2F5496"/>
          <w:sz w:val="26"/>
          <w:szCs w:val="26"/>
          <w:lang w:val="pt-BR"/>
        </w:rPr>
        <w:t>6. Gerenciamento</w:t>
      </w:r>
    </w:p>
    <w:tbl>
      <w:tblPr>
        <w:tblStyle w:val="GridTable4-Accent3"/>
        <w:tblW w:w="9351" w:type="dxa"/>
        <w:tblLayout w:type="fixed"/>
        <w:tblLook w:val="06A0" w:firstRow="1" w:lastRow="0" w:firstColumn="1" w:lastColumn="0" w:noHBand="1" w:noVBand="1"/>
      </w:tblPr>
      <w:tblGrid>
        <w:gridCol w:w="704"/>
        <w:gridCol w:w="2268"/>
        <w:gridCol w:w="3119"/>
        <w:gridCol w:w="3260"/>
      </w:tblGrid>
      <w:tr w:rsidR="0046776D" w:rsidRPr="0046776D" w14:paraId="292CB190" w14:textId="77777777" w:rsidTr="00CB41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84F110F" w14:textId="77777777" w:rsidR="0046776D" w:rsidRPr="0046776D" w:rsidRDefault="0046776D" w:rsidP="00CB416E">
            <w:pPr>
              <w:rPr>
                <w:color w:val="212121"/>
                <w:shd w:val="clear" w:color="auto" w:fill="FFFFFF"/>
                <w:lang w:val="pt-BR"/>
              </w:rPr>
            </w:pPr>
            <w:bookmarkStart w:id="0" w:name="_Hlk121732073"/>
            <w:r w:rsidRPr="0046776D">
              <w:rPr>
                <w:rFonts w:eastAsia="Calibri"/>
                <w:color w:val="auto"/>
                <w:lang w:val="pt-BR"/>
              </w:rPr>
              <w:t>REQUISITO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4E50DA" w14:textId="77777777" w:rsidR="0046776D" w:rsidRPr="0046776D" w:rsidRDefault="0046776D" w:rsidP="00CB41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RACIONAL</w:t>
            </w:r>
          </w:p>
        </w:tc>
        <w:tc>
          <w:tcPr>
            <w:tcW w:w="3260" w:type="dxa"/>
            <w:tcBorders>
              <w:left w:val="single" w:sz="4" w:space="0" w:color="FFFFFF" w:themeColor="background1"/>
            </w:tcBorders>
            <w:vAlign w:val="center"/>
          </w:tcPr>
          <w:p w14:paraId="7380A451" w14:textId="77777777" w:rsidR="0046776D" w:rsidRPr="0046776D" w:rsidRDefault="0046776D" w:rsidP="00CB41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ENTREGÁVEL / MENSURÁVEL</w:t>
            </w:r>
          </w:p>
        </w:tc>
      </w:tr>
      <w:tr w:rsidR="0046776D" w:rsidRPr="0046776D" w14:paraId="27F3943F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vAlign w:val="center"/>
          </w:tcPr>
          <w:p w14:paraId="32A497C9" w14:textId="77777777" w:rsidR="0046776D" w:rsidRPr="0046776D" w:rsidRDefault="0046776D" w:rsidP="00CB416E">
            <w:pPr>
              <w:rPr>
                <w:b w:val="0"/>
                <w:bCs w:val="0"/>
                <w:i/>
                <w:iCs/>
                <w:lang w:val="pt-BR"/>
              </w:rPr>
            </w:pPr>
            <w:r w:rsidRPr="0046776D"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  <w:t>Must Have</w:t>
            </w:r>
          </w:p>
        </w:tc>
        <w:tc>
          <w:tcPr>
            <w:tcW w:w="2268" w:type="dxa"/>
            <w:vAlign w:val="center"/>
          </w:tcPr>
          <w:p w14:paraId="6F5FD5E1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Protocolos de periodicidade e ações </w:t>
            </w:r>
          </w:p>
        </w:tc>
        <w:tc>
          <w:tcPr>
            <w:tcW w:w="3119" w:type="dxa"/>
            <w:vAlign w:val="center"/>
          </w:tcPr>
          <w:p w14:paraId="4A9D0D1A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Protocolo próprio da instituição discriminando funções e responsabilidades de cada setor</w:t>
            </w:r>
          </w:p>
        </w:tc>
        <w:tc>
          <w:tcPr>
            <w:tcW w:w="3260" w:type="dxa"/>
            <w:vAlign w:val="center"/>
          </w:tcPr>
          <w:p w14:paraId="060C7BBC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Matriz conferência (checklist)</w:t>
            </w:r>
          </w:p>
        </w:tc>
      </w:tr>
      <w:tr w:rsidR="0046776D" w:rsidRPr="00E934A7" w14:paraId="0465A4F0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468AEA29" w14:textId="77777777" w:rsidR="0046776D" w:rsidRPr="0046776D" w:rsidRDefault="0046776D" w:rsidP="00CB416E">
            <w:pPr>
              <w:rPr>
                <w:i/>
                <w:iCs/>
                <w:lang w:val="pt-BR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A46065A" w14:textId="3038A245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Conhecer consenso brasileiro</w:t>
            </w:r>
            <w:r w:rsidRPr="0046776D">
              <w:rPr>
                <w:rStyle w:val="FootnoteReference"/>
                <w:rFonts w:eastAsia="Calibri"/>
                <w:sz w:val="22"/>
                <w:szCs w:val="22"/>
                <w:lang w:val="pt-BR"/>
              </w:rPr>
              <w:footnoteReference w:id="1"/>
            </w:r>
            <w:r w:rsidRPr="0046776D">
              <w:rPr>
                <w:rFonts w:eastAsia="Times New Roman"/>
                <w:color w:val="212121"/>
                <w:lang w:val="pt-BR" w:eastAsia="pt-BR"/>
              </w:rPr>
              <w:t xml:space="preserve"> ou europeu</w:t>
            </w:r>
            <w:r w:rsidRPr="0046776D">
              <w:rPr>
                <w:rStyle w:val="FootnoteReference"/>
                <w:rFonts w:eastAsia="Calibri"/>
                <w:sz w:val="22"/>
                <w:szCs w:val="22"/>
                <w:lang w:val="pt-BR"/>
              </w:rPr>
              <w:footnoteReference w:id="2"/>
            </w:r>
            <w:r w:rsidRPr="0046776D">
              <w:rPr>
                <w:rFonts w:eastAsia="Times New Roman"/>
                <w:color w:val="212121"/>
                <w:lang w:val="pt-BR" w:eastAsia="pt-BR"/>
              </w:rPr>
              <w:t xml:space="preserve"> de HS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4B6E9445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Necessário embasamento de equipe.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6C3AF248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Disponível para acesso do profissional do setor.</w:t>
            </w:r>
          </w:p>
          <w:p w14:paraId="2C6D9E7B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Registro de ata de que foi discutido.</w:t>
            </w:r>
          </w:p>
        </w:tc>
      </w:tr>
      <w:tr w:rsidR="0046776D" w:rsidRPr="0046776D" w14:paraId="6D66D809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4A752CE8" w14:textId="77777777" w:rsidR="0046776D" w:rsidRPr="0046776D" w:rsidRDefault="0046776D" w:rsidP="00CB416E">
            <w:pPr>
              <w:rPr>
                <w:rFonts w:eastAsia="Segoe UI"/>
                <w:i/>
                <w:iCs/>
                <w:color w:val="212121"/>
                <w:lang w:val="pt-B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C489015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Prontuário em banco de dados eletrônico padronizado facilitando interoperabilidade.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6CC3A43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Prontuário com informações mínimas relevantes que também viabilize a interface entre os centros e viabilizar análises epidemiológicas.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3E404DD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Documentação de:</w:t>
            </w:r>
          </w:p>
          <w:p w14:paraId="0D9B7B0A" w14:textId="77777777" w:rsidR="0046776D" w:rsidRPr="0046776D" w:rsidRDefault="0046776D" w:rsidP="00CB416E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Dados gerais</w:t>
            </w:r>
          </w:p>
          <w:p w14:paraId="20CBDFB7" w14:textId="77777777" w:rsidR="0046776D" w:rsidRPr="0046776D" w:rsidRDefault="0046776D" w:rsidP="00CB416E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Comorbidades</w:t>
            </w:r>
          </w:p>
          <w:p w14:paraId="485221FB" w14:textId="77777777" w:rsidR="0046776D" w:rsidRPr="0046776D" w:rsidRDefault="0046776D" w:rsidP="00CB416E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Doenças associadas</w:t>
            </w:r>
          </w:p>
          <w:p w14:paraId="11EE845C" w14:textId="77777777" w:rsidR="0046776D" w:rsidRPr="0046776D" w:rsidRDefault="0046776D" w:rsidP="00CB416E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Tratamentos prévios e atuais com datas</w:t>
            </w:r>
          </w:p>
          <w:p w14:paraId="06587FAA" w14:textId="77777777" w:rsidR="0046776D" w:rsidRPr="0046776D" w:rsidRDefault="0046776D" w:rsidP="00CB416E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Histórico familiar HS</w:t>
            </w:r>
          </w:p>
          <w:p w14:paraId="0C263FC1" w14:textId="77777777" w:rsidR="0046776D" w:rsidRPr="0046776D" w:rsidRDefault="0046776D" w:rsidP="00CB416E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Tabagismo e dados antropométricos</w:t>
            </w:r>
          </w:p>
          <w:p w14:paraId="32687BEC" w14:textId="77777777" w:rsidR="0046776D" w:rsidRPr="0046776D" w:rsidRDefault="0046776D" w:rsidP="00CB416E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Desfechos clínicos</w:t>
            </w:r>
          </w:p>
        </w:tc>
      </w:tr>
      <w:tr w:rsidR="0046776D" w:rsidRPr="00E934A7" w14:paraId="1EDC5EA4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1D7AC02A" w14:textId="77777777" w:rsidR="0046776D" w:rsidRPr="0046776D" w:rsidRDefault="0046776D" w:rsidP="00CB416E">
            <w:pPr>
              <w:rPr>
                <w:rFonts w:eastAsia="Segoe UI"/>
                <w:i/>
                <w:iCs/>
                <w:color w:val="212121"/>
                <w:lang w:val="pt-B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92ADE82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Fotografia das lesões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CA6CD22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Facilitar avaliação de resposta clínica e evolução do caso, sobretudo para casos com intervenção cirúrgica.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6187C20" w14:textId="77777777" w:rsidR="0046776D" w:rsidRPr="0046776D" w:rsidRDefault="0046776D" w:rsidP="00CB416E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Termo de consentimento para coleta da foto</w:t>
            </w:r>
          </w:p>
          <w:p w14:paraId="645EAB3E" w14:textId="77777777" w:rsidR="0046776D" w:rsidRPr="0046776D" w:rsidRDefault="0046776D" w:rsidP="00CB416E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Imagens armazenadas de forma digital, preferencialmente no prontuário do paciente.</w:t>
            </w:r>
          </w:p>
        </w:tc>
      </w:tr>
      <w:bookmarkEnd w:id="0"/>
    </w:tbl>
    <w:p w14:paraId="18E21EBA" w14:textId="77777777" w:rsidR="00FD3D5B" w:rsidRPr="0046776D" w:rsidRDefault="00FD3D5B">
      <w:pPr>
        <w:rPr>
          <w:rFonts w:eastAsia="MS Gothic"/>
          <w:color w:val="2F5496"/>
          <w:sz w:val="26"/>
          <w:szCs w:val="26"/>
          <w:lang w:val="pt-BR"/>
        </w:rPr>
      </w:pPr>
      <w:r w:rsidRPr="0046776D">
        <w:rPr>
          <w:rFonts w:eastAsia="MS Gothic"/>
          <w:color w:val="2F5496"/>
          <w:sz w:val="26"/>
          <w:szCs w:val="26"/>
          <w:lang w:val="pt-BR"/>
        </w:rPr>
        <w:br w:type="page"/>
      </w:r>
    </w:p>
    <w:p w14:paraId="7130CAB5" w14:textId="1D5D21B0" w:rsidR="00FD3D5B" w:rsidRPr="0046776D" w:rsidRDefault="00FD3D5B" w:rsidP="00FD3D5B">
      <w:pPr>
        <w:keepNext/>
        <w:spacing w:before="40" w:after="0"/>
        <w:outlineLvl w:val="1"/>
        <w:rPr>
          <w:rFonts w:eastAsia="Calibri"/>
          <w:color w:val="2F5496"/>
          <w:sz w:val="26"/>
          <w:szCs w:val="26"/>
          <w:lang w:val="pt-BR"/>
        </w:rPr>
      </w:pPr>
      <w:r w:rsidRPr="0046776D">
        <w:rPr>
          <w:rFonts w:eastAsia="MS Gothic"/>
          <w:color w:val="2F5496"/>
          <w:sz w:val="26"/>
          <w:szCs w:val="26"/>
          <w:lang w:val="pt-BR"/>
        </w:rPr>
        <w:lastRenderedPageBreak/>
        <w:t>7. Métricas durante o diagnóstico</w:t>
      </w:r>
    </w:p>
    <w:tbl>
      <w:tblPr>
        <w:tblStyle w:val="GridTable4-Accent3"/>
        <w:tblW w:w="9351" w:type="dxa"/>
        <w:tblLayout w:type="fixed"/>
        <w:tblLook w:val="06A0" w:firstRow="1" w:lastRow="0" w:firstColumn="1" w:lastColumn="0" w:noHBand="1" w:noVBand="1"/>
      </w:tblPr>
      <w:tblGrid>
        <w:gridCol w:w="704"/>
        <w:gridCol w:w="2268"/>
        <w:gridCol w:w="3119"/>
        <w:gridCol w:w="3260"/>
      </w:tblGrid>
      <w:tr w:rsidR="0046776D" w:rsidRPr="0046776D" w14:paraId="3C6D664A" w14:textId="77777777" w:rsidTr="00CB41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8BB8E74" w14:textId="77777777" w:rsidR="0046776D" w:rsidRPr="0046776D" w:rsidRDefault="0046776D" w:rsidP="00CB416E">
            <w:pPr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REQUISITO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54DA12" w14:textId="77777777" w:rsidR="0046776D" w:rsidRPr="0046776D" w:rsidRDefault="0046776D" w:rsidP="00CB41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RACIONAL</w:t>
            </w:r>
          </w:p>
        </w:tc>
        <w:tc>
          <w:tcPr>
            <w:tcW w:w="3260" w:type="dxa"/>
            <w:tcBorders>
              <w:left w:val="single" w:sz="4" w:space="0" w:color="FFFFFF" w:themeColor="background1"/>
            </w:tcBorders>
            <w:vAlign w:val="center"/>
          </w:tcPr>
          <w:p w14:paraId="183ECDE4" w14:textId="77777777" w:rsidR="0046776D" w:rsidRPr="0046776D" w:rsidRDefault="0046776D" w:rsidP="00CB41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ENTREGÁVEL / MENSURÁVEL</w:t>
            </w:r>
          </w:p>
        </w:tc>
      </w:tr>
      <w:tr w:rsidR="0046776D" w:rsidRPr="00E934A7" w14:paraId="4F9B5581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vAlign w:val="center"/>
          </w:tcPr>
          <w:p w14:paraId="4BFA0324" w14:textId="77777777" w:rsidR="0046776D" w:rsidRPr="0046776D" w:rsidRDefault="0046776D" w:rsidP="00CB416E">
            <w:pPr>
              <w:rPr>
                <w:b w:val="0"/>
                <w:bCs w:val="0"/>
                <w:i/>
                <w:iCs/>
                <w:lang w:val="pt-BR"/>
              </w:rPr>
            </w:pPr>
            <w:r w:rsidRPr="0046776D"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  <w:t>Must Have</w:t>
            </w:r>
          </w:p>
        </w:tc>
        <w:tc>
          <w:tcPr>
            <w:tcW w:w="2268" w:type="dxa"/>
            <w:vAlign w:val="center"/>
          </w:tcPr>
          <w:p w14:paraId="5157693F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Pelo menos uma métrica objetiva e uma subjetivo </w:t>
            </w:r>
          </w:p>
        </w:tc>
        <w:tc>
          <w:tcPr>
            <w:tcW w:w="3119" w:type="dxa"/>
            <w:vAlign w:val="center"/>
          </w:tcPr>
          <w:p w14:paraId="216D88AE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Necessidade de avaliação integral e abrangente.</w:t>
            </w:r>
          </w:p>
        </w:tc>
        <w:tc>
          <w:tcPr>
            <w:tcW w:w="3260" w:type="dxa"/>
            <w:vMerge w:val="restart"/>
            <w:vAlign w:val="center"/>
          </w:tcPr>
          <w:p w14:paraId="0221392E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Evidência da aplicação das escalas na admissão do paciente.</w:t>
            </w:r>
          </w:p>
        </w:tc>
      </w:tr>
      <w:tr w:rsidR="0046776D" w:rsidRPr="00E934A7" w14:paraId="1C4CDB4F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152C0DC2" w14:textId="77777777" w:rsidR="0046776D" w:rsidRPr="0046776D" w:rsidRDefault="0046776D" w:rsidP="00CB416E">
            <w:pPr>
              <w:rPr>
                <w:i/>
                <w:iCs/>
                <w:lang w:val="pt-BR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618986D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DLQI inicial 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089C7C58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Avaliação do impacto na qualidade de vida.</w:t>
            </w:r>
          </w:p>
        </w:tc>
        <w:tc>
          <w:tcPr>
            <w:tcW w:w="3260" w:type="dxa"/>
            <w:vMerge/>
            <w:vAlign w:val="center"/>
          </w:tcPr>
          <w:p w14:paraId="765B0146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</w:p>
        </w:tc>
      </w:tr>
      <w:tr w:rsidR="0046776D" w:rsidRPr="00E934A7" w14:paraId="48C88F02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4B86295C" w14:textId="77777777" w:rsidR="0046776D" w:rsidRPr="0046776D" w:rsidRDefault="0046776D" w:rsidP="00CB416E">
            <w:pPr>
              <w:rPr>
                <w:i/>
                <w:iCs/>
                <w:lang w:val="pt-BR"/>
              </w:rPr>
            </w:pPr>
          </w:p>
        </w:tc>
        <w:tc>
          <w:tcPr>
            <w:tcW w:w="2268" w:type="dxa"/>
            <w:vAlign w:val="center"/>
          </w:tcPr>
          <w:p w14:paraId="74ED8915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Hurley inicial </w:t>
            </w:r>
          </w:p>
        </w:tc>
        <w:tc>
          <w:tcPr>
            <w:tcW w:w="3119" w:type="dxa"/>
            <w:vAlign w:val="center"/>
          </w:tcPr>
          <w:p w14:paraId="57B0E297" w14:textId="0FB30ABD" w:rsidR="0046776D" w:rsidRPr="0046776D" w:rsidRDefault="00482F5C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shd w:val="clear" w:color="auto" w:fill="FFFFFF"/>
                <w:lang w:val="pt"/>
              </w:rPr>
              <w:t>Caracterizar a extensão da doença.</w:t>
            </w:r>
          </w:p>
        </w:tc>
        <w:tc>
          <w:tcPr>
            <w:tcW w:w="3260" w:type="dxa"/>
            <w:vMerge/>
            <w:vAlign w:val="center"/>
          </w:tcPr>
          <w:p w14:paraId="37F18D5A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</w:p>
        </w:tc>
      </w:tr>
      <w:tr w:rsidR="0046776D" w:rsidRPr="00441753" w14:paraId="65C39E7D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51232D59" w14:textId="77777777" w:rsidR="0046776D" w:rsidRPr="0046776D" w:rsidRDefault="0046776D" w:rsidP="00CB416E">
            <w:pPr>
              <w:rPr>
                <w:rFonts w:eastAsia="Segoe UI"/>
                <w:i/>
                <w:iCs/>
                <w:color w:val="212121"/>
                <w:lang w:val="pt-BR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4D8F7F35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IHS4 inicial 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150FDFDC" w14:textId="422F0995" w:rsidR="0046776D" w:rsidRPr="0046776D" w:rsidRDefault="00482F5C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"/>
              </w:rPr>
              <w:t xml:space="preserve">Avaliar dinamicamente a gravidade da </w:t>
            </w:r>
            <w:r>
              <w:rPr>
                <w:color w:val="212121"/>
                <w:lang w:val="pt"/>
              </w:rPr>
              <w:t>HS</w:t>
            </w:r>
            <w:r w:rsidRPr="0046776D">
              <w:rPr>
                <w:color w:val="212121"/>
                <w:lang w:val="pt"/>
              </w:rPr>
              <w:t xml:space="preserve"> em um sistema de pontuação internacional.</w:t>
            </w:r>
          </w:p>
        </w:tc>
        <w:tc>
          <w:tcPr>
            <w:tcW w:w="3260" w:type="dxa"/>
            <w:vMerge/>
            <w:vAlign w:val="center"/>
          </w:tcPr>
          <w:p w14:paraId="1D0BB8F7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</w:p>
        </w:tc>
      </w:tr>
      <w:tr w:rsidR="0046776D" w:rsidRPr="00E934A7" w14:paraId="2D15C5FD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1CA41B8C" w14:textId="77777777" w:rsidR="0046776D" w:rsidRPr="0046776D" w:rsidRDefault="0046776D" w:rsidP="00CB416E">
            <w:pPr>
              <w:rPr>
                <w:rFonts w:eastAsia="Segoe UI"/>
                <w:i/>
                <w:iCs/>
                <w:color w:val="212121"/>
                <w:lang w:val="pt-BR"/>
              </w:rPr>
            </w:pPr>
          </w:p>
        </w:tc>
        <w:tc>
          <w:tcPr>
            <w:tcW w:w="2268" w:type="dxa"/>
            <w:vAlign w:val="center"/>
          </w:tcPr>
          <w:p w14:paraId="5EC1802E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Escala de dor</w:t>
            </w:r>
          </w:p>
        </w:tc>
        <w:tc>
          <w:tcPr>
            <w:tcW w:w="3119" w:type="dxa"/>
            <w:vAlign w:val="center"/>
          </w:tcPr>
          <w:p w14:paraId="405F5900" w14:textId="11DB94A5" w:rsidR="0046776D" w:rsidRPr="0046776D" w:rsidRDefault="00482F5C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shd w:val="clear" w:color="auto" w:fill="FFFFFF"/>
                <w:lang w:val="pt"/>
              </w:rPr>
              <w:t>Para entender certos aspectos da dor de um paciente, incluindo a duração, a gravidade e o tipo de dor.</w:t>
            </w:r>
          </w:p>
        </w:tc>
        <w:tc>
          <w:tcPr>
            <w:tcW w:w="3260" w:type="dxa"/>
            <w:vMerge/>
            <w:vAlign w:val="center"/>
          </w:tcPr>
          <w:p w14:paraId="24E62B3F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</w:p>
        </w:tc>
      </w:tr>
    </w:tbl>
    <w:p w14:paraId="09BF0AB8" w14:textId="6C650506" w:rsidR="00FD3D5B" w:rsidRPr="0046776D" w:rsidRDefault="00FD3D5B" w:rsidP="0046776D">
      <w:pPr>
        <w:jc w:val="both"/>
        <w:rPr>
          <w:rFonts w:eastAsia="Calibri"/>
          <w:sz w:val="22"/>
          <w:szCs w:val="22"/>
          <w:lang w:val="pt-BR"/>
        </w:rPr>
      </w:pPr>
    </w:p>
    <w:p w14:paraId="74769D18" w14:textId="64B83466" w:rsidR="00FD3D5B" w:rsidRPr="0046776D" w:rsidRDefault="00FD3D5B" w:rsidP="00FD3D5B">
      <w:pPr>
        <w:keepNext/>
        <w:spacing w:before="40" w:after="0"/>
        <w:outlineLvl w:val="1"/>
        <w:rPr>
          <w:rFonts w:eastAsia="Calibri"/>
          <w:color w:val="2F5496"/>
          <w:sz w:val="26"/>
          <w:szCs w:val="26"/>
          <w:lang w:val="pt-BR"/>
        </w:rPr>
      </w:pPr>
      <w:r w:rsidRPr="0046776D">
        <w:rPr>
          <w:rFonts w:eastAsia="MS Gothic"/>
          <w:color w:val="2F5496"/>
          <w:sz w:val="26"/>
          <w:szCs w:val="26"/>
          <w:lang w:val="pt-BR"/>
        </w:rPr>
        <w:t>8. Métricas durante o tratamento</w:t>
      </w:r>
    </w:p>
    <w:tbl>
      <w:tblPr>
        <w:tblStyle w:val="GridTable4-Accent3"/>
        <w:tblW w:w="9351" w:type="dxa"/>
        <w:tblLayout w:type="fixed"/>
        <w:tblLook w:val="06A0" w:firstRow="1" w:lastRow="0" w:firstColumn="1" w:lastColumn="0" w:noHBand="1" w:noVBand="1"/>
      </w:tblPr>
      <w:tblGrid>
        <w:gridCol w:w="846"/>
        <w:gridCol w:w="2126"/>
        <w:gridCol w:w="3260"/>
        <w:gridCol w:w="3119"/>
      </w:tblGrid>
      <w:tr w:rsidR="0046776D" w:rsidRPr="0046776D" w14:paraId="61E7FAB7" w14:textId="77777777" w:rsidTr="00CB41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7333929D" w14:textId="77777777" w:rsidR="0046776D" w:rsidRPr="0046776D" w:rsidRDefault="0046776D" w:rsidP="00CB416E">
            <w:pPr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REQUISITO</w:t>
            </w:r>
          </w:p>
        </w:tc>
        <w:tc>
          <w:tcPr>
            <w:tcW w:w="3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8C8A6C" w14:textId="77777777" w:rsidR="0046776D" w:rsidRPr="0046776D" w:rsidRDefault="0046776D" w:rsidP="00CB41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RACIONAL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</w:tcBorders>
            <w:vAlign w:val="center"/>
          </w:tcPr>
          <w:p w14:paraId="56A70E99" w14:textId="77777777" w:rsidR="0046776D" w:rsidRPr="0046776D" w:rsidRDefault="0046776D" w:rsidP="00CB41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ENTREGÁVEL / MENSURÁVEL</w:t>
            </w:r>
          </w:p>
        </w:tc>
      </w:tr>
      <w:tr w:rsidR="0046776D" w:rsidRPr="00E934A7" w14:paraId="4737728F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1B8A3758" w14:textId="77777777" w:rsidR="0046776D" w:rsidRPr="0046776D" w:rsidRDefault="0046776D" w:rsidP="00CB416E">
            <w:pPr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</w:pPr>
            <w:r w:rsidRPr="0046776D"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  <w:t>Must Have</w:t>
            </w:r>
          </w:p>
        </w:tc>
        <w:tc>
          <w:tcPr>
            <w:tcW w:w="2126" w:type="dxa"/>
            <w:vAlign w:val="center"/>
          </w:tcPr>
          <w:p w14:paraId="2079DDEC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IHS4 no mínimo, semestralmente </w:t>
            </w:r>
          </w:p>
        </w:tc>
        <w:tc>
          <w:tcPr>
            <w:tcW w:w="3260" w:type="dxa"/>
            <w:vAlign w:val="center"/>
          </w:tcPr>
          <w:p w14:paraId="7E436DFD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Necessidade de avaliação integral e abrangente</w:t>
            </w:r>
          </w:p>
        </w:tc>
        <w:tc>
          <w:tcPr>
            <w:tcW w:w="3119" w:type="dxa"/>
            <w:vMerge w:val="restart"/>
            <w:vAlign w:val="center"/>
          </w:tcPr>
          <w:p w14:paraId="7BDF7925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Evidência da aplicação das escalas objetivas e subjetivas por meio físico ou digital.</w:t>
            </w:r>
          </w:p>
        </w:tc>
      </w:tr>
      <w:tr w:rsidR="0046776D" w:rsidRPr="0046776D" w14:paraId="3EE7CE96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3532A401" w14:textId="77777777" w:rsidR="0046776D" w:rsidRPr="0046776D" w:rsidRDefault="0046776D" w:rsidP="00CB416E">
            <w:pPr>
              <w:rPr>
                <w:rFonts w:eastAsia="Segoe UI"/>
                <w:i/>
                <w:iCs/>
                <w:color w:val="212121"/>
                <w:lang w:val="pt-BR"/>
              </w:rPr>
            </w:pP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72CA7BD9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Hurley no mínimo, semestralmente 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5CFE2A98" w14:textId="4F9C05F2" w:rsidR="0046776D" w:rsidRPr="0046776D" w:rsidRDefault="00482F5C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"/>
              </w:rPr>
              <w:t>Caracterizar a extensão da doença. E document</w:t>
            </w:r>
            <w:r>
              <w:rPr>
                <w:color w:val="212121"/>
                <w:lang w:val="pt"/>
              </w:rPr>
              <w:t>ar</w:t>
            </w:r>
            <w:r w:rsidRPr="0046776D">
              <w:rPr>
                <w:color w:val="212121"/>
                <w:lang w:val="pt"/>
              </w:rPr>
              <w:t xml:space="preserve"> sua evolução.</w:t>
            </w:r>
          </w:p>
        </w:tc>
        <w:tc>
          <w:tcPr>
            <w:tcW w:w="3119" w:type="dxa"/>
            <w:vMerge/>
            <w:vAlign w:val="center"/>
          </w:tcPr>
          <w:p w14:paraId="1DB4DF50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</w:p>
        </w:tc>
      </w:tr>
      <w:tr w:rsidR="0046776D" w:rsidRPr="00E934A7" w14:paraId="6BB9BCDB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5DED381E" w14:textId="77777777" w:rsidR="0046776D" w:rsidRPr="0046776D" w:rsidRDefault="0046776D" w:rsidP="00CB416E">
            <w:pPr>
              <w:rPr>
                <w:rFonts w:eastAsia="Segoe UI"/>
                <w:i/>
                <w:iCs/>
                <w:color w:val="212121"/>
                <w:lang w:val="pt-BR"/>
              </w:rPr>
            </w:pPr>
          </w:p>
        </w:tc>
        <w:tc>
          <w:tcPr>
            <w:tcW w:w="2126" w:type="dxa"/>
            <w:vAlign w:val="center"/>
          </w:tcPr>
          <w:p w14:paraId="708EB8C1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DLQI no mínimo, semestralmente </w:t>
            </w:r>
          </w:p>
        </w:tc>
        <w:tc>
          <w:tcPr>
            <w:tcW w:w="3260" w:type="dxa"/>
            <w:vAlign w:val="center"/>
          </w:tcPr>
          <w:p w14:paraId="2E52A67F" w14:textId="4C74F78B" w:rsidR="0046776D" w:rsidRPr="0046776D" w:rsidRDefault="00482F5C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"/>
              </w:rPr>
              <w:t>Avaliação do impacto na qualidade de vida e sua evolução.</w:t>
            </w:r>
          </w:p>
        </w:tc>
        <w:tc>
          <w:tcPr>
            <w:tcW w:w="3119" w:type="dxa"/>
            <w:vMerge/>
            <w:vAlign w:val="center"/>
          </w:tcPr>
          <w:p w14:paraId="33CA1CA5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</w:p>
        </w:tc>
      </w:tr>
      <w:tr w:rsidR="0046776D" w:rsidRPr="00E934A7" w14:paraId="1ED18017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4F8F125F" w14:textId="77777777" w:rsidR="0046776D" w:rsidRPr="0046776D" w:rsidRDefault="0046776D" w:rsidP="00CB416E">
            <w:pPr>
              <w:rPr>
                <w:rFonts w:eastAsia="Segoe UI"/>
                <w:i/>
                <w:iCs/>
                <w:color w:val="212121"/>
                <w:lang w:val="pt-BR"/>
              </w:rPr>
            </w:pP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3EC0A73F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Pesquisa de satisfação com o paciente, no mínimo, semestralmente.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7FDCE277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Mensurar a percepção do paciente que frequenta o centro de forma recorrente para identificar aspectos de melhorias.</w:t>
            </w:r>
          </w:p>
        </w:tc>
        <w:tc>
          <w:tcPr>
            <w:tcW w:w="3119" w:type="dxa"/>
            <w:vMerge/>
            <w:vAlign w:val="center"/>
          </w:tcPr>
          <w:p w14:paraId="57E8F37A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</w:p>
        </w:tc>
      </w:tr>
      <w:tr w:rsidR="00E934A7" w:rsidRPr="00E934A7" w14:paraId="1DA9BE36" w14:textId="77777777" w:rsidTr="00E934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66D37604" w14:textId="6E43B77B" w:rsidR="00E934A7" w:rsidRPr="0046776D" w:rsidRDefault="00E934A7" w:rsidP="00E934A7">
            <w:pPr>
              <w:rPr>
                <w:rFonts w:eastAsia="Segoe UI"/>
                <w:i/>
                <w:iCs/>
                <w:color w:val="212121"/>
                <w:lang w:val="pt-BR"/>
              </w:rPr>
            </w:pPr>
            <w:r w:rsidRPr="00CF5A3A">
              <w:rPr>
                <w:rFonts w:eastAsia="Segoe UI" w:cstheme="minorHAnsi"/>
                <w:b w:val="0"/>
                <w:bCs w:val="0"/>
                <w:i/>
                <w:iCs/>
                <w:color w:val="212121"/>
              </w:rPr>
              <w:t>Nice to have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96353F3" w14:textId="3368C49A" w:rsidR="00E934A7" w:rsidRPr="00E934A7" w:rsidRDefault="00E934A7" w:rsidP="00E93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CF5A3A">
              <w:rPr>
                <w:color w:val="212121"/>
                <w:lang w:val="pt"/>
              </w:rPr>
              <w:t xml:space="preserve">Outros </w:t>
            </w:r>
            <w:r>
              <w:rPr>
                <w:color w:val="212121"/>
                <w:lang w:val="pt"/>
              </w:rPr>
              <w:t>desfechos</w:t>
            </w:r>
            <w:r w:rsidRPr="00CF5A3A">
              <w:rPr>
                <w:color w:val="212121"/>
                <w:lang w:val="pt"/>
              </w:rPr>
              <w:t xml:space="preserve"> relacionados ao médico como número e tipos de cicatrizes (atróficas, hipertróficas, discrômicas)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298875D" w14:textId="61C8DD7D" w:rsidR="00E934A7" w:rsidRPr="00E934A7" w:rsidRDefault="00E934A7" w:rsidP="00E93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>
              <w:rPr>
                <w:color w:val="212121"/>
                <w:lang w:val="pt"/>
              </w:rPr>
              <w:t>Medir e monitorar a</w:t>
            </w:r>
            <w:r w:rsidRPr="00CF5A3A">
              <w:rPr>
                <w:color w:val="212121"/>
                <w:lang w:val="pt"/>
              </w:rPr>
              <w:t xml:space="preserve"> progressão da doença</w:t>
            </w:r>
            <w:r>
              <w:rPr>
                <w:color w:val="212121"/>
                <w:lang w:val="pt"/>
              </w:rPr>
              <w:t>.</w:t>
            </w:r>
          </w:p>
        </w:tc>
        <w:tc>
          <w:tcPr>
            <w:tcW w:w="3119" w:type="dxa"/>
            <w:vMerge w:val="restart"/>
            <w:vAlign w:val="center"/>
          </w:tcPr>
          <w:p w14:paraId="408DDED1" w14:textId="6683394E" w:rsidR="00E934A7" w:rsidRPr="00E934A7" w:rsidRDefault="00E934A7" w:rsidP="00E93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Evidência da aplicação das escalas objetivas e subjetivas por meio físico ou digital.</w:t>
            </w:r>
          </w:p>
        </w:tc>
      </w:tr>
      <w:tr w:rsidR="00E934A7" w:rsidRPr="00E934A7" w14:paraId="69EAA972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1094E0E1" w14:textId="77777777" w:rsidR="00E934A7" w:rsidRPr="00E934A7" w:rsidRDefault="00E934A7" w:rsidP="00E934A7">
            <w:pPr>
              <w:rPr>
                <w:rFonts w:eastAsia="Segoe UI"/>
                <w:i/>
                <w:iCs/>
                <w:color w:val="212121"/>
                <w:lang w:val="pt-BR"/>
              </w:rPr>
            </w:pP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3A83DC13" w14:textId="7C3D841A" w:rsidR="00E934A7" w:rsidRPr="00E934A7" w:rsidRDefault="00E934A7" w:rsidP="00E93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CF5A3A">
              <w:rPr>
                <w:color w:val="212121"/>
                <w:lang w:val="pt"/>
              </w:rPr>
              <w:t>Outros desfechos relacionados ao paciente, como WPAI, HADS, NRS para dor e prurido,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6F9E918D" w14:textId="63B77765" w:rsidR="00E934A7" w:rsidRPr="00E934A7" w:rsidRDefault="00E934A7" w:rsidP="00E93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>
              <w:rPr>
                <w:color w:val="212121"/>
                <w:lang w:val="pt"/>
              </w:rPr>
              <w:t xml:space="preserve">Medir e monitorar o impacto da </w:t>
            </w:r>
            <w:r w:rsidRPr="00CF5A3A">
              <w:rPr>
                <w:color w:val="212121"/>
                <w:lang w:val="pt"/>
              </w:rPr>
              <w:t>doença</w:t>
            </w:r>
            <w:r>
              <w:rPr>
                <w:color w:val="212121"/>
                <w:lang w:val="pt"/>
              </w:rPr>
              <w:t>.</w:t>
            </w:r>
          </w:p>
        </w:tc>
        <w:tc>
          <w:tcPr>
            <w:tcW w:w="3119" w:type="dxa"/>
            <w:vMerge/>
            <w:vAlign w:val="center"/>
          </w:tcPr>
          <w:p w14:paraId="3142C775" w14:textId="77777777" w:rsidR="00E934A7" w:rsidRPr="00E934A7" w:rsidRDefault="00E934A7" w:rsidP="00E93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</w:p>
        </w:tc>
      </w:tr>
    </w:tbl>
    <w:p w14:paraId="2F6C9241" w14:textId="77777777" w:rsidR="0046776D" w:rsidRPr="00E934A7" w:rsidRDefault="0046776D">
      <w:pPr>
        <w:rPr>
          <w:rFonts w:eastAsia="MS Gothic"/>
          <w:color w:val="2F5496"/>
          <w:sz w:val="26"/>
          <w:szCs w:val="26"/>
          <w:lang w:val="pt-BR"/>
        </w:rPr>
      </w:pPr>
    </w:p>
    <w:p w14:paraId="1E6C7D1E" w14:textId="573E406A" w:rsidR="00FD3D5B" w:rsidRPr="0046776D" w:rsidRDefault="00FD3D5B" w:rsidP="00FD3D5B">
      <w:pPr>
        <w:keepNext/>
        <w:spacing w:before="40" w:after="0"/>
        <w:outlineLvl w:val="1"/>
        <w:rPr>
          <w:rFonts w:eastAsia="MS Gothic"/>
          <w:color w:val="2F5496"/>
          <w:sz w:val="26"/>
          <w:szCs w:val="26"/>
          <w:lang w:val="pt-BR"/>
        </w:rPr>
      </w:pPr>
      <w:r w:rsidRPr="0046776D">
        <w:rPr>
          <w:rFonts w:eastAsia="MS Gothic"/>
          <w:color w:val="2F5496"/>
          <w:sz w:val="26"/>
          <w:szCs w:val="26"/>
          <w:lang w:val="pt-BR"/>
        </w:rPr>
        <w:t>9. Awareness and advocacy</w:t>
      </w:r>
    </w:p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704"/>
        <w:gridCol w:w="2039"/>
        <w:gridCol w:w="3348"/>
        <w:gridCol w:w="3259"/>
      </w:tblGrid>
      <w:tr w:rsidR="0046776D" w:rsidRPr="0046776D" w14:paraId="1C196C0C" w14:textId="77777777" w:rsidTr="00CB41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15D5B5" w14:textId="77777777" w:rsidR="0046776D" w:rsidRPr="0046776D" w:rsidRDefault="0046776D" w:rsidP="00CB416E">
            <w:pPr>
              <w:rPr>
                <w:color w:val="212121"/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REQUISITO</w:t>
            </w:r>
          </w:p>
        </w:tc>
        <w:tc>
          <w:tcPr>
            <w:tcW w:w="334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B457F8" w14:textId="77777777" w:rsidR="0046776D" w:rsidRPr="0046776D" w:rsidRDefault="0046776D" w:rsidP="00CB41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RACIONAL</w:t>
            </w:r>
          </w:p>
        </w:tc>
        <w:tc>
          <w:tcPr>
            <w:tcW w:w="3259" w:type="dxa"/>
            <w:tcBorders>
              <w:left w:val="single" w:sz="4" w:space="0" w:color="FFFFFF" w:themeColor="background1"/>
            </w:tcBorders>
            <w:vAlign w:val="center"/>
          </w:tcPr>
          <w:p w14:paraId="2F9FAF6B" w14:textId="77777777" w:rsidR="0046776D" w:rsidRPr="0046776D" w:rsidRDefault="0046776D" w:rsidP="00CB41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ENTREGÁVEL / MENSURÁVEL</w:t>
            </w:r>
          </w:p>
        </w:tc>
      </w:tr>
      <w:tr w:rsidR="0046776D" w:rsidRPr="00E934A7" w14:paraId="4F8BEB11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vAlign w:val="center"/>
          </w:tcPr>
          <w:p w14:paraId="1652C97A" w14:textId="77777777" w:rsidR="0046776D" w:rsidRPr="0046776D" w:rsidRDefault="0046776D" w:rsidP="00CB416E">
            <w:pPr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</w:pPr>
            <w:r w:rsidRPr="0046776D"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  <w:t>Must Have</w:t>
            </w:r>
          </w:p>
        </w:tc>
        <w:tc>
          <w:tcPr>
            <w:tcW w:w="2039" w:type="dxa"/>
            <w:vAlign w:val="center"/>
          </w:tcPr>
          <w:p w14:paraId="0107FAE2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Presença ativa em redes sociais </w:t>
            </w:r>
          </w:p>
        </w:tc>
        <w:tc>
          <w:tcPr>
            <w:tcW w:w="3348" w:type="dxa"/>
            <w:vAlign w:val="center"/>
          </w:tcPr>
          <w:p w14:paraId="2A304E00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Divulgar e buscar diagnóstico precoce.</w:t>
            </w:r>
          </w:p>
        </w:tc>
        <w:tc>
          <w:tcPr>
            <w:tcW w:w="3259" w:type="dxa"/>
            <w:vAlign w:val="center"/>
          </w:tcPr>
          <w:p w14:paraId="1A2D1BB0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Evidência de perfis em redes sociais com alguma recorrência de postagens.</w:t>
            </w:r>
          </w:p>
        </w:tc>
      </w:tr>
      <w:tr w:rsidR="0046776D" w:rsidRPr="00E934A7" w14:paraId="72AB70E1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45C5CF3E" w14:textId="77777777" w:rsidR="0046776D" w:rsidRPr="0046776D" w:rsidRDefault="0046776D" w:rsidP="00CB416E">
            <w:pPr>
              <w:rPr>
                <w:lang w:val="pt-BR"/>
              </w:rPr>
            </w:pPr>
          </w:p>
        </w:tc>
        <w:tc>
          <w:tcPr>
            <w:tcW w:w="2039" w:type="dxa"/>
            <w:shd w:val="clear" w:color="auto" w:fill="E7E6E6" w:themeFill="background2"/>
            <w:vAlign w:val="center"/>
          </w:tcPr>
          <w:p w14:paraId="50AC5A6F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Site próprio do centro de excelência</w:t>
            </w:r>
          </w:p>
        </w:tc>
        <w:tc>
          <w:tcPr>
            <w:tcW w:w="3348" w:type="dxa"/>
            <w:shd w:val="clear" w:color="auto" w:fill="E7E6E6" w:themeFill="background2"/>
            <w:vAlign w:val="center"/>
          </w:tcPr>
          <w:p w14:paraId="7F163727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Facilitar que paciente encontre centros regionais</w:t>
            </w:r>
          </w:p>
        </w:tc>
        <w:tc>
          <w:tcPr>
            <w:tcW w:w="3259" w:type="dxa"/>
            <w:shd w:val="clear" w:color="auto" w:fill="E7E6E6" w:themeFill="background2"/>
            <w:vAlign w:val="center"/>
          </w:tcPr>
          <w:p w14:paraId="124EC36A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Endereço do site e evidência de que o site está no ar.</w:t>
            </w:r>
          </w:p>
        </w:tc>
      </w:tr>
      <w:tr w:rsidR="0046776D" w:rsidRPr="00E934A7" w14:paraId="34BF21D8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36164A7F" w14:textId="77777777" w:rsidR="0046776D" w:rsidRPr="0046776D" w:rsidRDefault="0046776D" w:rsidP="00CB416E">
            <w:pPr>
              <w:rPr>
                <w:lang w:val="pt-BR"/>
              </w:rPr>
            </w:pPr>
          </w:p>
        </w:tc>
        <w:tc>
          <w:tcPr>
            <w:tcW w:w="2039" w:type="dxa"/>
            <w:vAlign w:val="center"/>
          </w:tcPr>
          <w:p w14:paraId="1034AD33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Eventos de treinamento para profissionais de outros serviços </w:t>
            </w:r>
          </w:p>
        </w:tc>
        <w:tc>
          <w:tcPr>
            <w:tcW w:w="3348" w:type="dxa"/>
            <w:vAlign w:val="center"/>
          </w:tcPr>
          <w:p w14:paraId="4FE546CE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Necessidade de atualizar e capacitar novos especialistas em HS, bem como gerar divulgação.</w:t>
            </w:r>
          </w:p>
        </w:tc>
        <w:tc>
          <w:tcPr>
            <w:tcW w:w="3259" w:type="dxa"/>
            <w:vAlign w:val="center"/>
          </w:tcPr>
          <w:p w14:paraId="29DA3F67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Evidência de, pelo menos, um evento de treinamento anual sobre HS.</w:t>
            </w:r>
          </w:p>
        </w:tc>
      </w:tr>
      <w:tr w:rsidR="0046776D" w:rsidRPr="0046776D" w14:paraId="1E2E121D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238223A0" w14:textId="77777777" w:rsidR="0046776D" w:rsidRPr="0046776D" w:rsidRDefault="0046776D" w:rsidP="00CB416E">
            <w:pPr>
              <w:rPr>
                <w:lang w:val="pt-BR"/>
              </w:rPr>
            </w:pPr>
          </w:p>
        </w:tc>
        <w:tc>
          <w:tcPr>
            <w:tcW w:w="2039" w:type="dxa"/>
            <w:shd w:val="clear" w:color="auto" w:fill="E7E6E6" w:themeFill="background2"/>
            <w:vAlign w:val="center"/>
          </w:tcPr>
          <w:p w14:paraId="529D87E4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Ofertar conteúdo para pacientes (e.g., e-books, carilhas vídeos, estudos de casos) </w:t>
            </w:r>
          </w:p>
        </w:tc>
        <w:tc>
          <w:tcPr>
            <w:tcW w:w="3348" w:type="dxa"/>
            <w:shd w:val="clear" w:color="auto" w:fill="E7E6E6" w:themeFill="background2"/>
            <w:vAlign w:val="center"/>
          </w:tcPr>
          <w:p w14:paraId="00731CB5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Complementar a orientação de pacientes e incentivar a manutenção do vínculo com o centro.</w:t>
            </w:r>
          </w:p>
        </w:tc>
        <w:tc>
          <w:tcPr>
            <w:tcW w:w="3259" w:type="dxa"/>
            <w:shd w:val="clear" w:color="auto" w:fill="E7E6E6" w:themeFill="background2"/>
            <w:vAlign w:val="center"/>
          </w:tcPr>
          <w:p w14:paraId="5B210E4A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Evidência dos materiais criados.</w:t>
            </w:r>
          </w:p>
        </w:tc>
      </w:tr>
      <w:tr w:rsidR="0046776D" w:rsidRPr="00E934A7" w14:paraId="187E7B83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6879B0AF" w14:textId="77777777" w:rsidR="0046776D" w:rsidRPr="0046776D" w:rsidRDefault="0046776D" w:rsidP="00CB416E">
            <w:pPr>
              <w:rPr>
                <w:lang w:val="pt-BR"/>
              </w:rPr>
            </w:pPr>
          </w:p>
        </w:tc>
        <w:tc>
          <w:tcPr>
            <w:tcW w:w="2039" w:type="dxa"/>
            <w:vAlign w:val="center"/>
          </w:tcPr>
          <w:p w14:paraId="1F7C14B9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Promoção de eventos dedicados a HS </w:t>
            </w:r>
          </w:p>
        </w:tc>
        <w:tc>
          <w:tcPr>
            <w:tcW w:w="3348" w:type="dxa"/>
            <w:vAlign w:val="center"/>
          </w:tcPr>
          <w:p w14:paraId="7633CD4D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Necessidade de provocar  awareness e divulgação.</w:t>
            </w:r>
          </w:p>
        </w:tc>
        <w:tc>
          <w:tcPr>
            <w:tcW w:w="3259" w:type="dxa"/>
            <w:vAlign w:val="center"/>
          </w:tcPr>
          <w:p w14:paraId="3C5809D8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Evidência de, pelo menos, um evento anual sobre HS aberto a público não especialista.</w:t>
            </w:r>
          </w:p>
        </w:tc>
      </w:tr>
      <w:tr w:rsidR="0046776D" w:rsidRPr="00E934A7" w14:paraId="5F97B563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4755147A" w14:textId="77777777" w:rsidR="0046776D" w:rsidRPr="0046776D" w:rsidRDefault="0046776D" w:rsidP="00CB416E">
            <w:pPr>
              <w:rPr>
                <w:lang w:val="pt-BR"/>
              </w:rPr>
            </w:pPr>
          </w:p>
        </w:tc>
        <w:tc>
          <w:tcPr>
            <w:tcW w:w="203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5FF5587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Serviço de educação e orientação de pacientes (e.g. direitos, acesso) </w:t>
            </w:r>
          </w:p>
        </w:tc>
        <w:tc>
          <w:tcPr>
            <w:tcW w:w="33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F80E147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Canal de informação para paciente, incluindo redes sociais, cartilhas, mailling, grupos no whatsapp. Preferencialmente, uma hotline.</w:t>
            </w:r>
          </w:p>
        </w:tc>
        <w:tc>
          <w:tcPr>
            <w:tcW w:w="325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4F3457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Evidência de ações realizadas e de que segue vigente e disponível aos pacientes.</w:t>
            </w:r>
          </w:p>
        </w:tc>
      </w:tr>
      <w:tr w:rsidR="0046776D" w:rsidRPr="00E934A7" w14:paraId="2C8E5518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4" w:space="0" w:color="auto"/>
            </w:tcBorders>
            <w:vAlign w:val="center"/>
          </w:tcPr>
          <w:p w14:paraId="5A167141" w14:textId="77777777" w:rsidR="0046776D" w:rsidRPr="0046776D" w:rsidRDefault="0046776D" w:rsidP="00CB416E">
            <w:pPr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</w:pPr>
            <w:r w:rsidRPr="0046776D">
              <w:rPr>
                <w:b w:val="0"/>
                <w:bCs w:val="0"/>
                <w:i/>
                <w:iCs/>
                <w:lang w:val="pt-BR"/>
              </w:rPr>
              <w:t>Nice to Have</w:t>
            </w:r>
          </w:p>
        </w:tc>
        <w:tc>
          <w:tcPr>
            <w:tcW w:w="2039" w:type="dxa"/>
            <w:tcBorders>
              <w:top w:val="single" w:sz="4" w:space="0" w:color="auto"/>
            </w:tcBorders>
            <w:vAlign w:val="center"/>
          </w:tcPr>
          <w:p w14:paraId="2A039FBC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Divulgação dos centros para toda classe médica </w:t>
            </w:r>
          </w:p>
        </w:tc>
        <w:tc>
          <w:tcPr>
            <w:tcW w:w="3348" w:type="dxa"/>
            <w:tcBorders>
              <w:top w:val="single" w:sz="4" w:space="0" w:color="auto"/>
            </w:tcBorders>
            <w:vAlign w:val="center"/>
          </w:tcPr>
          <w:p w14:paraId="6813AFF5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Participação com outras especialidades – apresentar HS em outros simpósios, congressos e eventos de especialidades que não apenas dermatologia.</w:t>
            </w:r>
          </w:p>
        </w:tc>
        <w:tc>
          <w:tcPr>
            <w:tcW w:w="3259" w:type="dxa"/>
            <w:tcBorders>
              <w:top w:val="single" w:sz="4" w:space="0" w:color="auto"/>
            </w:tcBorders>
            <w:vAlign w:val="center"/>
          </w:tcPr>
          <w:p w14:paraId="565240D7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Evidência de divulgações realizadas com frequência, no mínimo, anual.</w:t>
            </w:r>
          </w:p>
        </w:tc>
      </w:tr>
      <w:tr w:rsidR="0046776D" w:rsidRPr="00E934A7" w14:paraId="14D4EE02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6B633D27" w14:textId="77777777" w:rsidR="0046776D" w:rsidRPr="0046776D" w:rsidRDefault="0046776D" w:rsidP="00CB416E">
            <w:pPr>
              <w:rPr>
                <w:lang w:val="pt-BR"/>
              </w:rPr>
            </w:pPr>
          </w:p>
        </w:tc>
        <w:tc>
          <w:tcPr>
            <w:tcW w:w="2039" w:type="dxa"/>
            <w:shd w:val="clear" w:color="auto" w:fill="E7E6E6" w:themeFill="background2"/>
            <w:vAlign w:val="center"/>
          </w:tcPr>
          <w:p w14:paraId="592DED4A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Divulgação em mídia local ou regional </w:t>
            </w:r>
          </w:p>
        </w:tc>
        <w:tc>
          <w:tcPr>
            <w:tcW w:w="3348" w:type="dxa"/>
            <w:shd w:val="clear" w:color="auto" w:fill="E7E6E6" w:themeFill="background2"/>
            <w:vAlign w:val="center"/>
          </w:tcPr>
          <w:p w14:paraId="51F50DEB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 xml:space="preserve">Necessidade de provocar  awareness e divulgação. Preferencialmente, presença em eventos lives e interação com comunicadores locais ativos, como rádio, TV e mídia local. </w:t>
            </w:r>
          </w:p>
        </w:tc>
        <w:tc>
          <w:tcPr>
            <w:tcW w:w="3259" w:type="dxa"/>
            <w:shd w:val="clear" w:color="auto" w:fill="E7E6E6" w:themeFill="background2"/>
            <w:vAlign w:val="center"/>
          </w:tcPr>
          <w:p w14:paraId="4123C8A3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Evidência de comunicações realizadas com frequência, no mínimo, anual.</w:t>
            </w:r>
          </w:p>
        </w:tc>
      </w:tr>
    </w:tbl>
    <w:p w14:paraId="6FEBF50A" w14:textId="5D4C1819" w:rsidR="00FD3D5B" w:rsidRPr="0046776D" w:rsidRDefault="00FD3D5B" w:rsidP="0046776D">
      <w:pPr>
        <w:jc w:val="both"/>
        <w:rPr>
          <w:rFonts w:eastAsia="Calibri"/>
          <w:sz w:val="22"/>
          <w:szCs w:val="22"/>
          <w:lang w:val="pt-BR"/>
        </w:rPr>
      </w:pPr>
    </w:p>
    <w:p w14:paraId="5AA60B13" w14:textId="307ABE86" w:rsidR="00FD3D5B" w:rsidRPr="0046776D" w:rsidRDefault="00FD3D5B" w:rsidP="00FD3D5B">
      <w:pPr>
        <w:keepNext/>
        <w:spacing w:before="40" w:after="0"/>
        <w:outlineLvl w:val="1"/>
        <w:rPr>
          <w:rFonts w:eastAsia="Calibri"/>
          <w:color w:val="2F5496"/>
          <w:sz w:val="26"/>
          <w:szCs w:val="26"/>
          <w:lang w:val="pt-BR"/>
        </w:rPr>
      </w:pPr>
      <w:r w:rsidRPr="0046776D">
        <w:rPr>
          <w:rFonts w:eastAsia="MS Gothic"/>
          <w:color w:val="2F5496"/>
          <w:sz w:val="26"/>
          <w:szCs w:val="26"/>
          <w:lang w:val="pt-BR"/>
        </w:rPr>
        <w:t>10. Pesquisa e educação</w:t>
      </w:r>
    </w:p>
    <w:tbl>
      <w:tblPr>
        <w:tblStyle w:val="GridTable4-Accent3"/>
        <w:tblW w:w="9351" w:type="dxa"/>
        <w:tblLayout w:type="fixed"/>
        <w:tblLook w:val="06A0" w:firstRow="1" w:lastRow="0" w:firstColumn="1" w:lastColumn="0" w:noHBand="1" w:noVBand="1"/>
      </w:tblPr>
      <w:tblGrid>
        <w:gridCol w:w="704"/>
        <w:gridCol w:w="2552"/>
        <w:gridCol w:w="2976"/>
        <w:gridCol w:w="3119"/>
      </w:tblGrid>
      <w:tr w:rsidR="0046776D" w:rsidRPr="0046776D" w14:paraId="1B2C7995" w14:textId="77777777" w:rsidTr="00CB41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E37FBD7" w14:textId="77777777" w:rsidR="0046776D" w:rsidRPr="0046776D" w:rsidRDefault="0046776D" w:rsidP="00CB416E">
            <w:pPr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REQUISITO</w:t>
            </w:r>
          </w:p>
        </w:tc>
        <w:tc>
          <w:tcPr>
            <w:tcW w:w="29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C53421" w14:textId="77777777" w:rsidR="0046776D" w:rsidRPr="0046776D" w:rsidRDefault="0046776D" w:rsidP="00CB41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RACIONAL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</w:tcBorders>
            <w:vAlign w:val="center"/>
          </w:tcPr>
          <w:p w14:paraId="7C6DCBB2" w14:textId="77777777" w:rsidR="0046776D" w:rsidRPr="0046776D" w:rsidRDefault="0046776D" w:rsidP="00CB41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46776D">
              <w:rPr>
                <w:rFonts w:eastAsia="Calibri"/>
                <w:color w:val="auto"/>
                <w:lang w:val="pt-BR"/>
              </w:rPr>
              <w:t>ENTREGÁVEL / MENSURÁVEL</w:t>
            </w:r>
          </w:p>
        </w:tc>
      </w:tr>
      <w:tr w:rsidR="0046776D" w:rsidRPr="0046776D" w14:paraId="21F25C26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vAlign w:val="center"/>
          </w:tcPr>
          <w:p w14:paraId="1440FDCE" w14:textId="77777777" w:rsidR="0046776D" w:rsidRPr="0046776D" w:rsidRDefault="0046776D" w:rsidP="00CB416E">
            <w:pPr>
              <w:rPr>
                <w:b w:val="0"/>
                <w:bCs w:val="0"/>
                <w:i/>
                <w:iCs/>
                <w:lang w:val="pt-BR"/>
              </w:rPr>
            </w:pPr>
            <w:r w:rsidRPr="0046776D">
              <w:rPr>
                <w:b w:val="0"/>
                <w:bCs w:val="0"/>
                <w:i/>
                <w:iCs/>
                <w:lang w:val="pt-BR"/>
              </w:rPr>
              <w:t>Nice to Have</w:t>
            </w:r>
          </w:p>
        </w:tc>
        <w:tc>
          <w:tcPr>
            <w:tcW w:w="2552" w:type="dxa"/>
            <w:vAlign w:val="center"/>
          </w:tcPr>
          <w:p w14:paraId="1C5595EA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Participação em registros de dados</w:t>
            </w:r>
          </w:p>
        </w:tc>
        <w:tc>
          <w:tcPr>
            <w:tcW w:w="2976" w:type="dxa"/>
            <w:vAlign w:val="center"/>
          </w:tcPr>
          <w:p w14:paraId="1A64EFD4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Relevância na contribuição com dados para centralização em registros.</w:t>
            </w:r>
          </w:p>
        </w:tc>
        <w:tc>
          <w:tcPr>
            <w:tcW w:w="3119" w:type="dxa"/>
            <w:vAlign w:val="center"/>
          </w:tcPr>
          <w:p w14:paraId="2D5145E0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Documentação comprovando participação.</w:t>
            </w:r>
          </w:p>
        </w:tc>
      </w:tr>
      <w:tr w:rsidR="0046776D" w:rsidRPr="00E934A7" w14:paraId="377B7BF8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69C5D300" w14:textId="77777777" w:rsidR="0046776D" w:rsidRPr="0046776D" w:rsidRDefault="0046776D" w:rsidP="00CB416E">
            <w:pPr>
              <w:rPr>
                <w:b w:val="0"/>
                <w:bCs w:val="0"/>
                <w:i/>
                <w:iCs/>
                <w:lang w:val="pt-BR"/>
              </w:rPr>
            </w:pP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653CA5DA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Programas acadêmicos internos</w:t>
            </w:r>
          </w:p>
        </w:tc>
        <w:tc>
          <w:tcPr>
            <w:tcW w:w="2976" w:type="dxa"/>
            <w:shd w:val="clear" w:color="auto" w:fill="E7E6E6" w:themeFill="background2"/>
            <w:vAlign w:val="center"/>
          </w:tcPr>
          <w:p w14:paraId="62B389E3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Formação e educação e profissionais.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1CBDC6AC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Documentação ou política interna correspondente e histórico de realização.</w:t>
            </w:r>
          </w:p>
        </w:tc>
      </w:tr>
      <w:tr w:rsidR="0046776D" w:rsidRPr="00E934A7" w14:paraId="7CCFA3EA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174F9783" w14:textId="77777777" w:rsidR="0046776D" w:rsidRPr="0046776D" w:rsidRDefault="0046776D" w:rsidP="00CB416E">
            <w:pPr>
              <w:rPr>
                <w:b w:val="0"/>
                <w:bCs w:val="0"/>
                <w:i/>
                <w:iCs/>
                <w:lang w:val="pt-BR"/>
              </w:rPr>
            </w:pPr>
          </w:p>
        </w:tc>
        <w:tc>
          <w:tcPr>
            <w:tcW w:w="2552" w:type="dxa"/>
            <w:vAlign w:val="center"/>
          </w:tcPr>
          <w:p w14:paraId="63743BD4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Produção científica</w:t>
            </w:r>
          </w:p>
        </w:tc>
        <w:tc>
          <w:tcPr>
            <w:tcW w:w="2976" w:type="dxa"/>
            <w:vAlign w:val="center"/>
          </w:tcPr>
          <w:p w14:paraId="7D28198A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Contribuição para divulgação de conhecimento resultante do centro.</w:t>
            </w:r>
          </w:p>
        </w:tc>
        <w:tc>
          <w:tcPr>
            <w:tcW w:w="3119" w:type="dxa"/>
            <w:vAlign w:val="center"/>
          </w:tcPr>
          <w:p w14:paraId="0668C80F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Estudos publicados em anais de eventos ou periódicos.</w:t>
            </w:r>
          </w:p>
        </w:tc>
      </w:tr>
      <w:tr w:rsidR="0046776D" w:rsidRPr="0046776D" w14:paraId="4FF28298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44D03840" w14:textId="77777777" w:rsidR="0046776D" w:rsidRPr="0046776D" w:rsidRDefault="0046776D" w:rsidP="00CB416E">
            <w:pPr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</w:pP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030ACCFD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Vínculo com centros de pesquisa</w:t>
            </w:r>
          </w:p>
        </w:tc>
        <w:tc>
          <w:tcPr>
            <w:tcW w:w="2976" w:type="dxa"/>
            <w:shd w:val="clear" w:color="auto" w:fill="E7E6E6" w:themeFill="background2"/>
            <w:vAlign w:val="center"/>
          </w:tcPr>
          <w:p w14:paraId="5066C24D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Facilitar a interlocução científica e produção de estudos.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1138ED41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shd w:val="clear" w:color="auto" w:fill="FFFFFF"/>
                <w:lang w:val="pt-BR"/>
              </w:rPr>
            </w:pPr>
            <w:r w:rsidRPr="0046776D">
              <w:rPr>
                <w:color w:val="212121"/>
                <w:lang w:val="pt-BR"/>
              </w:rPr>
              <w:t>Documentação comprovando vínculo.</w:t>
            </w:r>
          </w:p>
        </w:tc>
      </w:tr>
      <w:tr w:rsidR="0046776D" w:rsidRPr="00E934A7" w14:paraId="68FE8DBA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2588F2F6" w14:textId="77777777" w:rsidR="0046776D" w:rsidRPr="0046776D" w:rsidRDefault="0046776D" w:rsidP="00CB416E">
            <w:pPr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1DD96DF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Estrutura ou abertura para realização de pesquisas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CF191C5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Facilitar a interlocução científica e produção de estudos.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A722B93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Documentação ou política interna correspondente e/ou espaço físico dedicado.</w:t>
            </w:r>
          </w:p>
        </w:tc>
      </w:tr>
      <w:tr w:rsidR="0046776D" w:rsidRPr="00E934A7" w14:paraId="47314190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089004EC" w14:textId="77777777" w:rsidR="0046776D" w:rsidRPr="0046776D" w:rsidRDefault="0046776D" w:rsidP="00CB416E">
            <w:pPr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</w:pP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181977E0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Oferecer fellows e bolsas para estagiários e outros pesquisadores</w:t>
            </w:r>
          </w:p>
        </w:tc>
        <w:tc>
          <w:tcPr>
            <w:tcW w:w="2976" w:type="dxa"/>
            <w:shd w:val="clear" w:color="auto" w:fill="E7E6E6" w:themeFill="background2"/>
            <w:vAlign w:val="center"/>
          </w:tcPr>
          <w:p w14:paraId="24189150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Facilitar a interlocução científica, produção de estudos e formação de novos profissionais.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5D8B61BC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Evidência de documentação ou política interna correspondente.</w:t>
            </w:r>
          </w:p>
        </w:tc>
      </w:tr>
      <w:tr w:rsidR="0046776D" w:rsidRPr="00E934A7" w14:paraId="07AB5386" w14:textId="77777777" w:rsidTr="00CB4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47AD0A1A" w14:textId="77777777" w:rsidR="0046776D" w:rsidRPr="0046776D" w:rsidRDefault="0046776D" w:rsidP="00CB416E">
            <w:pPr>
              <w:rPr>
                <w:rFonts w:eastAsia="Segoe UI"/>
                <w:b w:val="0"/>
                <w:bCs w:val="0"/>
                <w:i/>
                <w:iCs/>
                <w:color w:val="212121"/>
                <w:lang w:val="pt-BR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4696AA6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2121"/>
                <w:lang w:val="pt-BR" w:eastAsia="pt-BR"/>
              </w:rPr>
            </w:pPr>
            <w:r w:rsidRPr="0046776D">
              <w:rPr>
                <w:rFonts w:eastAsia="Times New Roman"/>
                <w:color w:val="212121"/>
                <w:lang w:val="pt-BR" w:eastAsia="pt-BR"/>
              </w:rPr>
              <w:t>Oferecer possibilidade de profissionais fazerem imersão e visitas.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B2D4F06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Facilitar a formação de novos profissionais e dar visibilidade sobre o centro.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43D8886" w14:textId="77777777" w:rsidR="0046776D" w:rsidRPr="0046776D" w:rsidRDefault="0046776D" w:rsidP="00CB4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2121"/>
                <w:lang w:val="pt-BR"/>
              </w:rPr>
            </w:pPr>
            <w:r w:rsidRPr="0046776D">
              <w:rPr>
                <w:color w:val="212121"/>
                <w:lang w:val="pt-BR"/>
              </w:rPr>
              <w:t>Documentação ou política interna correspondente.</w:t>
            </w:r>
          </w:p>
        </w:tc>
      </w:tr>
    </w:tbl>
    <w:p w14:paraId="341A0CB6" w14:textId="22793020" w:rsidR="00FD3D5B" w:rsidRPr="0046776D" w:rsidRDefault="00FD3D5B" w:rsidP="0046776D">
      <w:pPr>
        <w:jc w:val="both"/>
        <w:rPr>
          <w:rFonts w:eastAsia="Calibri"/>
          <w:sz w:val="22"/>
          <w:szCs w:val="22"/>
          <w:lang w:val="pt-BR"/>
        </w:rPr>
      </w:pPr>
    </w:p>
    <w:sectPr w:rsidR="00FD3D5B" w:rsidRPr="0046776D" w:rsidSect="00FD3D5B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BC838" w14:textId="77777777" w:rsidR="00957069" w:rsidRDefault="00957069" w:rsidP="00C73BEC">
      <w:pPr>
        <w:spacing w:after="0" w:line="240" w:lineRule="auto"/>
      </w:pPr>
      <w:r>
        <w:separator/>
      </w:r>
    </w:p>
  </w:endnote>
  <w:endnote w:type="continuationSeparator" w:id="0">
    <w:p w14:paraId="31AE7E85" w14:textId="77777777" w:rsidR="00957069" w:rsidRDefault="00957069" w:rsidP="00C73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altName w:val="苹方-简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B4187" w14:textId="77777777" w:rsidR="00957069" w:rsidRDefault="00957069" w:rsidP="00C73BEC">
      <w:pPr>
        <w:spacing w:after="0" w:line="240" w:lineRule="auto"/>
      </w:pPr>
      <w:r>
        <w:separator/>
      </w:r>
    </w:p>
  </w:footnote>
  <w:footnote w:type="continuationSeparator" w:id="0">
    <w:p w14:paraId="64F5CF23" w14:textId="77777777" w:rsidR="00957069" w:rsidRDefault="00957069" w:rsidP="00C73BEC">
      <w:pPr>
        <w:spacing w:after="0" w:line="240" w:lineRule="auto"/>
      </w:pPr>
      <w:r>
        <w:continuationSeparator/>
      </w:r>
    </w:p>
  </w:footnote>
  <w:footnote w:id="1">
    <w:p w14:paraId="66CECF01" w14:textId="77777777" w:rsidR="0046776D" w:rsidRPr="00C73BEC" w:rsidRDefault="0046776D" w:rsidP="0046776D">
      <w:pPr>
        <w:pStyle w:val="FootnoteText"/>
        <w:rPr>
          <w:rFonts w:asciiTheme="minorHAnsi" w:hAnsiTheme="minorHAnsi" w:cstheme="minorHAnsi"/>
          <w:lang w:val="pt-BR"/>
        </w:rPr>
      </w:pPr>
      <w:r w:rsidRPr="00C73BEC">
        <w:rPr>
          <w:rStyle w:val="FootnoteReference"/>
          <w:rFonts w:asciiTheme="minorHAnsi" w:hAnsiTheme="minorHAnsi" w:cstheme="minorHAnsi"/>
        </w:rPr>
        <w:footnoteRef/>
      </w:r>
      <w:r w:rsidRPr="00E934A7">
        <w:rPr>
          <w:rFonts w:asciiTheme="minorHAnsi" w:hAnsiTheme="minorHAnsi" w:cstheme="minorHAnsi"/>
          <w:lang w:val="pt-BR"/>
        </w:rPr>
        <w:t xml:space="preserve"> </w:t>
      </w:r>
      <w:r w:rsidRPr="00C73BEC">
        <w:rPr>
          <w:rFonts w:asciiTheme="minorHAnsi" w:eastAsia="Times New Roman" w:hAnsiTheme="minorHAnsi" w:cstheme="minorHAnsi"/>
          <w:lang w:val="pt-BR"/>
        </w:rPr>
        <w:t>Magalhães RF; Rivitti-Machado</w:t>
      </w:r>
      <w:r>
        <w:rPr>
          <w:rFonts w:asciiTheme="minorHAnsi" w:eastAsia="Times New Roman" w:hAnsiTheme="minorHAnsi" w:cstheme="minorHAnsi"/>
          <w:lang w:val="pt-BR"/>
        </w:rPr>
        <w:t xml:space="preserve"> </w:t>
      </w:r>
      <w:r w:rsidRPr="00C73BEC">
        <w:rPr>
          <w:rFonts w:asciiTheme="minorHAnsi" w:eastAsia="Times New Roman" w:hAnsiTheme="minorHAnsi" w:cstheme="minorHAnsi"/>
          <w:lang w:val="pt-BR"/>
        </w:rPr>
        <w:t>M</w:t>
      </w:r>
      <w:r>
        <w:rPr>
          <w:rFonts w:asciiTheme="minorHAnsi" w:eastAsia="Times New Roman" w:hAnsiTheme="minorHAnsi" w:cstheme="minorHAnsi"/>
          <w:lang w:val="pt-BR"/>
        </w:rPr>
        <w:t>C</w:t>
      </w:r>
      <w:r w:rsidRPr="00C73BEC">
        <w:rPr>
          <w:rFonts w:asciiTheme="minorHAnsi" w:eastAsia="Times New Roman" w:hAnsiTheme="minorHAnsi" w:cstheme="minorHAnsi"/>
          <w:lang w:val="pt-BR"/>
        </w:rPr>
        <w:t>; Duarte</w:t>
      </w:r>
      <w:r>
        <w:rPr>
          <w:rFonts w:asciiTheme="minorHAnsi" w:eastAsia="Times New Roman" w:hAnsiTheme="minorHAnsi" w:cstheme="minorHAnsi"/>
          <w:lang w:val="pt-BR"/>
        </w:rPr>
        <w:t xml:space="preserve"> GV; et al.</w:t>
      </w:r>
      <w:r w:rsidRPr="00C73BEC">
        <w:rPr>
          <w:rFonts w:asciiTheme="minorHAnsi" w:eastAsia="Times New Roman" w:hAnsiTheme="minorHAnsi" w:cstheme="minorHAnsi"/>
          <w:lang w:val="pt-BR"/>
        </w:rPr>
        <w:t xml:space="preserve"> </w:t>
      </w:r>
      <w:r w:rsidRPr="00E934A7">
        <w:rPr>
          <w:rFonts w:asciiTheme="minorHAnsi" w:eastAsia="Times New Roman" w:hAnsiTheme="minorHAnsi" w:cstheme="minorHAnsi"/>
        </w:rPr>
        <w:t xml:space="preserve">Consensus on the Treatment of Hidradenitis Suppurativa - Brazilian Society of Dermatology. </w:t>
      </w:r>
      <w:r w:rsidRPr="00C73BEC">
        <w:rPr>
          <w:rFonts w:asciiTheme="minorHAnsi" w:eastAsia="Times New Roman" w:hAnsiTheme="minorHAnsi" w:cstheme="minorHAnsi"/>
          <w:i/>
          <w:iCs/>
          <w:lang w:val="pt-BR"/>
        </w:rPr>
        <w:t>An Bras Dermatol</w:t>
      </w:r>
      <w:r w:rsidRPr="00C73BEC">
        <w:rPr>
          <w:rFonts w:asciiTheme="minorHAnsi" w:eastAsia="Times New Roman" w:hAnsiTheme="minorHAnsi" w:cstheme="minorHAnsi"/>
          <w:lang w:val="pt-BR"/>
        </w:rPr>
        <w:t xml:space="preserve"> </w:t>
      </w:r>
      <w:r w:rsidRPr="00C73BEC">
        <w:rPr>
          <w:rFonts w:asciiTheme="minorHAnsi" w:eastAsia="Times New Roman" w:hAnsiTheme="minorHAnsi" w:cstheme="minorHAnsi"/>
          <w:b/>
          <w:bCs/>
          <w:lang w:val="pt-BR"/>
        </w:rPr>
        <w:t>2019</w:t>
      </w:r>
      <w:r w:rsidRPr="00C73BEC">
        <w:rPr>
          <w:rFonts w:asciiTheme="minorHAnsi" w:eastAsia="Times New Roman" w:hAnsiTheme="minorHAnsi" w:cstheme="minorHAnsi"/>
          <w:lang w:val="pt-BR"/>
        </w:rPr>
        <w:t xml:space="preserve">, </w:t>
      </w:r>
      <w:r w:rsidRPr="00C73BEC">
        <w:rPr>
          <w:rFonts w:asciiTheme="minorHAnsi" w:eastAsia="Times New Roman" w:hAnsiTheme="minorHAnsi" w:cstheme="minorHAnsi"/>
          <w:i/>
          <w:iCs/>
          <w:lang w:val="pt-BR"/>
        </w:rPr>
        <w:t>94</w:t>
      </w:r>
      <w:r w:rsidRPr="00C73BEC">
        <w:rPr>
          <w:rFonts w:asciiTheme="minorHAnsi" w:eastAsia="Times New Roman" w:hAnsiTheme="minorHAnsi" w:cstheme="minorHAnsi"/>
          <w:lang w:val="pt-BR"/>
        </w:rPr>
        <w:t>, 7–19, doi:10.1590/abd1806-4841.20198607.</w:t>
      </w:r>
    </w:p>
  </w:footnote>
  <w:footnote w:id="2">
    <w:p w14:paraId="07B605AA" w14:textId="77777777" w:rsidR="0046776D" w:rsidRPr="00C73BEC" w:rsidRDefault="0046776D" w:rsidP="0046776D">
      <w:pPr>
        <w:pStyle w:val="FootnoteText"/>
        <w:rPr>
          <w:lang w:val="pt-BR"/>
        </w:rPr>
      </w:pPr>
      <w:r w:rsidRPr="00C73BEC">
        <w:rPr>
          <w:rStyle w:val="FootnoteReference"/>
          <w:rFonts w:asciiTheme="minorHAnsi" w:hAnsiTheme="minorHAnsi" w:cstheme="minorHAnsi"/>
        </w:rPr>
        <w:footnoteRef/>
      </w:r>
      <w:r w:rsidRPr="00E934A7">
        <w:rPr>
          <w:rFonts w:asciiTheme="minorHAnsi" w:hAnsiTheme="minorHAnsi" w:cstheme="minorHAnsi"/>
          <w:lang w:val="pt-BR"/>
        </w:rPr>
        <w:t xml:space="preserve"> </w:t>
      </w:r>
      <w:r w:rsidRPr="00C73BEC">
        <w:rPr>
          <w:rFonts w:asciiTheme="minorHAnsi" w:eastAsia="Times New Roman" w:hAnsiTheme="minorHAnsi" w:cstheme="minorHAnsi"/>
          <w:lang w:val="pt-BR"/>
        </w:rPr>
        <w:t>Zouboulis</w:t>
      </w:r>
      <w:r>
        <w:rPr>
          <w:rFonts w:asciiTheme="minorHAnsi" w:eastAsia="Times New Roman" w:hAnsiTheme="minorHAnsi" w:cstheme="minorHAnsi"/>
          <w:lang w:val="pt-BR"/>
        </w:rPr>
        <w:t xml:space="preserve"> CC</w:t>
      </w:r>
      <w:r w:rsidRPr="00C73BEC">
        <w:rPr>
          <w:rFonts w:asciiTheme="minorHAnsi" w:eastAsia="Times New Roman" w:hAnsiTheme="minorHAnsi" w:cstheme="minorHAnsi"/>
          <w:lang w:val="pt-BR"/>
        </w:rPr>
        <w:t>.; Desai</w:t>
      </w:r>
      <w:r>
        <w:rPr>
          <w:rFonts w:asciiTheme="minorHAnsi" w:eastAsia="Times New Roman" w:hAnsiTheme="minorHAnsi" w:cstheme="minorHAnsi"/>
          <w:lang w:val="pt-BR"/>
        </w:rPr>
        <w:t xml:space="preserve"> N</w:t>
      </w:r>
      <w:r w:rsidRPr="00C73BEC">
        <w:rPr>
          <w:rFonts w:asciiTheme="minorHAnsi" w:eastAsia="Times New Roman" w:hAnsiTheme="minorHAnsi" w:cstheme="minorHAnsi"/>
          <w:lang w:val="pt-BR"/>
        </w:rPr>
        <w:t>.; Emtestam</w:t>
      </w:r>
      <w:r>
        <w:rPr>
          <w:rFonts w:asciiTheme="minorHAnsi" w:eastAsia="Times New Roman" w:hAnsiTheme="minorHAnsi" w:cstheme="minorHAnsi"/>
          <w:lang w:val="pt-BR"/>
        </w:rPr>
        <w:t xml:space="preserve"> L</w:t>
      </w:r>
      <w:r w:rsidRPr="00C73BEC">
        <w:rPr>
          <w:rFonts w:asciiTheme="minorHAnsi" w:eastAsia="Times New Roman" w:hAnsiTheme="minorHAnsi" w:cstheme="minorHAnsi"/>
          <w:lang w:val="pt-BR"/>
        </w:rPr>
        <w:t xml:space="preserve">; et al. </w:t>
      </w:r>
      <w:r w:rsidRPr="00E934A7">
        <w:rPr>
          <w:rFonts w:asciiTheme="minorHAnsi" w:eastAsia="Times New Roman" w:hAnsiTheme="minorHAnsi" w:cstheme="minorHAnsi"/>
        </w:rPr>
        <w:t xml:space="preserve">European S1 Guideline for the Treatment of Hidradenitis Suppurativa/Acne Inversa. </w:t>
      </w:r>
      <w:r w:rsidRPr="00C73BEC">
        <w:rPr>
          <w:rFonts w:asciiTheme="minorHAnsi" w:eastAsia="Times New Roman" w:hAnsiTheme="minorHAnsi" w:cstheme="minorHAnsi"/>
          <w:i/>
          <w:iCs/>
          <w:lang w:val="pt-BR"/>
        </w:rPr>
        <w:t xml:space="preserve">J Eur Acad Dermatol Venereol </w:t>
      </w:r>
      <w:r w:rsidRPr="00C73BEC">
        <w:rPr>
          <w:rFonts w:asciiTheme="minorHAnsi" w:eastAsia="Times New Roman" w:hAnsiTheme="minorHAnsi" w:cstheme="minorHAnsi"/>
          <w:b/>
          <w:bCs/>
          <w:lang w:val="pt-BR"/>
        </w:rPr>
        <w:t>2015</w:t>
      </w:r>
      <w:r w:rsidRPr="00C73BEC">
        <w:rPr>
          <w:rFonts w:asciiTheme="minorHAnsi" w:eastAsia="Times New Roman" w:hAnsiTheme="minorHAnsi" w:cstheme="minorHAnsi"/>
          <w:lang w:val="pt-BR"/>
        </w:rPr>
        <w:t xml:space="preserve">, </w:t>
      </w:r>
      <w:r w:rsidRPr="00C73BEC">
        <w:rPr>
          <w:rFonts w:asciiTheme="minorHAnsi" w:eastAsia="Times New Roman" w:hAnsiTheme="minorHAnsi" w:cstheme="minorHAnsi"/>
          <w:i/>
          <w:iCs/>
          <w:lang w:val="pt-BR"/>
        </w:rPr>
        <w:t>29</w:t>
      </w:r>
      <w:r w:rsidRPr="00C73BEC">
        <w:rPr>
          <w:rFonts w:asciiTheme="minorHAnsi" w:eastAsia="Times New Roman" w:hAnsiTheme="minorHAnsi" w:cstheme="minorHAnsi"/>
          <w:lang w:val="pt-BR"/>
        </w:rPr>
        <w:t>, 619–644, doi:10.1111/jdv.12966.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AE644"/>
    <w:multiLevelType w:val="hybridMultilevel"/>
    <w:tmpl w:val="DE3E8A66"/>
    <w:lvl w:ilvl="0" w:tplc="146A92FC">
      <w:start w:val="1"/>
      <w:numFmt w:val="decimal"/>
      <w:lvlText w:val="%1)"/>
      <w:lvlJc w:val="left"/>
      <w:pPr>
        <w:ind w:left="720" w:hanging="360"/>
      </w:pPr>
    </w:lvl>
    <w:lvl w:ilvl="1" w:tplc="65E68CB4">
      <w:start w:val="1"/>
      <w:numFmt w:val="lowerLetter"/>
      <w:lvlText w:val="%2."/>
      <w:lvlJc w:val="left"/>
      <w:pPr>
        <w:ind w:left="1440" w:hanging="360"/>
      </w:pPr>
    </w:lvl>
    <w:lvl w:ilvl="2" w:tplc="41F276A2">
      <w:start w:val="1"/>
      <w:numFmt w:val="lowerRoman"/>
      <w:lvlText w:val="%3."/>
      <w:lvlJc w:val="right"/>
      <w:pPr>
        <w:ind w:left="2160" w:hanging="180"/>
      </w:pPr>
    </w:lvl>
    <w:lvl w:ilvl="3" w:tplc="BCB88E4A">
      <w:start w:val="1"/>
      <w:numFmt w:val="decimal"/>
      <w:lvlText w:val="%4."/>
      <w:lvlJc w:val="left"/>
      <w:pPr>
        <w:ind w:left="2880" w:hanging="360"/>
      </w:pPr>
    </w:lvl>
    <w:lvl w:ilvl="4" w:tplc="582E6E44">
      <w:start w:val="1"/>
      <w:numFmt w:val="lowerLetter"/>
      <w:lvlText w:val="%5."/>
      <w:lvlJc w:val="left"/>
      <w:pPr>
        <w:ind w:left="3600" w:hanging="360"/>
      </w:pPr>
    </w:lvl>
    <w:lvl w:ilvl="5" w:tplc="C8304E86">
      <w:start w:val="1"/>
      <w:numFmt w:val="lowerRoman"/>
      <w:lvlText w:val="%6."/>
      <w:lvlJc w:val="right"/>
      <w:pPr>
        <w:ind w:left="4320" w:hanging="180"/>
      </w:pPr>
    </w:lvl>
    <w:lvl w:ilvl="6" w:tplc="D1E606B8">
      <w:start w:val="1"/>
      <w:numFmt w:val="decimal"/>
      <w:lvlText w:val="%7."/>
      <w:lvlJc w:val="left"/>
      <w:pPr>
        <w:ind w:left="5040" w:hanging="360"/>
      </w:pPr>
    </w:lvl>
    <w:lvl w:ilvl="7" w:tplc="381AB14A">
      <w:start w:val="1"/>
      <w:numFmt w:val="lowerLetter"/>
      <w:lvlText w:val="%8."/>
      <w:lvlJc w:val="left"/>
      <w:pPr>
        <w:ind w:left="5760" w:hanging="360"/>
      </w:pPr>
    </w:lvl>
    <w:lvl w:ilvl="8" w:tplc="F3F6C79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BBB6A"/>
    <w:multiLevelType w:val="hybridMultilevel"/>
    <w:tmpl w:val="233AB31C"/>
    <w:lvl w:ilvl="0" w:tplc="B8562EDA">
      <w:start w:val="1"/>
      <w:numFmt w:val="decimal"/>
      <w:lvlText w:val="%1)"/>
      <w:lvlJc w:val="left"/>
      <w:pPr>
        <w:ind w:left="720" w:hanging="360"/>
      </w:pPr>
    </w:lvl>
    <w:lvl w:ilvl="1" w:tplc="D8305D80">
      <w:start w:val="1"/>
      <w:numFmt w:val="lowerLetter"/>
      <w:lvlText w:val="%2."/>
      <w:lvlJc w:val="left"/>
      <w:pPr>
        <w:ind w:left="1440" w:hanging="360"/>
      </w:pPr>
    </w:lvl>
    <w:lvl w:ilvl="2" w:tplc="56D0C338">
      <w:start w:val="1"/>
      <w:numFmt w:val="lowerRoman"/>
      <w:lvlText w:val="%3."/>
      <w:lvlJc w:val="right"/>
      <w:pPr>
        <w:ind w:left="2160" w:hanging="180"/>
      </w:pPr>
    </w:lvl>
    <w:lvl w:ilvl="3" w:tplc="F2E87010">
      <w:start w:val="1"/>
      <w:numFmt w:val="decimal"/>
      <w:lvlText w:val="%4."/>
      <w:lvlJc w:val="left"/>
      <w:pPr>
        <w:ind w:left="2880" w:hanging="360"/>
      </w:pPr>
    </w:lvl>
    <w:lvl w:ilvl="4" w:tplc="ABFA2C52">
      <w:start w:val="1"/>
      <w:numFmt w:val="lowerLetter"/>
      <w:lvlText w:val="%5."/>
      <w:lvlJc w:val="left"/>
      <w:pPr>
        <w:ind w:left="3600" w:hanging="360"/>
      </w:pPr>
    </w:lvl>
    <w:lvl w:ilvl="5" w:tplc="AA5E6568">
      <w:start w:val="1"/>
      <w:numFmt w:val="lowerRoman"/>
      <w:lvlText w:val="%6."/>
      <w:lvlJc w:val="right"/>
      <w:pPr>
        <w:ind w:left="4320" w:hanging="180"/>
      </w:pPr>
    </w:lvl>
    <w:lvl w:ilvl="6" w:tplc="9FDE8A3C">
      <w:start w:val="1"/>
      <w:numFmt w:val="decimal"/>
      <w:lvlText w:val="%7."/>
      <w:lvlJc w:val="left"/>
      <w:pPr>
        <w:ind w:left="5040" w:hanging="360"/>
      </w:pPr>
    </w:lvl>
    <w:lvl w:ilvl="7" w:tplc="C02A82CE">
      <w:start w:val="1"/>
      <w:numFmt w:val="lowerLetter"/>
      <w:lvlText w:val="%8."/>
      <w:lvlJc w:val="left"/>
      <w:pPr>
        <w:ind w:left="5760" w:hanging="360"/>
      </w:pPr>
    </w:lvl>
    <w:lvl w:ilvl="8" w:tplc="BA82AF20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28956">
    <w:abstractNumId w:val="1"/>
  </w:num>
  <w:num w:numId="2" w16cid:durableId="215702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5B"/>
    <w:rsid w:val="00441753"/>
    <w:rsid w:val="0046776D"/>
    <w:rsid w:val="00482F5C"/>
    <w:rsid w:val="004D0E76"/>
    <w:rsid w:val="006035E9"/>
    <w:rsid w:val="007E282F"/>
    <w:rsid w:val="00894D4F"/>
    <w:rsid w:val="00957069"/>
    <w:rsid w:val="00AB09C2"/>
    <w:rsid w:val="00C73BEC"/>
    <w:rsid w:val="00E934A7"/>
    <w:rsid w:val="00F23BE7"/>
    <w:rsid w:val="00F31F85"/>
    <w:rsid w:val="00FD3D5B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DDDE5"/>
  <w15:chartTrackingRefBased/>
  <w15:docId w15:val="{EB75B6EC-FE03-4E77-9B18-4A8904CF7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D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D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31">
    <w:name w:val="Grid Table 4 - Accent 31"/>
    <w:basedOn w:val="TableNormal"/>
    <w:next w:val="GridTable4-Accent3"/>
    <w:uiPriority w:val="49"/>
    <w:rsid w:val="00FD3D5B"/>
    <w:pPr>
      <w:spacing w:after="0" w:line="240" w:lineRule="auto"/>
    </w:pPr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ridTable4-Accent3">
    <w:name w:val="Grid Table 4 Accent 3"/>
    <w:basedOn w:val="TableNormal"/>
    <w:uiPriority w:val="49"/>
    <w:rsid w:val="00FD3D5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FD3D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D3D5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FD3D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GridTable4-Accent32">
    <w:name w:val="Grid Table 4 - Accent 32"/>
    <w:basedOn w:val="TableNormal"/>
    <w:next w:val="GridTable4-Accent3"/>
    <w:uiPriority w:val="49"/>
    <w:rsid w:val="00FD3D5B"/>
    <w:pPr>
      <w:spacing w:after="0" w:line="240" w:lineRule="auto"/>
    </w:pPr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PlaceholderText">
    <w:name w:val="Placeholder Text"/>
    <w:basedOn w:val="DefaultParagraphFont"/>
    <w:uiPriority w:val="99"/>
    <w:semiHidden/>
    <w:rsid w:val="00C73BEC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3BE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3BEC"/>
  </w:style>
  <w:style w:type="character" w:styleId="FootnoteReference">
    <w:name w:val="footnote reference"/>
    <w:basedOn w:val="DefaultParagraphFont"/>
    <w:uiPriority w:val="99"/>
    <w:semiHidden/>
    <w:unhideWhenUsed/>
    <w:rsid w:val="00C73B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C980B-44D3-44A7-B11C-E2D3CE59E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1963</Words>
  <Characters>12171</Characters>
  <Application>Microsoft Office Word</Application>
  <DocSecurity>0</DocSecurity>
  <Lines>264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Bellei, Ericles (Ext)</dc:creator>
  <cp:keywords/>
  <dc:description/>
  <cp:lastModifiedBy>Khanapur, Soumya</cp:lastModifiedBy>
  <cp:revision>8</cp:revision>
  <cp:lastPrinted>2023-01-03T19:25:00Z</cp:lastPrinted>
  <dcterms:created xsi:type="dcterms:W3CDTF">2023-01-03T19:04:00Z</dcterms:created>
  <dcterms:modified xsi:type="dcterms:W3CDTF">2023-06-27T21:51:00Z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2023-04-04T20:21:53Z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bbdb97da-588a-4780-83cc-e2c6fcfec476</vt:lpwstr>
  </property>
  <property fmtid="{D5CDD505-2E9C-101B-9397-08002B2CF9AE}" pid="8" name="MSIP_Label_3c9bec58-8084-492e-8360-0e1cfe36408c_ContentBits">
    <vt:lpwstr>0</vt:lpwstr>
  </property>
</Properties>
</file>