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DB1B" w14:textId="7752863E" w:rsidR="008307B2" w:rsidRDefault="004C4FAA" w:rsidP="004C4FAA">
      <w:pPr>
        <w:pStyle w:val="Title"/>
      </w:pPr>
      <w:r>
        <w:t xml:space="preserve">Supplementary material </w:t>
      </w:r>
    </w:p>
    <w:p w14:paraId="19CCF7A7" w14:textId="77777777" w:rsidR="004C4FAA" w:rsidRDefault="004C4FAA"/>
    <w:p w14:paraId="24D356F5" w14:textId="77777777" w:rsidR="004C4FAA" w:rsidRDefault="004C4FAA"/>
    <w:p w14:paraId="6F8B4234" w14:textId="7A6C12B8" w:rsidR="004C4FAA" w:rsidRDefault="004C4FAA" w:rsidP="004C4FAA">
      <w:pPr>
        <w:pStyle w:val="Heading1"/>
      </w:pPr>
      <w:r>
        <w:t xml:space="preserve">Methods </w:t>
      </w:r>
    </w:p>
    <w:p w14:paraId="62FBD671" w14:textId="5330798D" w:rsidR="004012E1" w:rsidRPr="004012E1" w:rsidRDefault="004012E1" w:rsidP="004012E1">
      <w:r>
        <w:t xml:space="preserve">Those in the Birmingham AATD cohort had </w:t>
      </w:r>
      <w:proofErr w:type="spellStart"/>
      <w:r>
        <w:t>spirometric</w:t>
      </w:r>
      <w:proofErr w:type="spellEnd"/>
      <w:r>
        <w:t xml:space="preserve"> confirmation of COPD, in addition to emphysema. For </w:t>
      </w:r>
      <w:proofErr w:type="spellStart"/>
      <w:r>
        <w:t>AlphaNet</w:t>
      </w:r>
      <w:proofErr w:type="spellEnd"/>
      <w:r>
        <w:t>, patients were referred by a respiratory physician for prescription of AAT augmentation therapy. A fixed criteria for AAT augmentation therapy is presence of AATD related lung disease which may not include spirometry confirmed COPD.</w:t>
      </w:r>
    </w:p>
    <w:p w14:paraId="5412CF12" w14:textId="77777777" w:rsidR="004C4FAA" w:rsidRDefault="004C4FAA"/>
    <w:p w14:paraId="6F9A7360" w14:textId="65EA6681" w:rsidR="004C4FAA" w:rsidRDefault="004C4FAA" w:rsidP="004012E1">
      <w:pPr>
        <w:pStyle w:val="Heading1"/>
      </w:pPr>
      <w:r>
        <w:t>Results</w:t>
      </w:r>
    </w:p>
    <w:p w14:paraId="6C714F9E" w14:textId="77777777" w:rsidR="004012E1" w:rsidRPr="004012E1" w:rsidRDefault="004012E1" w:rsidP="004012E1"/>
    <w:p w14:paraId="2DEE8092" w14:textId="78FB206B" w:rsidR="004C4FAA" w:rsidRPr="004C4FAA" w:rsidRDefault="004C4FAA" w:rsidP="004C4FAA">
      <w:pPr>
        <w:pStyle w:val="Caption"/>
        <w:keepNext/>
        <w:rPr>
          <w:b/>
          <w:bCs/>
        </w:rPr>
      </w:pPr>
      <w:r w:rsidRPr="004C4FAA">
        <w:rPr>
          <w:b/>
          <w:bCs/>
          <w:color w:val="000000" w:themeColor="text1"/>
          <w:sz w:val="24"/>
          <w:szCs w:val="24"/>
        </w:rPr>
        <w:t xml:space="preserve">Table S1: </w:t>
      </w:r>
      <w:r w:rsidRPr="004C4FAA">
        <w:rPr>
          <w:color w:val="000000" w:themeColor="text1"/>
          <w:sz w:val="24"/>
          <w:szCs w:val="24"/>
        </w:rPr>
        <w:t>Logistic regression for prevalence of any cardiovascular disease at baseline assessment adjusted for sex, age, frequent exacerbator phenotype and previous/current smoke exposure.</w:t>
      </w:r>
      <w:r w:rsidRPr="004C4FAA">
        <w:rPr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43"/>
        <w:gridCol w:w="2075"/>
        <w:gridCol w:w="1956"/>
        <w:gridCol w:w="1342"/>
      </w:tblGrid>
      <w:tr w:rsidR="004C4FAA" w:rsidRPr="004C4FAA" w14:paraId="59F1269A" w14:textId="77777777" w:rsidTr="004C4FAA">
        <w:trPr>
          <w:trHeight w:val="288"/>
        </w:trPr>
        <w:tc>
          <w:tcPr>
            <w:tcW w:w="2020" w:type="pct"/>
            <w:noWrap/>
            <w:hideMark/>
          </w:tcPr>
          <w:p w14:paraId="6F8D1620" w14:textId="77777777" w:rsidR="004C4FAA" w:rsidRPr="004C4FAA" w:rsidRDefault="004C4FAA">
            <w:r w:rsidRPr="004C4FAA">
              <w:t>Predictors</w:t>
            </w:r>
          </w:p>
        </w:tc>
        <w:tc>
          <w:tcPr>
            <w:tcW w:w="1151" w:type="pct"/>
            <w:noWrap/>
            <w:hideMark/>
          </w:tcPr>
          <w:p w14:paraId="1296B5D3" w14:textId="7F6DFCA2" w:rsidR="004C4FAA" w:rsidRPr="004C4FAA" w:rsidRDefault="004F5350">
            <w:r>
              <w:t>Prevalence</w:t>
            </w:r>
            <w:r w:rsidR="004C4FAA" w:rsidRPr="004C4FAA">
              <w:t xml:space="preserve"> Ratios</w:t>
            </w:r>
          </w:p>
        </w:tc>
        <w:tc>
          <w:tcPr>
            <w:tcW w:w="1085" w:type="pct"/>
            <w:noWrap/>
            <w:hideMark/>
          </w:tcPr>
          <w:p w14:paraId="3ACA1E38" w14:textId="77777777" w:rsidR="004C4FAA" w:rsidRPr="004C4FAA" w:rsidRDefault="004C4FAA">
            <w:r w:rsidRPr="004C4FAA">
              <w:t>CI</w:t>
            </w:r>
          </w:p>
        </w:tc>
        <w:tc>
          <w:tcPr>
            <w:tcW w:w="744" w:type="pct"/>
            <w:noWrap/>
            <w:hideMark/>
          </w:tcPr>
          <w:p w14:paraId="76F61784" w14:textId="77777777" w:rsidR="004C4FAA" w:rsidRPr="004C4FAA" w:rsidRDefault="004C4FAA">
            <w:r w:rsidRPr="004C4FAA">
              <w:t>p</w:t>
            </w:r>
          </w:p>
        </w:tc>
      </w:tr>
      <w:tr w:rsidR="004C4FAA" w:rsidRPr="004C4FAA" w14:paraId="4D9BBE1A" w14:textId="77777777" w:rsidTr="004C4FAA">
        <w:trPr>
          <w:trHeight w:val="288"/>
        </w:trPr>
        <w:tc>
          <w:tcPr>
            <w:tcW w:w="2020" w:type="pct"/>
            <w:noWrap/>
            <w:hideMark/>
          </w:tcPr>
          <w:p w14:paraId="1362C155" w14:textId="77777777" w:rsidR="004C4FAA" w:rsidRPr="004C4FAA" w:rsidRDefault="004C4FAA">
            <w:r w:rsidRPr="004C4FAA">
              <w:t>(Intercept)</w:t>
            </w:r>
          </w:p>
        </w:tc>
        <w:tc>
          <w:tcPr>
            <w:tcW w:w="1151" w:type="pct"/>
            <w:noWrap/>
            <w:hideMark/>
          </w:tcPr>
          <w:p w14:paraId="4E9F961F" w14:textId="77777777" w:rsidR="004C4FAA" w:rsidRPr="004C4FAA" w:rsidRDefault="004C4FAA" w:rsidP="004C4FAA">
            <w:r w:rsidRPr="004C4FAA">
              <w:t>0.04</w:t>
            </w:r>
          </w:p>
        </w:tc>
        <w:tc>
          <w:tcPr>
            <w:tcW w:w="1085" w:type="pct"/>
            <w:noWrap/>
            <w:hideMark/>
          </w:tcPr>
          <w:p w14:paraId="5B4EFE99" w14:textId="77777777" w:rsidR="004C4FAA" w:rsidRPr="004C4FAA" w:rsidRDefault="004C4FAA">
            <w:r w:rsidRPr="004C4FAA">
              <w:t>0.02 – 0.09</w:t>
            </w:r>
          </w:p>
        </w:tc>
        <w:tc>
          <w:tcPr>
            <w:tcW w:w="744" w:type="pct"/>
            <w:noWrap/>
            <w:hideMark/>
          </w:tcPr>
          <w:p w14:paraId="008A1D89" w14:textId="77777777" w:rsidR="004C4FAA" w:rsidRPr="004C4FAA" w:rsidRDefault="004C4FAA">
            <w:r w:rsidRPr="004C4FAA">
              <w:t>&lt;0.001</w:t>
            </w:r>
          </w:p>
        </w:tc>
      </w:tr>
      <w:tr w:rsidR="004C4FAA" w:rsidRPr="004C4FAA" w14:paraId="445B6806" w14:textId="77777777" w:rsidTr="004C4FAA">
        <w:trPr>
          <w:trHeight w:val="288"/>
        </w:trPr>
        <w:tc>
          <w:tcPr>
            <w:tcW w:w="2020" w:type="pct"/>
            <w:noWrap/>
            <w:hideMark/>
          </w:tcPr>
          <w:p w14:paraId="6AD8C12A" w14:textId="77777777" w:rsidR="004C4FAA" w:rsidRPr="004C4FAA" w:rsidRDefault="004C4FAA">
            <w:r w:rsidRPr="004C4FAA">
              <w:t>Male</w:t>
            </w:r>
          </w:p>
        </w:tc>
        <w:tc>
          <w:tcPr>
            <w:tcW w:w="1151" w:type="pct"/>
            <w:noWrap/>
            <w:hideMark/>
          </w:tcPr>
          <w:p w14:paraId="187745C5" w14:textId="77777777" w:rsidR="004C4FAA" w:rsidRPr="004C4FAA" w:rsidRDefault="004C4FAA" w:rsidP="004C4FAA">
            <w:r w:rsidRPr="004C4FAA">
              <w:t>1.1</w:t>
            </w:r>
          </w:p>
        </w:tc>
        <w:tc>
          <w:tcPr>
            <w:tcW w:w="1085" w:type="pct"/>
            <w:noWrap/>
            <w:hideMark/>
          </w:tcPr>
          <w:p w14:paraId="32BC646B" w14:textId="77777777" w:rsidR="004C4FAA" w:rsidRPr="004C4FAA" w:rsidRDefault="004C4FAA">
            <w:r w:rsidRPr="004C4FAA">
              <w:t>0.89 – 1.37</w:t>
            </w:r>
          </w:p>
        </w:tc>
        <w:tc>
          <w:tcPr>
            <w:tcW w:w="744" w:type="pct"/>
            <w:noWrap/>
            <w:hideMark/>
          </w:tcPr>
          <w:p w14:paraId="00652C26" w14:textId="77777777" w:rsidR="004C4FAA" w:rsidRPr="004C4FAA" w:rsidRDefault="004C4FAA" w:rsidP="004C4FAA">
            <w:r w:rsidRPr="004C4FAA">
              <w:t>0.364</w:t>
            </w:r>
          </w:p>
        </w:tc>
      </w:tr>
      <w:tr w:rsidR="004C4FAA" w:rsidRPr="004C4FAA" w14:paraId="18F80979" w14:textId="77777777" w:rsidTr="004C4FAA">
        <w:trPr>
          <w:trHeight w:val="288"/>
        </w:trPr>
        <w:tc>
          <w:tcPr>
            <w:tcW w:w="2020" w:type="pct"/>
            <w:noWrap/>
            <w:hideMark/>
          </w:tcPr>
          <w:p w14:paraId="01B28D32" w14:textId="77777777" w:rsidR="004C4FAA" w:rsidRPr="004C4FAA" w:rsidRDefault="004C4FAA">
            <w:r w:rsidRPr="004C4FAA">
              <w:t>Age (years)</w:t>
            </w:r>
          </w:p>
        </w:tc>
        <w:tc>
          <w:tcPr>
            <w:tcW w:w="1151" w:type="pct"/>
            <w:noWrap/>
            <w:hideMark/>
          </w:tcPr>
          <w:p w14:paraId="39DF5EF4" w14:textId="77777777" w:rsidR="004C4FAA" w:rsidRPr="004C4FAA" w:rsidRDefault="004C4FAA" w:rsidP="004C4FAA">
            <w:r w:rsidRPr="004C4FAA">
              <w:t>1.02</w:t>
            </w:r>
          </w:p>
        </w:tc>
        <w:tc>
          <w:tcPr>
            <w:tcW w:w="1085" w:type="pct"/>
            <w:noWrap/>
            <w:hideMark/>
          </w:tcPr>
          <w:p w14:paraId="494A7B6D" w14:textId="77777777" w:rsidR="004C4FAA" w:rsidRPr="004C4FAA" w:rsidRDefault="004C4FAA">
            <w:r w:rsidRPr="004C4FAA">
              <w:t>1.01 – 1.03</w:t>
            </w:r>
          </w:p>
        </w:tc>
        <w:tc>
          <w:tcPr>
            <w:tcW w:w="744" w:type="pct"/>
            <w:noWrap/>
            <w:hideMark/>
          </w:tcPr>
          <w:p w14:paraId="496DEBB3" w14:textId="77777777" w:rsidR="004C4FAA" w:rsidRPr="004C4FAA" w:rsidRDefault="004C4FAA">
            <w:r w:rsidRPr="004C4FAA">
              <w:t>&lt;0.001</w:t>
            </w:r>
          </w:p>
        </w:tc>
      </w:tr>
      <w:tr w:rsidR="004C4FAA" w:rsidRPr="004C4FAA" w14:paraId="741AE648" w14:textId="77777777" w:rsidTr="004F5350">
        <w:trPr>
          <w:trHeight w:val="288"/>
        </w:trPr>
        <w:tc>
          <w:tcPr>
            <w:tcW w:w="2020" w:type="pct"/>
            <w:tcBorders>
              <w:bottom w:val="single" w:sz="4" w:space="0" w:color="auto"/>
            </w:tcBorders>
            <w:noWrap/>
            <w:hideMark/>
          </w:tcPr>
          <w:p w14:paraId="7E901975" w14:textId="53FC05EF" w:rsidR="004C4FAA" w:rsidRPr="004C4FAA" w:rsidRDefault="004C4FAA">
            <w:r>
              <w:rPr>
                <w:rFonts w:cstheme="minorHAnsi"/>
              </w:rPr>
              <w:t>≥</w:t>
            </w:r>
            <w:r>
              <w:t xml:space="preserve">2 </w:t>
            </w:r>
            <w:r w:rsidRPr="004C4FAA">
              <w:t>exacerbat</w:t>
            </w:r>
            <w:r>
              <w:t>ions*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noWrap/>
            <w:hideMark/>
          </w:tcPr>
          <w:p w14:paraId="792D87AD" w14:textId="77777777" w:rsidR="004C4FAA" w:rsidRPr="004C4FAA" w:rsidRDefault="004C4FAA" w:rsidP="004C4FAA">
            <w:r w:rsidRPr="004C4FAA">
              <w:t>1.49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noWrap/>
            <w:hideMark/>
          </w:tcPr>
          <w:p w14:paraId="62BAE085" w14:textId="77777777" w:rsidR="004C4FAA" w:rsidRPr="004C4FAA" w:rsidRDefault="004C4FAA">
            <w:r w:rsidRPr="004C4FAA">
              <w:t>1.20 – 1.85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noWrap/>
            <w:hideMark/>
          </w:tcPr>
          <w:p w14:paraId="36444514" w14:textId="77777777" w:rsidR="004C4FAA" w:rsidRPr="004C4FAA" w:rsidRDefault="004C4FAA">
            <w:r w:rsidRPr="004C4FAA">
              <w:t>&lt;0.001</w:t>
            </w:r>
          </w:p>
        </w:tc>
      </w:tr>
      <w:tr w:rsidR="004C4FAA" w:rsidRPr="004C4FAA" w14:paraId="2E797FFA" w14:textId="77777777" w:rsidTr="004F5350">
        <w:trPr>
          <w:trHeight w:val="288"/>
        </w:trPr>
        <w:tc>
          <w:tcPr>
            <w:tcW w:w="2020" w:type="pct"/>
            <w:tcBorders>
              <w:bottom w:val="single" w:sz="4" w:space="0" w:color="auto"/>
            </w:tcBorders>
            <w:noWrap/>
            <w:hideMark/>
          </w:tcPr>
          <w:p w14:paraId="47014613" w14:textId="313899BB" w:rsidR="004C4FAA" w:rsidRPr="004C4FAA" w:rsidRDefault="004C4FAA">
            <w:r w:rsidRPr="004C4FAA">
              <w:t>Ever smoker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noWrap/>
            <w:hideMark/>
          </w:tcPr>
          <w:p w14:paraId="16EA32BA" w14:textId="77777777" w:rsidR="004C4FAA" w:rsidRPr="004C4FAA" w:rsidRDefault="004C4FAA" w:rsidP="004C4FAA">
            <w:r w:rsidRPr="004C4FAA">
              <w:t>1.08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noWrap/>
            <w:hideMark/>
          </w:tcPr>
          <w:p w14:paraId="31A8CBA9" w14:textId="77777777" w:rsidR="004C4FAA" w:rsidRPr="004C4FAA" w:rsidRDefault="004C4FAA">
            <w:r w:rsidRPr="004C4FAA">
              <w:t>0.83 – 1.39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noWrap/>
            <w:hideMark/>
          </w:tcPr>
          <w:p w14:paraId="3399CDD0" w14:textId="77777777" w:rsidR="004C4FAA" w:rsidRPr="004C4FAA" w:rsidRDefault="004C4FAA" w:rsidP="004C4FAA">
            <w:r w:rsidRPr="004C4FAA">
              <w:t>0.581</w:t>
            </w:r>
          </w:p>
        </w:tc>
      </w:tr>
      <w:tr w:rsidR="004C4FAA" w:rsidRPr="004C4FAA" w14:paraId="1E0F1B66" w14:textId="77777777" w:rsidTr="004F535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F19C8A" w14:textId="3C2E9CA1" w:rsidR="004C4FAA" w:rsidRPr="004C4FAA" w:rsidRDefault="004C4FAA" w:rsidP="004C4FAA">
            <w:r w:rsidRPr="004F5350">
              <w:rPr>
                <w:sz w:val="18"/>
                <w:szCs w:val="18"/>
              </w:rPr>
              <w:t>Observations; 2549, R</w:t>
            </w:r>
            <w:r w:rsidRPr="004F5350">
              <w:rPr>
                <w:sz w:val="18"/>
                <w:szCs w:val="18"/>
                <w:vertAlign w:val="superscript"/>
              </w:rPr>
              <w:t>2</w:t>
            </w:r>
            <w:r w:rsidRPr="004F5350">
              <w:rPr>
                <w:sz w:val="18"/>
                <w:szCs w:val="18"/>
              </w:rPr>
              <w:t xml:space="preserve"> 0.011. *In year prior to review. </w:t>
            </w:r>
            <w:r w:rsidR="004F5350">
              <w:rPr>
                <w:sz w:val="18"/>
                <w:szCs w:val="18"/>
              </w:rPr>
              <w:t xml:space="preserve">CI; confidence interval. </w:t>
            </w:r>
          </w:p>
        </w:tc>
      </w:tr>
    </w:tbl>
    <w:p w14:paraId="794A6E26" w14:textId="77777777" w:rsidR="004C4FAA" w:rsidRDefault="004C4FAA"/>
    <w:p w14:paraId="7E7CC7F9" w14:textId="77777777" w:rsidR="006734F0" w:rsidRDefault="006734F0" w:rsidP="006734F0">
      <w:pPr>
        <w:keepNext/>
      </w:pPr>
      <w:r>
        <w:rPr>
          <w:noProof/>
        </w:rPr>
        <w:lastRenderedPageBreak/>
        <w:drawing>
          <wp:inline distT="0" distB="0" distL="0" distR="0" wp14:anchorId="7A3DF7E6" wp14:editId="5027E13A">
            <wp:extent cx="5731510" cy="3948430"/>
            <wp:effectExtent l="0" t="0" r="2540" b="0"/>
            <wp:docPr id="813269272" name="Picture 1" descr="A graph showing the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69272" name="Picture 1" descr="A graph showing the number of dat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5FA10" w14:textId="090D7DB9" w:rsidR="006734F0" w:rsidRPr="006734F0" w:rsidRDefault="006734F0" w:rsidP="006734F0">
      <w:pPr>
        <w:pStyle w:val="Caption"/>
        <w:rPr>
          <w:color w:val="000000" w:themeColor="text1"/>
          <w:sz w:val="24"/>
          <w:szCs w:val="24"/>
        </w:rPr>
      </w:pPr>
      <w:r w:rsidRPr="006734F0">
        <w:rPr>
          <w:b/>
          <w:bCs/>
          <w:color w:val="000000" w:themeColor="text1"/>
          <w:sz w:val="24"/>
          <w:szCs w:val="24"/>
        </w:rPr>
        <w:t>Figure S</w:t>
      </w:r>
      <w:r w:rsidRPr="006734F0">
        <w:rPr>
          <w:b/>
          <w:bCs/>
          <w:color w:val="000000" w:themeColor="text1"/>
          <w:sz w:val="24"/>
          <w:szCs w:val="24"/>
        </w:rPr>
        <w:fldChar w:fldCharType="begin"/>
      </w:r>
      <w:r w:rsidRPr="006734F0">
        <w:rPr>
          <w:b/>
          <w:bCs/>
          <w:color w:val="000000" w:themeColor="text1"/>
          <w:sz w:val="24"/>
          <w:szCs w:val="24"/>
        </w:rPr>
        <w:instrText xml:space="preserve"> SEQ Figure \* ARABIC </w:instrText>
      </w:r>
      <w:r w:rsidRPr="006734F0">
        <w:rPr>
          <w:b/>
          <w:bCs/>
          <w:color w:val="000000" w:themeColor="text1"/>
          <w:sz w:val="24"/>
          <w:szCs w:val="24"/>
        </w:rPr>
        <w:fldChar w:fldCharType="separate"/>
      </w:r>
      <w:r w:rsidRPr="006734F0">
        <w:rPr>
          <w:b/>
          <w:bCs/>
          <w:noProof/>
          <w:color w:val="000000" w:themeColor="text1"/>
          <w:sz w:val="24"/>
          <w:szCs w:val="24"/>
        </w:rPr>
        <w:t>1</w:t>
      </w:r>
      <w:r w:rsidRPr="006734F0">
        <w:rPr>
          <w:b/>
          <w:bCs/>
          <w:color w:val="000000" w:themeColor="text1"/>
          <w:sz w:val="24"/>
          <w:szCs w:val="24"/>
        </w:rPr>
        <w:fldChar w:fldCharType="end"/>
      </w:r>
      <w:r w:rsidRPr="006734F0">
        <w:rPr>
          <w:b/>
          <w:bCs/>
          <w:color w:val="000000" w:themeColor="text1"/>
          <w:sz w:val="24"/>
          <w:szCs w:val="24"/>
        </w:rPr>
        <w:t>:</w:t>
      </w:r>
      <w:r w:rsidRPr="006734F0">
        <w:rPr>
          <w:color w:val="000000" w:themeColor="text1"/>
          <w:sz w:val="24"/>
          <w:szCs w:val="24"/>
        </w:rPr>
        <w:t xml:space="preserve"> Kaplan Meier survival curve of time to first MACE event</w:t>
      </w:r>
      <w:r>
        <w:rPr>
          <w:color w:val="000000" w:themeColor="text1"/>
          <w:sz w:val="24"/>
          <w:szCs w:val="24"/>
        </w:rPr>
        <w:t xml:space="preserve"> for frequent exacerbators (blue line, 2 or more exacerbations in year prior to baseline) vs infrequency exacerbators (blue line – one or no exacerbations in year prior to baseline)</w:t>
      </w:r>
      <w:r w:rsidRPr="006734F0">
        <w:rPr>
          <w:color w:val="000000" w:themeColor="text1"/>
          <w:sz w:val="24"/>
          <w:szCs w:val="24"/>
        </w:rPr>
        <w:t>. Y axis scale</w:t>
      </w:r>
      <w:r>
        <w:rPr>
          <w:color w:val="000000" w:themeColor="text1"/>
          <w:sz w:val="24"/>
          <w:szCs w:val="24"/>
        </w:rPr>
        <w:t xml:space="preserve"> represents the probability of MACE occurring and</w:t>
      </w:r>
      <w:r w:rsidRPr="006734F0">
        <w:rPr>
          <w:color w:val="000000" w:themeColor="text1"/>
          <w:sz w:val="24"/>
          <w:szCs w:val="24"/>
        </w:rPr>
        <w:t xml:space="preserve"> has been adjusted to demonstrate separat</w:t>
      </w:r>
      <w:r>
        <w:rPr>
          <w:color w:val="000000" w:themeColor="text1"/>
          <w:sz w:val="24"/>
          <w:szCs w:val="24"/>
        </w:rPr>
        <w:t>ion</w:t>
      </w:r>
      <w:r w:rsidRPr="006734F0">
        <w:rPr>
          <w:color w:val="000000" w:themeColor="text1"/>
          <w:sz w:val="24"/>
          <w:szCs w:val="24"/>
        </w:rPr>
        <w:t xml:space="preserve"> of curves.</w:t>
      </w:r>
      <w:r>
        <w:rPr>
          <w:color w:val="000000" w:themeColor="text1"/>
          <w:sz w:val="24"/>
          <w:szCs w:val="24"/>
        </w:rPr>
        <w:t xml:space="preserve"> Shaded areas represent 95% CI. </w:t>
      </w:r>
    </w:p>
    <w:sectPr w:rsidR="006734F0" w:rsidRPr="00673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AA"/>
    <w:rsid w:val="004012E1"/>
    <w:rsid w:val="004A4C61"/>
    <w:rsid w:val="004C4FAA"/>
    <w:rsid w:val="004F5350"/>
    <w:rsid w:val="006734F0"/>
    <w:rsid w:val="008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0E05"/>
  <w15:chartTrackingRefBased/>
  <w15:docId w15:val="{FE07C68A-F09A-4CF8-89C1-70D5C1D9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C4F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C4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4C4F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12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Ellis (Applied Health Research)</dc:creator>
  <cp:keywords/>
  <dc:description/>
  <cp:lastModifiedBy>Paul Ellis (Applied Health Research)</cp:lastModifiedBy>
  <cp:revision>2</cp:revision>
  <dcterms:created xsi:type="dcterms:W3CDTF">2023-11-21T10:19:00Z</dcterms:created>
  <dcterms:modified xsi:type="dcterms:W3CDTF">2023-11-21T10:19:00Z</dcterms:modified>
</cp:coreProperties>
</file>