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Style w:val="7"/>
          <w:rFonts w:hint="default" w:ascii="Arial" w:hAnsi="Arial" w:eastAsia="宋体" w:cs="Arial"/>
          <w:b/>
          <w:bCs/>
          <w:sz w:val="20"/>
          <w:szCs w:val="20"/>
          <w:lang w:val="en-US" w:eastAsia="zh-CN" w:bidi="ar"/>
        </w:rPr>
      </w:pPr>
      <w:r>
        <w:rPr>
          <w:rStyle w:val="7"/>
          <w:rFonts w:hint="default" w:ascii="Arial" w:hAnsi="Arial" w:eastAsia="宋体" w:cs="Arial"/>
          <w:b/>
          <w:bCs/>
          <w:sz w:val="20"/>
          <w:szCs w:val="20"/>
          <w:lang w:val="en-US" w:eastAsia="zh-CN" w:bidi="ar"/>
        </w:rPr>
        <w:t>Supplementary Files</w:t>
      </w:r>
    </w:p>
    <w:p>
      <w:pPr>
        <w:spacing w:line="480" w:lineRule="auto"/>
        <w:rPr>
          <w:rStyle w:val="7"/>
          <w:rFonts w:hint="default" w:ascii="Arial" w:hAnsi="Arial" w:eastAsia="宋体" w:cs="Arial"/>
          <w:b/>
          <w:bCs/>
          <w:sz w:val="20"/>
          <w:szCs w:val="20"/>
          <w:lang w:val="en-US" w:eastAsia="zh-CN" w:bidi="ar"/>
        </w:rPr>
      </w:pPr>
    </w:p>
    <w:p>
      <w:pPr>
        <w:spacing w:line="480" w:lineRule="auto"/>
        <w:rPr>
          <w:rStyle w:val="7"/>
          <w:rFonts w:hint="default" w:ascii="Arial" w:hAnsi="Arial" w:eastAsia="宋体" w:cs="Arial"/>
          <w:b/>
          <w:bCs/>
          <w:sz w:val="20"/>
          <w:szCs w:val="20"/>
          <w:lang w:val="en-US" w:eastAsia="zh-CN" w:bidi="ar"/>
        </w:rPr>
      </w:pPr>
      <w:r>
        <w:rPr>
          <w:rStyle w:val="7"/>
          <w:rFonts w:hint="eastAsia" w:ascii="Arial" w:hAnsi="Arial" w:eastAsia="宋体" w:cs="Arial"/>
          <w:b/>
          <w:bCs/>
          <w:sz w:val="20"/>
          <w:szCs w:val="20"/>
          <w:lang w:val="en-US" w:eastAsia="zh-CN" w:bidi="ar"/>
        </w:rPr>
        <w:t>Legends</w:t>
      </w:r>
    </w:p>
    <w:p>
      <w:pPr>
        <w:spacing w:line="480" w:lineRule="auto"/>
        <w:rPr>
          <w:rStyle w:val="7"/>
          <w:rFonts w:hint="default" w:ascii="Arial" w:hAnsi="Arial" w:eastAsia="宋体" w:cs="Arial"/>
          <w:b/>
          <w:bCs/>
          <w:sz w:val="20"/>
          <w:szCs w:val="20"/>
          <w:lang w:val="en-US" w:eastAsia="zh-CN" w:bidi="ar"/>
        </w:rPr>
      </w:pPr>
    </w:p>
    <w:p>
      <w:pPr>
        <w:spacing w:line="480" w:lineRule="auto"/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</w:pPr>
      <w:r>
        <w:rPr>
          <w:rStyle w:val="7"/>
          <w:rFonts w:hint="default" w:ascii="Arial" w:hAnsi="Arial" w:eastAsia="宋体" w:cs="Arial"/>
          <w:b/>
          <w:bCs/>
          <w:sz w:val="20"/>
          <w:szCs w:val="20"/>
          <w:lang w:val="en-US" w:eastAsia="zh-CN" w:bidi="ar"/>
        </w:rPr>
        <w:t xml:space="preserve">Supplementary Table 1. </w:t>
      </w:r>
      <w:r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  <w:t>Grouping standard based on the systemic inflammation score (SIS).</w:t>
      </w:r>
    </w:p>
    <w:p>
      <w:pPr>
        <w:spacing w:line="480" w:lineRule="auto"/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</w:pPr>
      <w:r>
        <w:rPr>
          <w:rFonts w:hint="default" w:ascii="Arial" w:hAnsi="Arial" w:eastAsia="Arial" w:cs="Arial"/>
          <w:b/>
          <w:bCs/>
          <w:i w:val="0"/>
          <w:color w:val="000000"/>
          <w:sz w:val="20"/>
          <w:szCs w:val="20"/>
          <w:u w:val="none"/>
        </w:rPr>
        <w:t xml:space="preserve">Supplementary Table 2. </w:t>
      </w:r>
      <w:r>
        <w:rPr>
          <w:rFonts w:hint="default" w:ascii="Arial" w:hAnsi="Arial" w:eastAsia="Arial" w:cs="Arial"/>
          <w:b w:val="0"/>
          <w:bCs w:val="0"/>
          <w:i w:val="0"/>
          <w:color w:val="000000"/>
          <w:sz w:val="20"/>
          <w:szCs w:val="20"/>
          <w:u w:val="none"/>
        </w:rPr>
        <w:t>Baseline characteristics between non-CA-AKI</w:t>
      </w:r>
      <w:r>
        <w:rPr>
          <w:rFonts w:hint="default" w:ascii="Arial" w:hAnsi="Arial" w:eastAsia="宋体" w:cs="Arial"/>
          <w:b w:val="0"/>
          <w:bCs w:val="0"/>
          <w:i w:val="0"/>
          <w:color w:val="000000"/>
          <w:sz w:val="20"/>
          <w:szCs w:val="20"/>
          <w:u w:val="none"/>
          <w:lang w:val="en-US" w:eastAsia="zh-CN"/>
        </w:rPr>
        <w:t xml:space="preserve"> </w:t>
      </w:r>
      <w:r>
        <w:rPr>
          <w:rFonts w:hint="default" w:ascii="Arial" w:hAnsi="Arial" w:eastAsia="Arial" w:cs="Arial"/>
          <w:b w:val="0"/>
          <w:bCs w:val="0"/>
          <w:i w:val="0"/>
          <w:color w:val="000000"/>
          <w:sz w:val="20"/>
          <w:szCs w:val="20"/>
          <w:u w:val="none"/>
        </w:rPr>
        <w:t>and CA-AKI group</w:t>
      </w:r>
      <w:r>
        <w:rPr>
          <w:rFonts w:hint="default" w:ascii="Arial" w:hAnsi="Arial" w:eastAsia="宋体" w:cs="Arial"/>
          <w:b w:val="0"/>
          <w:bCs w:val="0"/>
          <w:i w:val="0"/>
          <w:color w:val="000000"/>
          <w:sz w:val="20"/>
          <w:szCs w:val="20"/>
          <w:u w:val="none"/>
          <w:lang w:val="en-US" w:eastAsia="zh-CN"/>
        </w:rPr>
        <w:t>.</w:t>
      </w:r>
    </w:p>
    <w:p>
      <w:pPr>
        <w:spacing w:line="480" w:lineRule="auto"/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</w:pPr>
      <w:r>
        <w:rPr>
          <w:rStyle w:val="7"/>
          <w:rFonts w:hint="default" w:ascii="Arial" w:hAnsi="Arial" w:eastAsia="宋体" w:cs="Arial"/>
          <w:b/>
          <w:bCs/>
          <w:sz w:val="20"/>
          <w:szCs w:val="20"/>
          <w:lang w:val="en-US" w:eastAsia="zh-CN" w:bidi="ar"/>
        </w:rPr>
        <w:t xml:space="preserve">Supplementary Table 3. </w:t>
      </w:r>
      <w:r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  <w:t>Predictive value of SIS for CA-AKI（defined by the ESUR）in various multivariate-adjusted models.</w:t>
      </w:r>
    </w:p>
    <w:p>
      <w:pPr>
        <w:spacing w:line="480" w:lineRule="auto"/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</w:pPr>
      <w:r>
        <w:rPr>
          <w:rStyle w:val="7"/>
          <w:rFonts w:hint="default" w:ascii="Arial" w:hAnsi="Arial" w:eastAsia="宋体" w:cs="Arial"/>
          <w:b/>
          <w:bCs/>
          <w:sz w:val="20"/>
          <w:szCs w:val="20"/>
          <w:lang w:val="en-US" w:eastAsia="zh-CN" w:bidi="ar"/>
        </w:rPr>
        <w:t>Supplementary Figure 1.</w:t>
      </w:r>
      <w:r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  <w:t xml:space="preserve"> Forest plot of the subgroup analyses for association between the SIS and CA-AKI.</w:t>
      </w:r>
    </w:p>
    <w:p>
      <w:pPr>
        <w:spacing w:line="360" w:lineRule="auto"/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</w:pPr>
    </w:p>
    <w:p>
      <w:pPr>
        <w:spacing w:line="360" w:lineRule="auto"/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</w:pPr>
    </w:p>
    <w:p>
      <w:pPr>
        <w:spacing w:line="360" w:lineRule="auto"/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</w:pPr>
      <w:r>
        <w:rPr>
          <w:rStyle w:val="7"/>
          <w:rFonts w:hint="default" w:ascii="Arial" w:hAnsi="Arial" w:eastAsia="宋体" w:cs="Arial"/>
          <w:b/>
          <w:bCs/>
          <w:sz w:val="20"/>
          <w:szCs w:val="20"/>
          <w:lang w:val="en-US" w:eastAsia="zh-CN" w:bidi="ar"/>
        </w:rPr>
        <w:t xml:space="preserve">Supplementary Table 1. </w:t>
      </w:r>
      <w:r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  <w:t>Grouping standard based on systemic inflammation score (SIS).</w:t>
      </w:r>
    </w:p>
    <w:tbl>
      <w:tblPr>
        <w:tblStyle w:val="2"/>
        <w:tblW w:w="8339" w:type="dxa"/>
        <w:tblInd w:w="96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4"/>
        <w:gridCol w:w="21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Variables and Cutoff values</w:t>
            </w:r>
          </w:p>
        </w:tc>
        <w:tc>
          <w:tcPr>
            <w:tcW w:w="307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ystemic inflammation score</w:t>
            </w:r>
          </w:p>
        </w:tc>
        <w:tc>
          <w:tcPr>
            <w:tcW w:w="219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Groups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3" w:type="dxa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Albumin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&gt;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40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g/L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and LMR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&gt;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3.63</w:t>
            </w:r>
          </w:p>
        </w:tc>
        <w:tc>
          <w:tcPr>
            <w:tcW w:w="3074" w:type="dxa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192" w:type="dxa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Low SIS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Albumin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&gt;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40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g/L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and LMR ≤3.63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High SIS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Albumin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≤40 g/L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and LMR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&gt;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3.63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192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7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Albumin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≤40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g/L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and LMR ≤3.63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192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</w:tbl>
    <w:p>
      <w:pPr>
        <w:widowControl w:val="0"/>
        <w:spacing w:line="480" w:lineRule="auto"/>
        <w:jc w:val="left"/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  <w:t xml:space="preserve">Notes: </w:t>
      </w:r>
    </w:p>
    <w:p>
      <w:pPr>
        <w:spacing w:line="360" w:lineRule="auto"/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</w:pPr>
      <w:r>
        <w:rPr>
          <w:rStyle w:val="7"/>
          <w:rFonts w:hint="default" w:ascii="Arial" w:hAnsi="Arial" w:eastAsia="宋体" w:cs="Arial"/>
          <w:b/>
          <w:bCs/>
          <w:sz w:val="20"/>
          <w:szCs w:val="20"/>
          <w:lang w:val="en-US" w:eastAsia="zh-CN" w:bidi="ar"/>
        </w:rPr>
        <w:t xml:space="preserve">Abbreviations: </w:t>
      </w:r>
      <w:r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  <w:t>LMR, lymphocyte-to-monocyte ratio.</w:t>
      </w:r>
    </w:p>
    <w:tbl>
      <w:tblPr>
        <w:tblStyle w:val="2"/>
        <w:tblW w:w="849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28"/>
        <w:gridCol w:w="2165"/>
        <w:gridCol w:w="2333"/>
        <w:gridCol w:w="12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0" w:hRule="atLeast"/>
          <w:jc w:val="center"/>
        </w:trPr>
        <w:tc>
          <w:tcPr>
            <w:tcW w:w="8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宋体" w:cs="Arial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color w:val="000000"/>
                <w:sz w:val="20"/>
                <w:szCs w:val="20"/>
                <w:u w:val="none"/>
              </w:rPr>
              <w:t xml:space="preserve">Supplementary Table 2. </w:t>
            </w:r>
            <w:r>
              <w:rPr>
                <w:rFonts w:hint="default" w:ascii="Arial" w:hAnsi="Arial" w:eastAsia="Arial" w:cs="Arial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Baseline characteristics between non-CA-AKI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Arial" w:cs="Arial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  <w:t>and CA-AKI group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10" w:hRule="atLeast"/>
          <w:jc w:val="center"/>
        </w:trPr>
        <w:tc>
          <w:tcPr>
            <w:tcW w:w="272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Variables</w:t>
            </w:r>
          </w:p>
        </w:tc>
        <w:tc>
          <w:tcPr>
            <w:tcW w:w="216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non-CA-AKI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n=5377</w:t>
            </w:r>
          </w:p>
        </w:tc>
        <w:tc>
          <w:tcPr>
            <w:tcW w:w="233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360" w:lineRule="auto"/>
              <w:ind w:left="100" w:right="100" w:firstLine="0"/>
              <w:jc w:val="center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CA-AKI, n</w:t>
            </w:r>
            <w:r>
              <w:rPr>
                <w:rFonts w:hint="default" w:ascii="Arial" w:hAnsi="Arial" w:eastAsia="Arial" w:cs="Arial"/>
                <w:b w:val="0"/>
                <w:bCs w:val="0"/>
                <w:i/>
                <w:color w:val="000000"/>
                <w:sz w:val="20"/>
                <w:szCs w:val="20"/>
                <w:u w:val="none"/>
              </w:rPr>
              <w:t>=</w:t>
            </w:r>
            <w:r>
              <w:rPr>
                <w:rFonts w:hint="default" w:ascii="Arial" w:hAnsi="Arial" w:eastAsia="Arial" w:cs="Arial"/>
                <w:b w:val="0"/>
                <w:bCs w:val="0"/>
                <w:i w:val="0"/>
                <w:iCs/>
                <w:color w:val="000000"/>
                <w:sz w:val="20"/>
                <w:szCs w:val="20"/>
                <w:u w:val="none"/>
              </w:rPr>
              <w:t>349</w:t>
            </w:r>
          </w:p>
        </w:tc>
        <w:tc>
          <w:tcPr>
            <w:tcW w:w="127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宋体" w:cs="Arial"/>
                <w:b w:val="0"/>
                <w:bCs w:val="0"/>
                <w:sz w:val="20"/>
                <w:szCs w:val="20"/>
                <w:lang w:val="en-US" w:eastAsia="zh-CN"/>
              </w:rPr>
              <w:t xml:space="preserve"> value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8499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color w:val="000000"/>
                <w:sz w:val="20"/>
                <w:szCs w:val="20"/>
                <w:u w:val="none"/>
              </w:rPr>
              <w:t>Demographics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Age, mean ± SD, years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65.1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± 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10.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68.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2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± 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11.3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Gender, female, n (%)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1129 (21.0)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99 (28.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BMI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, median (IQR), kg/m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24.22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22.32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26.30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24.17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22.29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26.05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0.242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SBP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, mean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SD, mmHg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133.07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± 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20.37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138.58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± 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21.66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0.002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DBP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, mean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SD, mmHg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75.21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± 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11.64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77.41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± 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11.87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0.025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8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color w:val="000000"/>
                <w:sz w:val="20"/>
                <w:szCs w:val="20"/>
                <w:u w:val="none"/>
              </w:rPr>
              <w:t>Comorbidities, n (%)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Hypertension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3619 (67.3)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263 (75.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0.002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Diabetes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1888 (35.1)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150 (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43.0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0.004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Congestive heart failure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198 (3.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43 (13.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Atrial fibrillation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323 (6.0)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51 (14.6)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Chronic kidney disease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453 (8.4)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63 (18.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Hypotension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340 (6.32)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45 (12.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&lt;0.001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Acute myocardial infarction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1646 (30.61)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209 (59.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Anemia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1429 (26.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151 (43.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8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color w:val="000000"/>
                <w:sz w:val="20"/>
                <w:szCs w:val="20"/>
                <w:u w:val="none"/>
              </w:rPr>
              <w:t>Procedure performed, mean ± SD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C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 volume, mL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196.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 (64.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197.8 (64.0)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0.651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Number of stents, 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1.64 (0.87)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1.65 (0.97)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0.809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Stent length, mm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44.44 (26.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45.60 (28.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0.474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8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color w:val="000000"/>
                <w:sz w:val="20"/>
                <w:szCs w:val="20"/>
                <w:u w:val="none"/>
              </w:rPr>
              <w:t xml:space="preserve">Laboratory measurements, median </w:t>
            </w: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/>
                <w:bCs/>
                <w:i w:val="0"/>
                <w:color w:val="000000"/>
                <w:sz w:val="20"/>
                <w:szCs w:val="20"/>
                <w:u w:val="none"/>
              </w:rPr>
              <w:t>IQR</w:t>
            </w: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W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hite blood cell, 10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  <w:vertAlign w:val="superscript"/>
              </w:rPr>
              <w:t>9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/L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6.97 (5.81-8.40)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7.43 (6.01-9.32)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Neutrophil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, 10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  <w:vertAlign w:val="superscript"/>
              </w:rPr>
              <w:t>9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/L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4.29 (3.39-5.49)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4.96 (3.62-6.69)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92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Lymphocyte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, 10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  <w:vertAlign w:val="superscript"/>
              </w:rPr>
              <w:t>9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/L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1.84 (1.47-2.31)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1.68 (1.37-2.12)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Monocyte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, 10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  <w:vertAlign w:val="superscript"/>
              </w:rPr>
              <w:t>9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/L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0.46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0.36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0.59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0.51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0.38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0.64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Hemoglobin, g/L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138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128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148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131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11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144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Platelets, 10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  <w:vertAlign w:val="superscript"/>
              </w:rPr>
              <w:t>9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/L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213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181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254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212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179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248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0.495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Albumin, g/L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41.6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38.9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44.3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39.2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36.3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42.0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Creatinine, mg/dL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0.88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0.76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1.02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0.84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0.70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1.06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 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0.145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HDL-C, mmol/L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1.00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0.84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1.19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0.97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0.82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1.15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0.027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LDL-C, mmol/L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2.57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2.00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3.28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2.70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2.06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3.33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0.093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NT-proBNP, pg/mL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193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6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709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1160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324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3084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HbA1c, %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6.00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6.0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7.0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6.00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6.0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8.0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0.003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LVEF, %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59.0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56.0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62.0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57.0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48.0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60.0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LMR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4.06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2.94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5.39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3.33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2.45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4.87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NLR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2.29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1.69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3.21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2.79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2.04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4.01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PLR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90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148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12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 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97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16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SII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34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72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609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420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92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SIRI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1.06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0.68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1.68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 xml:space="preserve">1.44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(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0.88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-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2.28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8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eastAsia="Arial" w:cs="Arial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Medical therapy during hospitalization, n (%)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Antiplatelet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5366 (99.8)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347 (99.4)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0.186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Statin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5327 (99.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345 (98.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0.570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ACEI/ARB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4441 (82.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300 (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86.0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0.123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β-blocker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4436 (82.5)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303 (86.8)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0.046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CCB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1881 (3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131 (37.5)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DAE3F3" w:themeFill="accent5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0.363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0" w:hRule="atLeast"/>
          <w:jc w:val="center"/>
        </w:trPr>
        <w:tc>
          <w:tcPr>
            <w:tcW w:w="272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Arial" w:hAnsi="Arial" w:eastAsia="宋体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Diuretic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s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1238 (23.0)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HAnsi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214 (61.3)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both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&lt;0.001</w:t>
            </w:r>
          </w:p>
        </w:tc>
      </w:tr>
    </w:tbl>
    <w:p>
      <w:pPr>
        <w:widowControl w:val="0"/>
        <w:spacing w:line="480" w:lineRule="auto"/>
        <w:jc w:val="left"/>
        <w:rPr>
          <w:rFonts w:hint="default" w:ascii="Arial" w:hAnsi="Arial" w:eastAsia="宋体" w:cs="Arial"/>
          <w:color w:val="000000"/>
          <w:kern w:val="0"/>
          <w:sz w:val="20"/>
          <w:szCs w:val="20"/>
          <w:lang w:bidi="ar"/>
        </w:rPr>
      </w:pPr>
      <w:r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  <w:t xml:space="preserve">Notes: </w:t>
      </w:r>
    </w:p>
    <w:p>
      <w:pPr>
        <w:spacing w:line="480" w:lineRule="auto"/>
        <w:rPr>
          <w:rStyle w:val="7"/>
          <w:rFonts w:hint="default" w:ascii="Arial" w:hAnsi="Arial" w:eastAsia="宋体" w:cs="Arial"/>
          <w:b/>
          <w:bCs/>
          <w:sz w:val="20"/>
          <w:szCs w:val="20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  <w:t xml:space="preserve">Abbreviations: </w:t>
      </w:r>
      <w:r>
        <w:rPr>
          <w:rFonts w:hint="default" w:ascii="Arial" w:hAnsi="Arial" w:eastAsia="Arial" w:cs="Arial"/>
          <w:b w:val="0"/>
          <w:bCs w:val="0"/>
          <w:i w:val="0"/>
          <w:color w:val="000000"/>
          <w:sz w:val="20"/>
          <w:szCs w:val="20"/>
          <w:u w:val="none"/>
        </w:rPr>
        <w:t>CA-AKI</w:t>
      </w:r>
      <w:r>
        <w:rPr>
          <w:rFonts w:hint="default" w:ascii="Arial" w:hAnsi="Arial" w:eastAsia="宋体" w:cs="Arial"/>
          <w:b w:val="0"/>
          <w:bCs w:val="0"/>
          <w:i w:val="0"/>
          <w:color w:val="000000"/>
          <w:sz w:val="20"/>
          <w:szCs w:val="20"/>
          <w:u w:val="none"/>
          <w:lang w:val="en-US" w:eastAsia="zh-CN"/>
        </w:rPr>
        <w:t xml:space="preserve">, contrast-associated acute kidney injury; 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>SIS, systemic inflammation score</w:t>
      </w:r>
      <w:r>
        <w:rPr>
          <w:rStyle w:val="7"/>
          <w:rFonts w:hint="default" w:ascii="Arial" w:hAnsi="Arial" w:eastAsia="宋体" w:cs="Arial"/>
          <w:sz w:val="20"/>
          <w:szCs w:val="20"/>
          <w:lang w:bidi="ar"/>
        </w:rPr>
        <w:t>; BMI, body mass index;</w:t>
      </w:r>
      <w:r>
        <w:rPr>
          <w:rStyle w:val="7"/>
          <w:rFonts w:hint="default" w:ascii="Arial" w:hAnsi="Arial" w:eastAsia="宋体" w:cs="Arial"/>
          <w:sz w:val="20"/>
          <w:szCs w:val="20"/>
          <w:lang w:val="en-US" w:eastAsia="zh-CN" w:bidi="ar"/>
        </w:rPr>
        <w:t xml:space="preserve"> 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bidi="ar"/>
        </w:rPr>
        <w:t xml:space="preserve">SBP, systolic blood pressure; DBP, diastolic blood pressure; 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 xml:space="preserve">CM, 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bidi="ar"/>
        </w:rPr>
        <w:t>contrast medium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 xml:space="preserve">; 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bidi="ar"/>
        </w:rPr>
        <w:t>LDL-C, low density lipoprotein-cholesterol;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bidi="ar"/>
        </w:rPr>
        <w:t>HDL-C, high density lipoprotein-cholesterol; NT-proBNP, Nterminal pro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>-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bidi="ar"/>
        </w:rPr>
        <w:t>brain natriuretic peptide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>; HbA1c, hemoglobin A1c; LVEF, left ventricular ejection fraction; LMR,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bidi="ar"/>
        </w:rPr>
        <w:t>lymphocyte-to-monocyte ratio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 xml:space="preserve">; 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bidi="ar"/>
        </w:rPr>
        <w:t>NLR, neutrophil-to-lymphocyte ratio;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 xml:space="preserve"> PLR, platelet-to-lymphocyte ratio; 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bidi="ar"/>
        </w:rPr>
        <w:t>SII, systemic immune-inflammation index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 xml:space="preserve">; 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bidi="ar"/>
        </w:rPr>
        <w:t>SIRI, systemic inflammation response index;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bidi="ar"/>
        </w:rPr>
        <w:t>ACEI/ARB, angiotensin-converting enzyme inhibitor/angiotensin receptor blocker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>; CCB, calcium channel blockers.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</w:pPr>
      <w:r>
        <w:rPr>
          <w:rStyle w:val="7"/>
          <w:rFonts w:hint="default" w:ascii="Arial" w:hAnsi="Arial" w:eastAsia="宋体" w:cs="Arial"/>
          <w:b/>
          <w:bCs/>
          <w:sz w:val="20"/>
          <w:szCs w:val="20"/>
          <w:lang w:val="en-US" w:eastAsia="zh-CN" w:bidi="ar"/>
        </w:rPr>
        <w:t xml:space="preserve">Supplementary Table 3. </w:t>
      </w:r>
      <w:r>
        <w:rPr>
          <w:rStyle w:val="7"/>
          <w:rFonts w:hint="default" w:ascii="Arial" w:hAnsi="Arial" w:eastAsia="宋体" w:cs="Arial"/>
          <w:b w:val="0"/>
          <w:bCs w:val="0"/>
          <w:sz w:val="20"/>
          <w:szCs w:val="20"/>
          <w:lang w:val="en-US" w:eastAsia="zh-CN" w:bidi="ar"/>
        </w:rPr>
        <w:t>Predictive value of SIS for CA-AKI（defined by the ESUR）in various multivariate-adjusted models</w:t>
      </w:r>
    </w:p>
    <w:tbl>
      <w:tblPr>
        <w:tblStyle w:val="2"/>
        <w:tblW w:w="8338" w:type="dxa"/>
        <w:tblInd w:w="96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460"/>
        <w:gridCol w:w="2157"/>
        <w:gridCol w:w="1304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7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Models</w:t>
            </w:r>
          </w:p>
        </w:tc>
        <w:tc>
          <w:tcPr>
            <w:tcW w:w="346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Low SIS group*</w:t>
            </w:r>
          </w:p>
        </w:tc>
        <w:tc>
          <w:tcPr>
            <w:tcW w:w="3461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SIS group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7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0" w:type="dxa"/>
            <w:tcBorders>
              <w:top w:val="single" w:color="auto" w:sz="8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 (95% CI)</w:t>
            </w:r>
          </w:p>
        </w:tc>
        <w:tc>
          <w:tcPr>
            <w:tcW w:w="2157" w:type="dxa"/>
            <w:tcBorders>
              <w:top w:val="single" w:color="auto" w:sz="8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 (95% CI)</w:t>
            </w:r>
          </w:p>
        </w:tc>
        <w:tc>
          <w:tcPr>
            <w:tcW w:w="1304" w:type="dxa"/>
            <w:tcBorders>
              <w:top w:val="single" w:color="auto" w:sz="8" w:space="0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Style w:val="8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7" w:type="dxa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Unadjusted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(Ref.)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 (1.26-1.66)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 1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(Ref.)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 (1.35-1.78)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 2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(Ref.)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Arial" w:hAnsi="Arial" w:eastAsia="宋体" w:cs="Arial"/>
                <w:sz w:val="20"/>
                <w:szCs w:val="20"/>
                <w:lang w:val="en-US" w:eastAsia="zh-CN" w:bidi="ar"/>
              </w:rPr>
              <w:t>1.54 (1.33-1.78)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 3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(Ref.)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 (1.07-1.47)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</w:t>
            </w:r>
          </w:p>
        </w:tc>
      </w:tr>
    </w:tbl>
    <w:p>
      <w:pPr>
        <w:widowControl w:val="0"/>
        <w:spacing w:line="480" w:lineRule="auto"/>
        <w:jc w:val="left"/>
        <w:rPr>
          <w:rFonts w:hint="default" w:ascii="Arial" w:hAnsi="Arial" w:eastAsia="宋体" w:cs="Arial"/>
          <w:color w:val="000000"/>
          <w:kern w:val="0"/>
          <w:sz w:val="20"/>
          <w:szCs w:val="20"/>
          <w:lang w:bidi="ar"/>
        </w:rPr>
      </w:pPr>
      <w:r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  <w:t xml:space="preserve">Notes: </w:t>
      </w:r>
      <w:r>
        <w:rPr>
          <w:rFonts w:hint="default" w:ascii="Arial" w:hAnsi="Arial" w:eastAsia="宋体" w:cs="Arial"/>
          <w:b w:val="0"/>
          <w:bCs w:val="0"/>
          <w:kern w:val="0"/>
          <w:sz w:val="20"/>
          <w:szCs w:val="20"/>
          <w:lang w:val="en-US" w:eastAsia="zh-CN"/>
        </w:rPr>
        <w:t>*Reference group.</w:t>
      </w:r>
    </w:p>
    <w:p>
      <w:pPr>
        <w:spacing w:line="36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Model 1: adjusted age &gt;75 years and gender.</w:t>
      </w:r>
    </w:p>
    <w:p>
      <w:pPr>
        <w:spacing w:line="36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Model 2: Model 1 + hypertension, diabetes, congestive heart failure, atrial fibrillation, chronic kidney disease and hypotension.</w:t>
      </w:r>
    </w:p>
    <w:p>
      <w:pPr>
        <w:spacing w:line="36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Model 3: Model 2 + acute myocardial infarction, anemia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>and contrast medium volume &gt;150 mL.</w:t>
      </w:r>
    </w:p>
    <w:p>
      <w:pPr>
        <w:spacing w:line="36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Abbreviations: </w:t>
      </w:r>
      <w:r>
        <w:rPr>
          <w:rFonts w:hint="default" w:ascii="Arial" w:hAnsi="Arial" w:cs="Arial"/>
          <w:sz w:val="20"/>
          <w:szCs w:val="20"/>
        </w:rPr>
        <w:t>SIS, systemic inflammation score; CA-AKI, contrast-associated acute kidney injury; OR, odds ratio; CI, confidence interval.</w:t>
      </w: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</w:rPr>
      </w:pPr>
    </w:p>
    <w:p>
      <w:pPr>
        <w:spacing w:line="360" w:lineRule="auto"/>
        <w:rPr>
          <w:rFonts w:hint="default" w:ascii="Arial" w:hAnsi="Arial" w:cs="Arial"/>
          <w:sz w:val="20"/>
          <w:szCs w:val="20"/>
          <w:lang w:val="en-US" w:eastAsia="zh-CN"/>
        </w:rPr>
      </w:pPr>
    </w:p>
    <w:p>
      <w:pPr>
        <w:keepNext w:val="0"/>
        <w:keepLines w:val="0"/>
        <w:pageBreakBefore/>
        <w:widowControl w:val="0"/>
        <w:tabs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Supplementary Figure 1. </w:t>
      </w:r>
      <w:r>
        <w:rPr>
          <w:rFonts w:hint="default" w:ascii="Arial" w:hAnsi="Arial" w:cs="Arial"/>
          <w:sz w:val="20"/>
          <w:szCs w:val="20"/>
          <w:lang w:val="en-US" w:eastAsia="zh-CN"/>
        </w:rPr>
        <w:t>Forest plot of the subgroup analyses for association between the SIS and CA-AKI.</w:t>
      </w:r>
    </w:p>
    <w:p>
      <w:pPr>
        <w:tabs>
          <w:tab w:val="left" w:pos="7669"/>
        </w:tabs>
        <w:bidi w:val="0"/>
        <w:spacing w:line="480" w:lineRule="auto"/>
        <w:jc w:val="left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drawing>
          <wp:inline distT="0" distB="0" distL="114300" distR="114300">
            <wp:extent cx="5267960" cy="3559175"/>
            <wp:effectExtent l="0" t="0" r="5080" b="6985"/>
            <wp:docPr id="2" name="图片 2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Notes: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“Yes” refers to the red lines, “No” refers to the blue lines.</w:t>
      </w:r>
    </w:p>
    <w:p>
      <w:pPr>
        <w:tabs>
          <w:tab w:val="left" w:pos="7669"/>
        </w:tabs>
        <w:bidi w:val="0"/>
        <w:spacing w:line="480" w:lineRule="auto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Abbreviations: </w:t>
      </w:r>
      <w:r>
        <w:rPr>
          <w:rFonts w:hint="default" w:ascii="Arial" w:hAnsi="Arial" w:cs="Arial"/>
          <w:sz w:val="20"/>
          <w:szCs w:val="20"/>
          <w:lang w:val="en-US" w:eastAsia="zh-CN"/>
        </w:rPr>
        <w:t>SIS, systemic inflammation score; CA-AKI, contrast-associated acute kidney injury; CHF, congestive heart failure; AF, atrial fibrillation; CKD, chronic kidney disease; AMI, acute myocardial infarction; OR, odds ratio; CI, confidence interval.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ZWY1MzM2ZjcyZjg3NzQ0OTk2OTRmZGQwYjBmYmEifQ=="/>
  </w:docVars>
  <w:rsids>
    <w:rsidRoot w:val="257C05FE"/>
    <w:rsid w:val="0D6C1D35"/>
    <w:rsid w:val="13355050"/>
    <w:rsid w:val="16545E94"/>
    <w:rsid w:val="1C3E64F0"/>
    <w:rsid w:val="257C05FE"/>
    <w:rsid w:val="26026FB6"/>
    <w:rsid w:val="27097857"/>
    <w:rsid w:val="2B87415C"/>
    <w:rsid w:val="33550480"/>
    <w:rsid w:val="4F196F13"/>
    <w:rsid w:val="55E07735"/>
    <w:rsid w:val="59720AD0"/>
    <w:rsid w:val="5B2337F0"/>
    <w:rsid w:val="60344F66"/>
    <w:rsid w:val="63B25672"/>
    <w:rsid w:val="6EE259DC"/>
    <w:rsid w:val="7CD90BC7"/>
    <w:rsid w:val="7D7B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自设标题1（2021.06.15）"/>
    <w:basedOn w:val="1"/>
    <w:next w:val="1"/>
    <w:qFormat/>
    <w:uiPriority w:val="0"/>
    <w:pPr>
      <w:keepNext/>
      <w:keepLines/>
      <w:spacing w:beforeLines="0" w:afterLines="0" w:line="240" w:lineRule="auto"/>
      <w:outlineLvl w:val="0"/>
    </w:pPr>
    <w:rPr>
      <w:rFonts w:ascii="Times New Roman" w:hAnsi="Times New Roman" w:eastAsia="华文楷体" w:cs="华文楷体"/>
      <w:kern w:val="44"/>
      <w:sz w:val="22"/>
      <w:szCs w:val="22"/>
    </w:rPr>
  </w:style>
  <w:style w:type="paragraph" w:customStyle="1" w:styleId="5">
    <w:name w:val="自设标题2"/>
    <w:basedOn w:val="1"/>
    <w:qFormat/>
    <w:uiPriority w:val="0"/>
    <w:pPr>
      <w:keepNext/>
      <w:keepLines/>
      <w:spacing w:beforeLines="0" w:afterLines="0" w:line="240" w:lineRule="auto"/>
      <w:outlineLvl w:val="0"/>
    </w:pPr>
    <w:rPr>
      <w:rFonts w:ascii="Times New Roman" w:hAnsi="Times New Roman" w:eastAsia="华文楷体" w:cs="华文楷体"/>
      <w:kern w:val="44"/>
      <w:sz w:val="22"/>
      <w:szCs w:val="22"/>
    </w:rPr>
  </w:style>
  <w:style w:type="paragraph" w:customStyle="1" w:styleId="6">
    <w:name w:val="自设标题2（2021.06.15）"/>
    <w:basedOn w:val="1"/>
    <w:qFormat/>
    <w:uiPriority w:val="0"/>
    <w:pPr>
      <w:keepNext/>
      <w:keepLines/>
      <w:spacing w:beforeLines="0" w:afterLines="0" w:line="240" w:lineRule="auto"/>
      <w:jc w:val="center"/>
      <w:outlineLvl w:val="0"/>
    </w:pPr>
    <w:rPr>
      <w:rFonts w:ascii="Times New Roman" w:hAnsi="Times New Roman" w:eastAsia="华文楷体" w:cs="华文楷体"/>
      <w:color w:val="0000E1"/>
      <w:kern w:val="44"/>
      <w:sz w:val="22"/>
      <w:szCs w:val="22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699</Words>
  <Characters>4245</Characters>
  <Lines>0</Lines>
  <Paragraphs>0</Paragraphs>
  <TotalTime>4</TotalTime>
  <ScaleCrop>false</ScaleCrop>
  <LinksUpToDate>false</LinksUpToDate>
  <CharactersWithSpaces>4713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2023-04-30T09:03:00Z</dcterms:created>
  <dc:creator>漫长的道别</dc:creator>
  <cp:lastModifiedBy>漫长的道别</cp:lastModifiedBy>
  <dcterms:modified xsi:type="dcterms:W3CDTF">2023-06-17T03:58:16Z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BAD063909461481E93A614D06298AD92_11</vt:lpwstr>
  </property>
</Properties>
</file>