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/>
        <w:ind w:left="567" w:hanging="567"/>
        <w:jc w:val="left"/>
        <w:outlineLvl w:val="0"/>
        <w:rPr>
          <w:rFonts w:ascii="Arial" w:hAnsi="Arial" w:eastAsia="Cambria" w:cs="Arial"/>
          <w:b/>
          <w:kern w:val="36"/>
          <w:sz w:val="20"/>
          <w:szCs w:val="20"/>
        </w:rPr>
      </w:pPr>
      <w:r>
        <w:rPr>
          <w:rFonts w:ascii="Arial" w:hAnsi="Arial" w:eastAsia="Cambria" w:cs="Arial"/>
          <w:b/>
          <w:kern w:val="36"/>
          <w:sz w:val="20"/>
          <w:szCs w:val="20"/>
        </w:rPr>
        <w:t>Supplementary Tables</w:t>
      </w:r>
    </w:p>
    <w:tbl>
      <w:tblPr>
        <w:tblStyle w:val="4"/>
        <w:tblW w:w="93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385"/>
        <w:gridCol w:w="1522"/>
        <w:gridCol w:w="828"/>
        <w:gridCol w:w="1161"/>
        <w:gridCol w:w="1070"/>
        <w:gridCol w:w="873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8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before="12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Supplemental Table S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b/>
                <w:bCs/>
                <w:iCs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Overview of the antibodies used for flow cytometry experiments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52" w:hRule="atLeast"/>
        </w:trPr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Antigen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Fluorochrome conjugated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Specificity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Clone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82" w:rightChars="-39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Cat#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CD45</w:t>
            </w:r>
          </w:p>
        </w:tc>
        <w:tc>
          <w:tcPr>
            <w:tcW w:w="238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FITC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IgG1, κ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HI30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FC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304054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κ isotype Ctrl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400107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CD66b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PerCP/Cyanine5.5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IgM, κ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 xml:space="preserve"> G10F5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305108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Isotype Ctrl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401623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CD14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APC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IgG1, κ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63D3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367118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Isotype Ctrl (FC)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10" w:rightChars="-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400121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CD16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PE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IgG1, κ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3G8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FC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302008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Mouse IgG1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36" w:rightChars="-17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Biolegend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-94" w:rightChars="-45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400111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240" w:after="240"/>
        <w:jc w:val="left"/>
        <w:rPr>
          <w:rFonts w:ascii="Arial" w:hAnsi="Arial" w:eastAsia="宋体" w:cs="Arial"/>
          <w:kern w:val="0"/>
          <w:sz w:val="20"/>
          <w:szCs w:val="20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br w:type="page"/>
      </w:r>
    </w:p>
    <w:tbl>
      <w:tblPr>
        <w:tblStyle w:val="4"/>
        <w:tblW w:w="87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276"/>
        <w:gridCol w:w="2324"/>
        <w:gridCol w:w="964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77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Supplemental Table S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Clinical and laboratory characteristics in CAD patients stratified by vessel lesion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98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Variable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 xml:space="preserve">Single vessel lesion </w:t>
            </w:r>
          </w:p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(n = 8549)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 xml:space="preserve">Double or more </w:t>
            </w:r>
          </w:p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vessel lesions</w:t>
            </w:r>
          </w:p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(n =3211)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58.74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10.88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60.94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10.60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Male,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6114 (71.5)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2451 (76.3)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bookmarkStart w:id="0" w:name="_Hlk140652579"/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BMI</w:t>
            </w:r>
            <w:bookmarkEnd w:id="0"/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(kg/m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26.08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3.77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26.2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3.82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SBP (mmHg)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139.52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32.50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142.59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31.63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DBP (mmHg)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87.09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19.22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86.88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19.22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LVEF,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61.30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8.49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59.77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8.26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Blood glucose (mmol/L)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5.24 (4.65 - 6.46)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5.61(4.75 - 7.28)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Hypertension,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2641 (30.9)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1416 (44.1)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Diabetes,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2879 (33.7)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1506 (46.9)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smoker,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3619 (57.7)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1452 (45.2)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drinking,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2083 (24.4)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744 (23.2)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Dyslipidaemia,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4510 (52.8)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1645 (51.2)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Family history of CAD,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2127 (24.9)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877 (27.3)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Medication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Aspirins,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135 (1.6)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243 (7.6)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ACEI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⁄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ARB,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267 (3.1)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264 (8.2)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Statins,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130 (1.5)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258 (8.0)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Beta blocker,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160 (1.9)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184 (5.7)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Comorbidities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History of stroke, n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 (0.4)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17 (0.5)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TC (mmol/L)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1.60 (1.13 - 2.31)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1.60 (1.17 - 2.30)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LDL-C (mmol/L)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2.43 (1.86 - 3.09)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2.41 (1.89 - 3.09)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HDL-C (mmol/L)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0.97 (0.8 - 1.17)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0.93 (0.78 - 1.10)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 (mmol/L)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4.00 (3.29 - 4.78)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3.88 (3.27 - 4.68)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Creatinine (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μ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mol/L)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73 (62 - 84)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74.87 (64.00 - 86.00)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WBC (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×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6.70 (5.62 - 8.04)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6.92 (5.80 - 8.28)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Neutrophil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59.21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10.53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60.90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11.28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Lymphocyte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30.45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9.23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28.68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9.42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Monocyte (%)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7.11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2.43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7.14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2.51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Hemoglobin (g/L)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140.16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16.00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139.64 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±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18.59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8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Platelet (</w:t>
            </w:r>
            <w:r>
              <w:rPr>
                <w:rFonts w:hint="eastAsia" w:ascii="等线" w:hAnsi="等线" w:eastAsia="等线" w:cs="Arial"/>
                <w:color w:val="000000"/>
                <w:kern w:val="0"/>
                <w:sz w:val="16"/>
                <w:szCs w:val="16"/>
              </w:rPr>
              <w:t>×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/L)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204 (168-243)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209 (173-252)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rPr>
          <w:rFonts w:ascii="Arial" w:hAnsi="Arial" w:eastAsia="等线" w:cs="Arial"/>
          <w:sz w:val="16"/>
          <w:szCs w:val="16"/>
        </w:rPr>
      </w:pPr>
      <w:r>
        <w:rPr>
          <w:rFonts w:ascii="Arial" w:hAnsi="Arial" w:eastAsia="等线" w:cs="Arial"/>
          <w:sz w:val="16"/>
          <w:szCs w:val="16"/>
        </w:rPr>
        <w:t>BMI: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eastAsia="等线" w:cs="Arial"/>
          <w:sz w:val="16"/>
          <w:szCs w:val="16"/>
        </w:rPr>
        <w:t>Body mass index</w:t>
      </w:r>
      <w:r>
        <w:rPr>
          <w:rFonts w:hint="eastAsia" w:ascii="Arial" w:hAnsi="Arial" w:eastAsia="等线" w:cs="Arial"/>
          <w:sz w:val="16"/>
          <w:szCs w:val="16"/>
        </w:rPr>
        <w:t>;</w:t>
      </w:r>
      <w:r>
        <w:rPr>
          <w:rFonts w:ascii="Arial" w:hAnsi="Arial" w:eastAsia="等线" w:cs="Arial"/>
          <w:sz w:val="16"/>
          <w:szCs w:val="16"/>
        </w:rPr>
        <w:t xml:space="preserve"> SBP: systolic blood pressure; DBP: diastolic blood pressure; LVEF: Left Ventricle Ejection fraction; TG: triglyceride; TC: total cholesterol; LDL-C: low-density lipoprotein cholesterol; HDL-C: high-density lipoprotein cholesterol.</w:t>
      </w:r>
    </w:p>
    <w:p>
      <w:pPr>
        <w:rPr>
          <w:rFonts w:ascii="等线" w:hAnsi="等线" w:eastAsia="等线" w:cs="Times New Roman"/>
        </w:rPr>
      </w:pPr>
    </w:p>
    <w:p>
      <w:pPr>
        <w:widowControl/>
        <w:spacing w:before="240" w:after="240"/>
        <w:ind w:left="567" w:hanging="567"/>
        <w:jc w:val="left"/>
        <w:outlineLvl w:val="0"/>
        <w:rPr>
          <w:rFonts w:ascii="Arial" w:hAnsi="Arial" w:eastAsia="Cambria" w:cs="Arial"/>
          <w:b/>
          <w:kern w:val="36"/>
          <w:sz w:val="20"/>
          <w:szCs w:val="20"/>
        </w:rPr>
      </w:pPr>
    </w:p>
    <w:p>
      <w:pPr>
        <w:widowControl/>
        <w:jc w:val="left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S</w:t>
      </w:r>
      <w:bookmarkStart w:id="3" w:name="_GoBack"/>
      <w:bookmarkEnd w:id="3"/>
      <w:r>
        <w:rPr>
          <w:rFonts w:ascii="Arial" w:hAnsi="Arial" w:eastAsia="宋体" w:cs="Arial"/>
          <w:b/>
          <w:bCs/>
          <w:kern w:val="0"/>
          <w:sz w:val="20"/>
          <w:szCs w:val="20"/>
        </w:rPr>
        <w:t>upplemental Table S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  <w:t>3</w:t>
      </w:r>
      <w:r>
        <w:rPr>
          <w:rFonts w:ascii="Arial" w:hAnsi="Arial" w:eastAsia="宋体" w:cs="Arial"/>
          <w:b/>
          <w:bCs/>
          <w:kern w:val="0"/>
          <w:sz w:val="20"/>
          <w:szCs w:val="20"/>
        </w:rPr>
        <w:t xml:space="preserve">: 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>Univariate and multivariate Logistic regression analyses for predictors of CAD</w:t>
      </w:r>
    </w:p>
    <w:tbl>
      <w:tblPr>
        <w:tblStyle w:val="4"/>
        <w:tblW w:w="84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943"/>
        <w:gridCol w:w="991"/>
        <w:gridCol w:w="648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Univariate analysis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71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OR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71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95% 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ind w:right="-174" w:rightChars="-83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1.04-1.05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Male,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2.39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ind w:right="-174" w:rightChars="-83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2.13-2.68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Body mass index (kg/m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ind w:right="-53" w:rightChars="-25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1.01-1.03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Current drinking,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0.96-1.29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1" w:name="_Hlk121689443"/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Blood glucose (mmol/L)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1.12-1.18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Stroke,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right="-239" w:rightChars="-114"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Left ventricle ejection fraction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Triglycerides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1.18-1.30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White blood cell (×10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1.00-1.06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Neutrophil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1.00-1.02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Platelet (×10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1.00-1.00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Lymphocyte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Hemoglobin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1.22-1.78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>CI: confidence interval; OR: odds ratio; CAD: chronic coronary artery disease; MHR: monocyte to high-density lipoprotein cholesterol ratio.</w:t>
      </w:r>
    </w:p>
    <w:p>
      <w:pPr>
        <w:widowControl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br w:type="page"/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Supplemental Table S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  <w:t>4</w:t>
      </w:r>
      <w:r>
        <w:rPr>
          <w:rFonts w:ascii="Arial" w:hAnsi="Arial" w:eastAsia="宋体" w:cs="Arial"/>
          <w:b/>
          <w:bCs/>
          <w:kern w:val="0"/>
          <w:sz w:val="20"/>
          <w:szCs w:val="20"/>
        </w:rPr>
        <w:t xml:space="preserve">: </w:t>
      </w:r>
      <w:r>
        <w:rPr>
          <w:rFonts w:ascii="Arial" w:hAnsi="Arial" w:eastAsia="宋体" w:cs="Arial"/>
          <w:color w:val="000000"/>
          <w:kern w:val="0"/>
          <w:sz w:val="20"/>
          <w:szCs w:val="20"/>
        </w:rPr>
        <w:t>Univariate and multivariate logistic regression analyses for predictors of ACS</w:t>
      </w:r>
    </w:p>
    <w:tbl>
      <w:tblPr>
        <w:tblStyle w:val="4"/>
        <w:tblW w:w="84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1271"/>
        <w:gridCol w:w="702"/>
        <w:gridCol w:w="1006"/>
        <w:gridCol w:w="674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6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ind w:right="23" w:rightChars="11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Univariate analysis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6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before="120" w:after="24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20" w:after="240"/>
              <w:jc w:val="center"/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95% 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Age (years), 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Male, n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&lt;0.001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1.68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1.37-2.08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Body mass index (kg/m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&lt;0.001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1.26-1.80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Current drinking, n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Blood glucose (mmol/L)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1.06-1.11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Hypertension, n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1.59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1.37-1.85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Left Ventricle Ejection fraction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&lt;0.001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0.98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0.97-0.99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Dyslipidaemia, n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0.101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White blood cell (×10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Neutrophil (%)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&lt;0.001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1.03-1.04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Platelet (×10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/L)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1.00-1.01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MHR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2.85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2.31-3.53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6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2" w:name="OLE_LINK1"/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Constant</w:t>
            </w:r>
            <w:bookmarkEnd w:id="2"/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right="84" w:rightChars="40"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>CI: confidence interval; OR: odds ratio; ACS: acute coronary syndrome; CAD: chronic coronary artery disease; MHR: monocyte to high-density lipoprotein cholesterol ratio.</w:t>
      </w:r>
    </w:p>
    <w:p>
      <w:pPr>
        <w:widowControl/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</w:p>
    <w:p>
      <w:pPr>
        <w:widowControl/>
        <w:spacing w:before="120" w:after="240"/>
        <w:jc w:val="left"/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YzBhZDE2YzMwZWQ3OTRjNzkxYmM3MTVmMzRlZWMifQ=="/>
  </w:docVars>
  <w:rsids>
    <w:rsidRoot w:val="00A00E83"/>
    <w:rsid w:val="0065290F"/>
    <w:rsid w:val="00653FB3"/>
    <w:rsid w:val="007B68D0"/>
    <w:rsid w:val="00815738"/>
    <w:rsid w:val="00A00E83"/>
    <w:rsid w:val="00D035BB"/>
    <w:rsid w:val="00E42130"/>
    <w:rsid w:val="22DF6DF9"/>
    <w:rsid w:val="3F5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3553</Characters>
  <Lines>31</Lines>
  <Paragraphs>8</Paragraphs>
  <TotalTime>3</TotalTime>
  <ScaleCrop>false</ScaleCrop>
  <LinksUpToDate>false</LinksUpToDate>
  <CharactersWithSpaces>3923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2023-07-19T11:21:00Z</dcterms:created>
  <dc:creator>刘 华</dc:creator>
  <cp:lastModifiedBy>小麦</cp:lastModifiedBy>
  <dcterms:modified xsi:type="dcterms:W3CDTF">2023-08-03T13:31:14Z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8ABBA14627B24C7D91AB1EA099FA3B56_12</vt:lpwstr>
  </property>
</Properties>
</file>