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6FCC9" w14:textId="5380306E" w:rsidR="00994A3D" w:rsidRPr="00A42883" w:rsidRDefault="00994A3D" w:rsidP="001D3855">
      <w:pPr>
        <w:pStyle w:val="2"/>
        <w:numPr>
          <w:ilvl w:val="0"/>
          <w:numId w:val="0"/>
        </w:numPr>
        <w:ind w:left="567" w:hanging="567"/>
      </w:pPr>
      <w:r w:rsidRPr="00A42883">
        <w:t xml:space="preserve">Supplementary </w:t>
      </w:r>
      <w:r w:rsidR="005438A6">
        <w:t>file</w:t>
      </w:r>
      <w:r w:rsidR="005438A6" w:rsidRPr="005438A6">
        <w:rPr>
          <w:rFonts w:hint="eastAsia"/>
        </w:rPr>
        <w:t>s</w:t>
      </w:r>
    </w:p>
    <w:p w14:paraId="11EC8DA1" w14:textId="13E6DA5D" w:rsidR="00994A3D" w:rsidRPr="00A42883" w:rsidRDefault="001D3855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A53F0D6" wp14:editId="72A8F72F">
            <wp:extent cx="6208395" cy="53187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6D88" w14:textId="1384833E" w:rsidR="007C32B1" w:rsidRDefault="007C32B1" w:rsidP="007C32B1">
      <w:pPr>
        <w:rPr>
          <w:rFonts w:eastAsia="宋体" w:cs="Times New Roman"/>
          <w:szCs w:val="28"/>
        </w:rPr>
      </w:pPr>
      <w:r w:rsidRPr="00A42883">
        <w:rPr>
          <w:rFonts w:eastAsia="宋体" w:cs="Times New Roman"/>
          <w:b/>
          <w:bCs/>
          <w:szCs w:val="28"/>
        </w:rPr>
        <w:t xml:space="preserve">Supplementary </w:t>
      </w:r>
      <w:r w:rsidRPr="00A42883">
        <w:rPr>
          <w:rFonts w:eastAsia="宋体" w:cs="Times New Roman" w:hint="eastAsia"/>
          <w:b/>
          <w:bCs/>
          <w:szCs w:val="28"/>
        </w:rPr>
        <w:t>F</w:t>
      </w:r>
      <w:r w:rsidRPr="00A42883">
        <w:rPr>
          <w:rFonts w:eastAsia="宋体" w:cs="Times New Roman"/>
          <w:b/>
          <w:bCs/>
          <w:szCs w:val="28"/>
        </w:rPr>
        <w:t xml:space="preserve">igure S1. </w:t>
      </w:r>
      <w:r w:rsidRPr="00A42883">
        <w:rPr>
          <w:rFonts w:eastAsia="宋体" w:cs="Times New Roman"/>
          <w:szCs w:val="28"/>
        </w:rPr>
        <w:t xml:space="preserve">Total cells obtained from samples of patients with </w:t>
      </w:r>
      <w:r w:rsidR="00A179A1" w:rsidRPr="00A42883">
        <w:rPr>
          <w:rFonts w:eastAsia="宋体" w:cs="Times New Roman"/>
          <w:szCs w:val="28"/>
        </w:rPr>
        <w:t>acute respiratory distress syndrome (</w:t>
      </w:r>
      <w:r w:rsidRPr="00A42883">
        <w:rPr>
          <w:rFonts w:eastAsia="宋体" w:cs="Times New Roman"/>
          <w:szCs w:val="28"/>
        </w:rPr>
        <w:t>ARDS</w:t>
      </w:r>
      <w:r w:rsidR="00A179A1" w:rsidRPr="00A42883">
        <w:rPr>
          <w:rFonts w:eastAsia="宋体" w:cs="Times New Roman"/>
          <w:szCs w:val="28"/>
        </w:rPr>
        <w:t>)</w:t>
      </w:r>
      <w:r w:rsidRPr="00A42883">
        <w:rPr>
          <w:rFonts w:eastAsia="宋体" w:cs="Times New Roman"/>
          <w:szCs w:val="28"/>
        </w:rPr>
        <w:t xml:space="preserve"> and healthy control</w:t>
      </w:r>
      <w:r w:rsidR="00A179A1" w:rsidRPr="00A42883">
        <w:rPr>
          <w:rFonts w:eastAsia="宋体" w:cs="Times New Roman"/>
          <w:szCs w:val="28"/>
        </w:rPr>
        <w:t>s</w:t>
      </w:r>
      <w:r w:rsidRPr="00A42883">
        <w:rPr>
          <w:rFonts w:eastAsia="宋体" w:cs="Times New Roman"/>
          <w:szCs w:val="28"/>
        </w:rPr>
        <w:t xml:space="preserve"> before quality control.</w:t>
      </w:r>
      <w:r w:rsidRPr="00A42883">
        <w:t xml:space="preserve"> </w:t>
      </w:r>
      <w:r w:rsidR="00A179A1" w:rsidRPr="00A42883">
        <w:rPr>
          <w:rFonts w:eastAsia="宋体" w:cs="Times New Roman"/>
          <w:szCs w:val="28"/>
        </w:rPr>
        <w:t>T</w:t>
      </w:r>
      <w:r w:rsidRPr="00A42883">
        <w:rPr>
          <w:rFonts w:eastAsia="宋体" w:cs="Times New Roman"/>
          <w:szCs w:val="28"/>
        </w:rPr>
        <w:t>he range of detected gene numbers, sequencing counts, and percentage of mitochondrial sequencing counts per cell</w:t>
      </w:r>
      <w:r w:rsidR="00A179A1" w:rsidRPr="00A42883">
        <w:rPr>
          <w:rFonts w:eastAsia="宋体" w:cs="Times New Roman"/>
          <w:szCs w:val="28"/>
        </w:rPr>
        <w:t xml:space="preserve"> are included</w:t>
      </w:r>
      <w:r w:rsidRPr="00A42883">
        <w:rPr>
          <w:rFonts w:eastAsia="宋体" w:cs="Times New Roman"/>
          <w:szCs w:val="28"/>
        </w:rPr>
        <w:t>.</w:t>
      </w:r>
    </w:p>
    <w:p w14:paraId="7C3E6393" w14:textId="77777777" w:rsidR="001D3855" w:rsidRDefault="001D3855" w:rsidP="007C32B1">
      <w:pPr>
        <w:rPr>
          <w:rFonts w:eastAsia="宋体" w:cs="Times New Roman"/>
          <w:szCs w:val="28"/>
        </w:rPr>
      </w:pPr>
    </w:p>
    <w:p w14:paraId="007EFC23" w14:textId="4119FCED" w:rsidR="001D3855" w:rsidRPr="00A42883" w:rsidRDefault="001D3855" w:rsidP="007C32B1">
      <w:pPr>
        <w:rPr>
          <w:rFonts w:eastAsia="宋体" w:cs="Times New Roman"/>
          <w:szCs w:val="28"/>
        </w:rPr>
      </w:pPr>
      <w:r>
        <w:rPr>
          <w:rFonts w:eastAsia="宋体" w:cs="Times New Roman"/>
          <w:noProof/>
          <w:szCs w:val="28"/>
          <w:lang w:eastAsia="zh-CN"/>
        </w:rPr>
        <w:lastRenderedPageBreak/>
        <w:drawing>
          <wp:inline distT="0" distB="0" distL="0" distR="0" wp14:anchorId="1D08D539" wp14:editId="39AB4615">
            <wp:extent cx="6208395" cy="620839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E2A2" w14:textId="1CDE82E3" w:rsidR="007C32B1" w:rsidRDefault="007C32B1" w:rsidP="007C32B1">
      <w:pPr>
        <w:rPr>
          <w:rFonts w:eastAsia="宋体" w:cs="Times New Roman"/>
          <w:szCs w:val="28"/>
        </w:rPr>
      </w:pPr>
      <w:r w:rsidRPr="00A42883">
        <w:rPr>
          <w:rFonts w:eastAsia="宋体" w:cs="Times New Roman"/>
          <w:b/>
          <w:bCs/>
          <w:szCs w:val="28"/>
        </w:rPr>
        <w:t xml:space="preserve">Supplementary </w:t>
      </w:r>
      <w:r w:rsidRPr="00A42883">
        <w:rPr>
          <w:rFonts w:eastAsia="宋体" w:cs="Times New Roman" w:hint="eastAsia"/>
          <w:b/>
          <w:bCs/>
          <w:szCs w:val="28"/>
        </w:rPr>
        <w:t>F</w:t>
      </w:r>
      <w:r w:rsidRPr="00A42883">
        <w:rPr>
          <w:rFonts w:eastAsia="宋体" w:cs="Times New Roman"/>
          <w:b/>
          <w:bCs/>
          <w:szCs w:val="28"/>
        </w:rPr>
        <w:t>igure S2.</w:t>
      </w:r>
      <w:r w:rsidRPr="00A42883">
        <w:rPr>
          <w:rFonts w:eastAsia="宋体" w:cs="Times New Roman"/>
          <w:szCs w:val="28"/>
        </w:rPr>
        <w:t xml:space="preserve"> Total cells obtained from samples of patients with </w:t>
      </w:r>
      <w:r w:rsidR="00A179A1" w:rsidRPr="00A42883">
        <w:rPr>
          <w:rFonts w:eastAsia="宋体" w:cs="Times New Roman"/>
          <w:szCs w:val="28"/>
        </w:rPr>
        <w:t>acute respiratory distress syndrome (ARDS)</w:t>
      </w:r>
      <w:r w:rsidRPr="00A42883">
        <w:rPr>
          <w:rFonts w:eastAsia="宋体" w:cs="Times New Roman"/>
          <w:szCs w:val="28"/>
        </w:rPr>
        <w:t xml:space="preserve"> and healthy control</w:t>
      </w:r>
      <w:r w:rsidR="00A179A1" w:rsidRPr="00A42883">
        <w:rPr>
          <w:rFonts w:eastAsia="宋体" w:cs="Times New Roman"/>
          <w:szCs w:val="28"/>
        </w:rPr>
        <w:t>s</w:t>
      </w:r>
      <w:r w:rsidRPr="00A42883">
        <w:rPr>
          <w:rFonts w:eastAsia="宋体" w:cs="Times New Roman"/>
          <w:szCs w:val="28"/>
        </w:rPr>
        <w:t xml:space="preserve"> after quality control.</w:t>
      </w:r>
      <w:r w:rsidRPr="00A42883">
        <w:t xml:space="preserve"> </w:t>
      </w:r>
      <w:r w:rsidR="00A179A1" w:rsidRPr="00A42883">
        <w:rPr>
          <w:rFonts w:eastAsia="宋体" w:cs="Times New Roman"/>
          <w:szCs w:val="28"/>
        </w:rPr>
        <w:t>T</w:t>
      </w:r>
      <w:r w:rsidRPr="00A42883">
        <w:rPr>
          <w:rFonts w:eastAsia="宋体" w:cs="Times New Roman"/>
          <w:szCs w:val="28"/>
        </w:rPr>
        <w:t>he range of detected gene numbers, sequencing counts, and percentage of mitochondrial sequencing counts per cell</w:t>
      </w:r>
      <w:r w:rsidR="00A179A1" w:rsidRPr="00A42883">
        <w:rPr>
          <w:rFonts w:eastAsia="宋体" w:cs="Times New Roman"/>
          <w:szCs w:val="28"/>
        </w:rPr>
        <w:t xml:space="preserve"> are included</w:t>
      </w:r>
      <w:r w:rsidRPr="00A42883">
        <w:rPr>
          <w:rFonts w:eastAsia="宋体" w:cs="Times New Roman"/>
          <w:szCs w:val="28"/>
        </w:rPr>
        <w:t>.</w:t>
      </w:r>
    </w:p>
    <w:p w14:paraId="7AAC5A22" w14:textId="77777777" w:rsidR="001D3855" w:rsidRDefault="001D3855" w:rsidP="007C32B1">
      <w:pPr>
        <w:rPr>
          <w:rFonts w:eastAsia="宋体" w:cs="Times New Roman"/>
          <w:szCs w:val="28"/>
        </w:rPr>
      </w:pPr>
    </w:p>
    <w:p w14:paraId="410AC7A2" w14:textId="78104AA1" w:rsidR="001D3855" w:rsidRPr="00A42883" w:rsidRDefault="001D3855" w:rsidP="007C32B1">
      <w:pPr>
        <w:rPr>
          <w:rFonts w:eastAsia="宋体" w:cs="Times New Roman"/>
          <w:szCs w:val="28"/>
        </w:rPr>
      </w:pPr>
      <w:r>
        <w:rPr>
          <w:rFonts w:eastAsia="宋体" w:cs="Times New Roman"/>
          <w:noProof/>
          <w:szCs w:val="28"/>
          <w:lang w:eastAsia="zh-CN"/>
        </w:rPr>
        <w:lastRenderedPageBreak/>
        <w:drawing>
          <wp:inline distT="0" distB="0" distL="0" distR="0" wp14:anchorId="240BE878" wp14:editId="1D3D9542">
            <wp:extent cx="6208395" cy="254254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5E93CCFB" w:rsidR="00DE23E8" w:rsidRDefault="007C32B1" w:rsidP="001D3855">
      <w:pPr>
        <w:rPr>
          <w:rFonts w:eastAsia="宋体" w:cs="Times New Roman"/>
          <w:szCs w:val="28"/>
        </w:rPr>
      </w:pPr>
      <w:r w:rsidRPr="00A42883">
        <w:rPr>
          <w:rFonts w:eastAsia="宋体" w:cs="Times New Roman"/>
          <w:b/>
          <w:bCs/>
          <w:szCs w:val="28"/>
        </w:rPr>
        <w:t xml:space="preserve">Supplementary </w:t>
      </w:r>
      <w:r w:rsidRPr="00A42883">
        <w:rPr>
          <w:rFonts w:eastAsia="宋体" w:cs="Times New Roman" w:hint="eastAsia"/>
          <w:b/>
          <w:bCs/>
          <w:szCs w:val="28"/>
        </w:rPr>
        <w:t>F</w:t>
      </w:r>
      <w:r w:rsidRPr="00A42883">
        <w:rPr>
          <w:rFonts w:eastAsia="宋体" w:cs="Times New Roman"/>
          <w:b/>
          <w:bCs/>
          <w:szCs w:val="28"/>
        </w:rPr>
        <w:t>igure S3.</w:t>
      </w:r>
      <w:r w:rsidRPr="00A42883">
        <w:rPr>
          <w:rFonts w:eastAsia="宋体" w:cs="Times New Roman"/>
          <w:szCs w:val="28"/>
        </w:rPr>
        <w:t xml:space="preserve"> </w:t>
      </w:r>
      <w:r w:rsidR="005F7EAF" w:rsidRPr="00A42883">
        <w:rPr>
          <w:rFonts w:eastAsia="宋体" w:cs="Times New Roman"/>
          <w:szCs w:val="28"/>
        </w:rPr>
        <w:t>P</w:t>
      </w:r>
      <w:r w:rsidR="00A179A1" w:rsidRPr="00A42883">
        <w:rPr>
          <w:rFonts w:eastAsia="宋体" w:cs="Times New Roman"/>
          <w:szCs w:val="28"/>
        </w:rPr>
        <w:t xml:space="preserve">rincipal </w:t>
      </w:r>
      <w:r w:rsidRPr="00A42883">
        <w:rPr>
          <w:rFonts w:eastAsia="宋体" w:cs="Times New Roman"/>
          <w:szCs w:val="28"/>
        </w:rPr>
        <w:t xml:space="preserve">component </w:t>
      </w:r>
      <w:r w:rsidR="005F7EAF" w:rsidRPr="00A42883">
        <w:rPr>
          <w:rFonts w:eastAsia="宋体" w:cs="Times New Roman"/>
          <w:szCs w:val="28"/>
        </w:rPr>
        <w:t>analyses</w:t>
      </w:r>
      <w:r w:rsidRPr="00A42883">
        <w:rPr>
          <w:rFonts w:eastAsia="宋体" w:cs="Times New Roman"/>
          <w:szCs w:val="28"/>
        </w:rPr>
        <w:t xml:space="preserve">. </w:t>
      </w:r>
      <w:r w:rsidRPr="0065415C">
        <w:rPr>
          <w:rFonts w:eastAsia="宋体" w:cs="Times New Roman"/>
          <w:b/>
          <w:bCs/>
          <w:szCs w:val="28"/>
        </w:rPr>
        <w:t>A.</w:t>
      </w:r>
      <w:r w:rsidRPr="00A42883">
        <w:rPr>
          <w:rFonts w:eastAsia="宋体" w:cs="Times New Roman"/>
          <w:szCs w:val="28"/>
        </w:rPr>
        <w:t xml:space="preserve"> Principal component analysis </w:t>
      </w:r>
      <w:r w:rsidR="005F7EAF" w:rsidRPr="00A42883">
        <w:rPr>
          <w:rFonts w:eastAsia="宋体" w:cs="Times New Roman"/>
          <w:szCs w:val="28"/>
        </w:rPr>
        <w:t xml:space="preserve">results </w:t>
      </w:r>
      <w:r w:rsidRPr="00A42883">
        <w:rPr>
          <w:rFonts w:eastAsia="宋体" w:cs="Times New Roman"/>
          <w:szCs w:val="28"/>
        </w:rPr>
        <w:t xml:space="preserve">before merging batches. </w:t>
      </w:r>
      <w:r w:rsidRPr="0065415C">
        <w:rPr>
          <w:rFonts w:eastAsia="宋体" w:cs="Times New Roman"/>
          <w:b/>
          <w:bCs/>
          <w:szCs w:val="28"/>
        </w:rPr>
        <w:t>B.</w:t>
      </w:r>
      <w:r w:rsidRPr="00A42883">
        <w:rPr>
          <w:rFonts w:eastAsia="宋体" w:cs="Times New Roman"/>
          <w:szCs w:val="28"/>
        </w:rPr>
        <w:t xml:space="preserve"> Principal component analysis </w:t>
      </w:r>
      <w:r w:rsidR="005F7EAF" w:rsidRPr="00A42883">
        <w:rPr>
          <w:rFonts w:eastAsia="宋体" w:cs="Times New Roman"/>
          <w:szCs w:val="28"/>
        </w:rPr>
        <w:t xml:space="preserve">results </w:t>
      </w:r>
      <w:r w:rsidRPr="00A42883">
        <w:rPr>
          <w:rFonts w:eastAsia="宋体" w:cs="Times New Roman"/>
          <w:szCs w:val="28"/>
        </w:rPr>
        <w:t>after merging batches. PC, principal component.</w:t>
      </w:r>
    </w:p>
    <w:p w14:paraId="1B5AF772" w14:textId="77777777" w:rsidR="005438A6" w:rsidRDefault="005438A6" w:rsidP="001D3855">
      <w:pPr>
        <w:rPr>
          <w:rFonts w:eastAsia="宋体" w:cs="Times New Roman"/>
          <w:szCs w:val="28"/>
        </w:rPr>
      </w:pPr>
    </w:p>
    <w:p w14:paraId="504EA745" w14:textId="77C2C1C1" w:rsidR="005438A6" w:rsidRDefault="005438A6" w:rsidP="001D3855">
      <w:pPr>
        <w:rPr>
          <w:rFonts w:eastAsia="宋体" w:cs="Times New Roman"/>
          <w:szCs w:val="28"/>
        </w:rPr>
      </w:pPr>
      <w:r w:rsidRPr="00A42883">
        <w:rPr>
          <w:rFonts w:eastAsia="宋体" w:cs="Times New Roman"/>
          <w:b/>
          <w:bCs/>
          <w:szCs w:val="28"/>
        </w:rPr>
        <w:t xml:space="preserve">Supplementary </w:t>
      </w:r>
      <w:r>
        <w:rPr>
          <w:rFonts w:eastAsia="宋体" w:cs="Times New Roman"/>
          <w:b/>
          <w:bCs/>
          <w:szCs w:val="28"/>
        </w:rPr>
        <w:t>T</w:t>
      </w:r>
      <w:r>
        <w:rPr>
          <w:rFonts w:eastAsia="宋体" w:cs="Times New Roman" w:hint="eastAsia"/>
          <w:b/>
          <w:bCs/>
          <w:szCs w:val="28"/>
          <w:lang w:eastAsia="zh-CN"/>
        </w:rPr>
        <w:t>able</w:t>
      </w:r>
      <w:r w:rsidRPr="00A42883">
        <w:rPr>
          <w:rFonts w:eastAsia="宋体" w:cs="Times New Roman"/>
          <w:b/>
          <w:bCs/>
          <w:szCs w:val="28"/>
        </w:rPr>
        <w:t xml:space="preserve"> S</w:t>
      </w:r>
      <w:r>
        <w:rPr>
          <w:rFonts w:eastAsia="宋体" w:cs="Times New Roman"/>
          <w:b/>
          <w:bCs/>
          <w:szCs w:val="28"/>
        </w:rPr>
        <w:t>1</w:t>
      </w:r>
      <w:r w:rsidRPr="00A42883">
        <w:rPr>
          <w:rFonts w:eastAsia="宋体" w:cs="Times New Roman"/>
          <w:b/>
          <w:bCs/>
          <w:szCs w:val="28"/>
        </w:rPr>
        <w:t>.</w:t>
      </w:r>
      <w:r w:rsidRPr="005438A6">
        <w:t xml:space="preserve"> </w:t>
      </w:r>
      <w:r w:rsidRPr="005438A6">
        <w:rPr>
          <w:rFonts w:eastAsia="宋体" w:cs="Times New Roman"/>
          <w:szCs w:val="28"/>
        </w:rPr>
        <w:t>Clinical information of all samples</w:t>
      </w:r>
      <w:r>
        <w:rPr>
          <w:rFonts w:eastAsia="宋体" w:cs="Times New Roman" w:hint="eastAsia"/>
          <w:szCs w:val="28"/>
          <w:lang w:eastAsia="zh-CN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500"/>
        <w:gridCol w:w="377"/>
        <w:gridCol w:w="634"/>
        <w:gridCol w:w="597"/>
        <w:gridCol w:w="426"/>
        <w:gridCol w:w="794"/>
        <w:gridCol w:w="906"/>
        <w:gridCol w:w="840"/>
        <w:gridCol w:w="548"/>
        <w:gridCol w:w="385"/>
        <w:gridCol w:w="518"/>
        <w:gridCol w:w="589"/>
        <w:gridCol w:w="589"/>
        <w:gridCol w:w="548"/>
        <w:gridCol w:w="651"/>
        <w:gridCol w:w="788"/>
        <w:gridCol w:w="589"/>
      </w:tblGrid>
      <w:tr w:rsidR="005438A6" w:rsidRPr="005438A6" w14:paraId="37AC13DC" w14:textId="77777777" w:rsidTr="005438A6">
        <w:trPr>
          <w:trHeight w:val="810"/>
        </w:trPr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67B60C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Group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BFCEC4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Sex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6BF7F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Age</w:t>
            </w:r>
          </w:p>
        </w:tc>
        <w:tc>
          <w:tcPr>
            <w:tcW w:w="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149280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Disease Status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45155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2"/>
                <w:lang w:eastAsia="zh-CN"/>
              </w:rPr>
              <w:t>Time interval to diagnosis of ARDS</w:t>
            </w:r>
          </w:p>
        </w:tc>
        <w:tc>
          <w:tcPr>
            <w:tcW w:w="1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50601C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FIO2 (%)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83B9F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pH(T)(mmHg)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81D72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pCO2(T)(mmHg)</w:t>
            </w:r>
          </w:p>
        </w:tc>
        <w:tc>
          <w:tcPr>
            <w:tcW w:w="4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27C34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pO2(T)(mmHg)</w:t>
            </w:r>
          </w:p>
        </w:tc>
        <w:tc>
          <w:tcPr>
            <w:tcW w:w="2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7AE836" w14:textId="0E5475EC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pO2(A),</w:t>
            </w:r>
            <w:r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 (mmHg)</w:t>
            </w:r>
          </w:p>
        </w:tc>
        <w:tc>
          <w:tcPr>
            <w:tcW w:w="1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2B37A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sO2 (%)</w:t>
            </w:r>
          </w:p>
        </w:tc>
        <w:tc>
          <w:tcPr>
            <w:tcW w:w="2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03124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tO2 (ml/dL)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E11D5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tCO2 (mmol/L)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303E0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Lac (mmol/L)</w:t>
            </w:r>
          </w:p>
        </w:tc>
        <w:tc>
          <w:tcPr>
            <w:tcW w:w="2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C8195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PO2(A-</w:t>
            </w:r>
            <w:proofErr w:type="spellStart"/>
            <w:proofErr w:type="gramStart"/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a,T</w:t>
            </w:r>
            <w:proofErr w:type="spellEnd"/>
            <w:proofErr w:type="gramEnd"/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)e (mmHg)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81CC9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PO2(a/A</w:t>
            </w:r>
            <w:r w:rsidRPr="005438A6">
              <w:rPr>
                <w:rFonts w:ascii="宋体" w:eastAsia="宋体" w:hAnsi="宋体" w:cs="Times New Roman" w:hint="eastAsia"/>
                <w:b/>
                <w:bCs/>
                <w:color w:val="000000"/>
                <w:sz w:val="21"/>
                <w:szCs w:val="21"/>
                <w:lang w:eastAsia="zh-CN"/>
              </w:rPr>
              <w:t>，</w:t>
            </w: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T) (%)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91B0F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pO2(a)/FO2(I) (mmol/L)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3EC8D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>mOsm</w:t>
            </w:r>
            <w:proofErr w:type="spellEnd"/>
            <w:r w:rsidRPr="005438A6">
              <w:rPr>
                <w:rFonts w:eastAsia="宋体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 (mmol/L)</w:t>
            </w:r>
          </w:p>
        </w:tc>
      </w:tr>
      <w:tr w:rsidR="005438A6" w:rsidRPr="005438A6" w14:paraId="2CB125AC" w14:textId="77777777" w:rsidTr="005438A6">
        <w:trPr>
          <w:trHeight w:val="555"/>
        </w:trPr>
        <w:tc>
          <w:tcPr>
            <w:tcW w:w="2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82AF6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PEN-ARDS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8F92AE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14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FAE0A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18</w:t>
            </w:r>
          </w:p>
        </w:tc>
        <w:tc>
          <w:tcPr>
            <w:tcW w:w="2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89061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No underlying disease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7BA71C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36 hours after onset of disease</w:t>
            </w:r>
          </w:p>
        </w:tc>
        <w:tc>
          <w:tcPr>
            <w:tcW w:w="17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AB8A3B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100</w:t>
            </w:r>
          </w:p>
        </w:tc>
        <w:tc>
          <w:tcPr>
            <w:tcW w:w="3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E2AFF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7.39</w:t>
            </w:r>
          </w:p>
        </w:tc>
        <w:tc>
          <w:tcPr>
            <w:tcW w:w="45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861303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46.1</w:t>
            </w:r>
          </w:p>
        </w:tc>
        <w:tc>
          <w:tcPr>
            <w:tcW w:w="4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944A68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51.30 </w:t>
            </w:r>
          </w:p>
        </w:tc>
        <w:tc>
          <w:tcPr>
            <w:tcW w:w="2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F75C6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655.3</w:t>
            </w:r>
          </w:p>
        </w:tc>
        <w:tc>
          <w:tcPr>
            <w:tcW w:w="1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A0FFD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86.9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8295F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9.6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C028E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60.3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AEE1B2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0.7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9427E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603.9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CC352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7.8</w:t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20817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51.3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12CF8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316.3</w:t>
            </w:r>
          </w:p>
        </w:tc>
      </w:tr>
      <w:tr w:rsidR="005438A6" w:rsidRPr="005438A6" w14:paraId="3ADEDBCF" w14:textId="77777777" w:rsidTr="005438A6">
        <w:trPr>
          <w:trHeight w:val="555"/>
        </w:trPr>
        <w:tc>
          <w:tcPr>
            <w:tcW w:w="231" w:type="pct"/>
            <w:shd w:val="clear" w:color="auto" w:fill="auto"/>
            <w:vAlign w:val="center"/>
            <w:hideMark/>
          </w:tcPr>
          <w:p w14:paraId="22FEFBF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SEP-ARDS1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B1533AF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147" w:type="pct"/>
            <w:shd w:val="clear" w:color="auto" w:fill="auto"/>
            <w:vAlign w:val="center"/>
            <w:hideMark/>
          </w:tcPr>
          <w:p w14:paraId="676C8B33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42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14:paraId="4A25206F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No underlying disease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0D5A144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 xml:space="preserve">26 hours after onset of </w:t>
            </w: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lastRenderedPageBreak/>
              <w:t>disease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53C9768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lastRenderedPageBreak/>
              <w:t>100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14:paraId="72D43D54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7.4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5341B32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35.6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A81DD5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sz w:val="21"/>
                <w:szCs w:val="21"/>
                <w:lang w:eastAsia="zh-CN"/>
              </w:rPr>
              <w:t>74.6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3144E9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664.1</w:t>
            </w:r>
          </w:p>
        </w:tc>
        <w:tc>
          <w:tcPr>
            <w:tcW w:w="152" w:type="pct"/>
            <w:shd w:val="clear" w:color="auto" w:fill="auto"/>
            <w:vAlign w:val="center"/>
            <w:hideMark/>
          </w:tcPr>
          <w:p w14:paraId="3D17820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94.8</w:t>
            </w:r>
          </w:p>
        </w:tc>
        <w:tc>
          <w:tcPr>
            <w:tcW w:w="229" w:type="pct"/>
            <w:shd w:val="clear" w:color="auto" w:fill="auto"/>
            <w:vAlign w:val="center"/>
            <w:hideMark/>
          </w:tcPr>
          <w:p w14:paraId="49E3D62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17.2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449A9870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43.4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79D6E27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3.7</w:t>
            </w:r>
          </w:p>
        </w:tc>
        <w:tc>
          <w:tcPr>
            <w:tcW w:w="246" w:type="pct"/>
            <w:shd w:val="clear" w:color="auto" w:fill="auto"/>
            <w:vAlign w:val="center"/>
            <w:hideMark/>
          </w:tcPr>
          <w:p w14:paraId="43BAF10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589.5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5BCA44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11.2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0F72DB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68.5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05A2352E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251.4</w:t>
            </w:r>
          </w:p>
        </w:tc>
      </w:tr>
      <w:tr w:rsidR="005438A6" w:rsidRPr="005438A6" w14:paraId="39D8FBA1" w14:textId="77777777" w:rsidTr="005438A6">
        <w:trPr>
          <w:trHeight w:val="555"/>
        </w:trPr>
        <w:tc>
          <w:tcPr>
            <w:tcW w:w="231" w:type="pct"/>
            <w:shd w:val="clear" w:color="auto" w:fill="auto"/>
            <w:vAlign w:val="center"/>
            <w:hideMark/>
          </w:tcPr>
          <w:p w14:paraId="12A3739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SEP-ARDS2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2395FDB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Female</w:t>
            </w:r>
          </w:p>
        </w:tc>
        <w:tc>
          <w:tcPr>
            <w:tcW w:w="147" w:type="pct"/>
            <w:shd w:val="clear" w:color="auto" w:fill="auto"/>
            <w:vAlign w:val="center"/>
            <w:hideMark/>
          </w:tcPr>
          <w:p w14:paraId="4C33F0A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37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14:paraId="7FA360CC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No underlying disease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39C56C2B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42 hours after onset of disease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65D3836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14:paraId="7E65528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7.43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101BB06E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30.1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114C260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69.2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15BD1FB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461.1</w:t>
            </w:r>
          </w:p>
        </w:tc>
        <w:tc>
          <w:tcPr>
            <w:tcW w:w="152" w:type="pct"/>
            <w:shd w:val="clear" w:color="auto" w:fill="auto"/>
            <w:vAlign w:val="center"/>
            <w:hideMark/>
          </w:tcPr>
          <w:p w14:paraId="2A93523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95.1</w:t>
            </w:r>
          </w:p>
        </w:tc>
        <w:tc>
          <w:tcPr>
            <w:tcW w:w="229" w:type="pct"/>
            <w:shd w:val="clear" w:color="auto" w:fill="auto"/>
            <w:vAlign w:val="center"/>
            <w:hideMark/>
          </w:tcPr>
          <w:p w14:paraId="70C4EAA1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11.7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4D6A119B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42.4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79324F88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3.7</w:t>
            </w:r>
          </w:p>
        </w:tc>
        <w:tc>
          <w:tcPr>
            <w:tcW w:w="246" w:type="pct"/>
            <w:shd w:val="clear" w:color="auto" w:fill="auto"/>
            <w:vAlign w:val="center"/>
            <w:hideMark/>
          </w:tcPr>
          <w:p w14:paraId="1A2207A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391.9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68C2CDE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AA21803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95.7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6780235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276</w:t>
            </w:r>
          </w:p>
        </w:tc>
      </w:tr>
      <w:tr w:rsidR="005438A6" w:rsidRPr="005438A6" w14:paraId="4E4037E8" w14:textId="77777777" w:rsidTr="005438A6">
        <w:trPr>
          <w:trHeight w:val="555"/>
        </w:trPr>
        <w:tc>
          <w:tcPr>
            <w:tcW w:w="231" w:type="pct"/>
            <w:shd w:val="clear" w:color="auto" w:fill="auto"/>
            <w:vAlign w:val="center"/>
            <w:hideMark/>
          </w:tcPr>
          <w:p w14:paraId="543A1159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Control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14:paraId="52B8769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Male</w:t>
            </w:r>
          </w:p>
        </w:tc>
        <w:tc>
          <w:tcPr>
            <w:tcW w:w="147" w:type="pct"/>
            <w:shd w:val="clear" w:color="auto" w:fill="auto"/>
            <w:vAlign w:val="center"/>
            <w:hideMark/>
          </w:tcPr>
          <w:p w14:paraId="09A9A6D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30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14:paraId="4C71695B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No underlying disease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35E3A233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Control</w:t>
            </w:r>
          </w:p>
        </w:tc>
        <w:tc>
          <w:tcPr>
            <w:tcW w:w="176" w:type="pct"/>
            <w:shd w:val="clear" w:color="auto" w:fill="auto"/>
            <w:vAlign w:val="center"/>
            <w:hideMark/>
          </w:tcPr>
          <w:p w14:paraId="78D245B5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1"/>
                <w:szCs w:val="21"/>
                <w:lang w:eastAsia="zh-CN"/>
              </w:rPr>
              <w:t>40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14:paraId="35C92006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7.35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7FDE55F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44.3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14:paraId="0F9542D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185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6C313473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233.1</w:t>
            </w:r>
          </w:p>
        </w:tc>
        <w:tc>
          <w:tcPr>
            <w:tcW w:w="152" w:type="pct"/>
            <w:shd w:val="clear" w:color="auto" w:fill="auto"/>
            <w:vAlign w:val="center"/>
            <w:hideMark/>
          </w:tcPr>
          <w:p w14:paraId="36B6088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100</w:t>
            </w:r>
          </w:p>
        </w:tc>
        <w:tc>
          <w:tcPr>
            <w:tcW w:w="229" w:type="pct"/>
            <w:shd w:val="clear" w:color="auto" w:fill="auto"/>
            <w:vAlign w:val="center"/>
            <w:hideMark/>
          </w:tcPr>
          <w:p w14:paraId="0071FA7D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21.6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2FA33FEA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33.3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24D7B7D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0.6</w:t>
            </w:r>
          </w:p>
        </w:tc>
        <w:tc>
          <w:tcPr>
            <w:tcW w:w="246" w:type="pct"/>
            <w:shd w:val="clear" w:color="auto" w:fill="auto"/>
            <w:vAlign w:val="center"/>
            <w:hideMark/>
          </w:tcPr>
          <w:p w14:paraId="02B3C108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37.8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501018C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92.3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2A52B72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463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14:paraId="25808377" w14:textId="77777777" w:rsidR="005438A6" w:rsidRPr="005438A6" w:rsidRDefault="005438A6" w:rsidP="005438A6">
            <w:pPr>
              <w:spacing w:before="0" w:after="0"/>
              <w:jc w:val="center"/>
              <w:rPr>
                <w:rFonts w:eastAsia="宋体" w:cs="Times New Roman"/>
                <w:color w:val="000000"/>
                <w:sz w:val="22"/>
                <w:lang w:eastAsia="zh-CN"/>
              </w:rPr>
            </w:pPr>
            <w:r w:rsidRPr="005438A6">
              <w:rPr>
                <w:rFonts w:eastAsia="宋体" w:cs="Times New Roman"/>
                <w:color w:val="000000"/>
                <w:sz w:val="22"/>
                <w:lang w:eastAsia="zh-CN"/>
              </w:rPr>
              <w:t>304.3</w:t>
            </w:r>
          </w:p>
        </w:tc>
      </w:tr>
    </w:tbl>
    <w:p w14:paraId="1D381467" w14:textId="77777777" w:rsidR="005438A6" w:rsidRDefault="005438A6" w:rsidP="001D3855">
      <w:pPr>
        <w:rPr>
          <w:rFonts w:eastAsia="宋体" w:cs="Times New Roman"/>
          <w:szCs w:val="28"/>
        </w:rPr>
      </w:pPr>
    </w:p>
    <w:p w14:paraId="66A3A0D3" w14:textId="77777777" w:rsidR="005438A6" w:rsidRPr="001D3855" w:rsidRDefault="005438A6" w:rsidP="001D3855">
      <w:pPr>
        <w:rPr>
          <w:rFonts w:eastAsia="宋体" w:cs="Times New Roman"/>
          <w:szCs w:val="28"/>
        </w:rPr>
      </w:pPr>
    </w:p>
    <w:sectPr w:rsidR="005438A6" w:rsidRPr="001D3855" w:rsidSect="005438A6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2B09" w14:textId="77777777" w:rsidR="00100E6A" w:rsidRDefault="00100E6A" w:rsidP="00117666">
      <w:pPr>
        <w:spacing w:after="0"/>
      </w:pPr>
      <w:r>
        <w:separator/>
      </w:r>
    </w:p>
  </w:endnote>
  <w:endnote w:type="continuationSeparator" w:id="0">
    <w:p w14:paraId="3529C3E7" w14:textId="77777777" w:rsidR="00100E6A" w:rsidRDefault="00100E6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072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072E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A42883" w:rsidRDefault="00C52A7B">
    <w:pPr>
      <w:rPr>
        <w:b/>
        <w:sz w:val="20"/>
        <w:szCs w:val="24"/>
      </w:rPr>
    </w:pPr>
    <w:r w:rsidRPr="00A42883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072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072E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F6004" w14:textId="77777777" w:rsidR="00100E6A" w:rsidRDefault="00100E6A" w:rsidP="00117666">
      <w:pPr>
        <w:spacing w:after="0"/>
      </w:pPr>
      <w:r>
        <w:separator/>
      </w:r>
    </w:p>
  </w:footnote>
  <w:footnote w:type="continuationSeparator" w:id="0">
    <w:p w14:paraId="474E38E9" w14:textId="77777777" w:rsidR="00100E6A" w:rsidRDefault="00100E6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3EDFF19B" w:rsidR="00995F6A" w:rsidRPr="00A42883" w:rsidRDefault="00C52A7B" w:rsidP="0093429D">
    <w:r w:rsidRPr="00A42883">
      <w:rPr>
        <w:b/>
      </w:rPr>
      <w:ptab w:relativeTo="margin" w:alignment="center" w:leader="none"/>
    </w:r>
    <w:r w:rsidRPr="00A428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54045234">
    <w:abstractNumId w:val="0"/>
  </w:num>
  <w:num w:numId="2" w16cid:durableId="616372677">
    <w:abstractNumId w:val="4"/>
  </w:num>
  <w:num w:numId="3" w16cid:durableId="342633059">
    <w:abstractNumId w:val="1"/>
  </w:num>
  <w:num w:numId="4" w16cid:durableId="830486166">
    <w:abstractNumId w:val="5"/>
  </w:num>
  <w:num w:numId="5" w16cid:durableId="966846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562413">
    <w:abstractNumId w:val="3"/>
  </w:num>
  <w:num w:numId="7" w16cid:durableId="1322779846">
    <w:abstractNumId w:val="6"/>
  </w:num>
  <w:num w:numId="8" w16cid:durableId="125393365">
    <w:abstractNumId w:val="6"/>
  </w:num>
  <w:num w:numId="9" w16cid:durableId="1055272805">
    <w:abstractNumId w:val="6"/>
  </w:num>
  <w:num w:numId="10" w16cid:durableId="1433352654">
    <w:abstractNumId w:val="6"/>
  </w:num>
  <w:num w:numId="11" w16cid:durableId="100415295">
    <w:abstractNumId w:val="6"/>
  </w:num>
  <w:num w:numId="12" w16cid:durableId="498548410">
    <w:abstractNumId w:val="6"/>
  </w:num>
  <w:num w:numId="13" w16cid:durableId="340814613">
    <w:abstractNumId w:val="3"/>
  </w:num>
  <w:num w:numId="14" w16cid:durableId="1074619959">
    <w:abstractNumId w:val="2"/>
  </w:num>
  <w:num w:numId="15" w16cid:durableId="1094210159">
    <w:abstractNumId w:val="2"/>
  </w:num>
  <w:num w:numId="16" w16cid:durableId="509370661">
    <w:abstractNumId w:val="2"/>
  </w:num>
  <w:num w:numId="17" w16cid:durableId="1620212516">
    <w:abstractNumId w:val="2"/>
  </w:num>
  <w:num w:numId="18" w16cid:durableId="1343624027">
    <w:abstractNumId w:val="2"/>
  </w:num>
  <w:num w:numId="19" w16cid:durableId="1698702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bordersDoNotSurroundHeader/>
  <w:bordersDoNotSurroundFooter/>
  <w:activeWritingStyle w:appName="MSWord" w:lang="en-US" w:vendorID="64" w:dllVersion="4096" w:nlCheck="1" w:checkStyle="1"/>
  <w:activeWritingStyle w:appName="MSWord" w:lang="en-GB" w:vendorID="64" w:dllVersion="4096" w:nlCheck="1" w:checkStyle="1"/>
  <w:activeWritingStyle w:appName="MSWord" w:lang="en-US" w:vendorID="64" w:dllVersion="6" w:nlCheck="1" w:checkStyle="1"/>
  <w:activeWritingStyle w:appName="MSWord" w:lang="zh-CN" w:vendorID="64" w:dllVersion="0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0E6A"/>
    <w:rsid w:val="00105FD9"/>
    <w:rsid w:val="00117666"/>
    <w:rsid w:val="001549D3"/>
    <w:rsid w:val="00160065"/>
    <w:rsid w:val="00177D84"/>
    <w:rsid w:val="001D3855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049D4"/>
    <w:rsid w:val="00416387"/>
    <w:rsid w:val="00447801"/>
    <w:rsid w:val="00452E9C"/>
    <w:rsid w:val="004728C7"/>
    <w:rsid w:val="004735C8"/>
    <w:rsid w:val="004961FF"/>
    <w:rsid w:val="00517A89"/>
    <w:rsid w:val="005250F2"/>
    <w:rsid w:val="00526D64"/>
    <w:rsid w:val="005438A6"/>
    <w:rsid w:val="00545C66"/>
    <w:rsid w:val="00593EEA"/>
    <w:rsid w:val="005A5EEE"/>
    <w:rsid w:val="005E6046"/>
    <w:rsid w:val="005F7EAF"/>
    <w:rsid w:val="006375C7"/>
    <w:rsid w:val="0065415C"/>
    <w:rsid w:val="00654E8F"/>
    <w:rsid w:val="00660D05"/>
    <w:rsid w:val="00670024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32B1"/>
    <w:rsid w:val="007D3DC9"/>
    <w:rsid w:val="00803D24"/>
    <w:rsid w:val="00817DD6"/>
    <w:rsid w:val="00885156"/>
    <w:rsid w:val="009151AA"/>
    <w:rsid w:val="0093429D"/>
    <w:rsid w:val="00943573"/>
    <w:rsid w:val="009577CE"/>
    <w:rsid w:val="00970F7D"/>
    <w:rsid w:val="00994A3D"/>
    <w:rsid w:val="009C2B12"/>
    <w:rsid w:val="009C70F3"/>
    <w:rsid w:val="00A174D9"/>
    <w:rsid w:val="00A179A1"/>
    <w:rsid w:val="00A42883"/>
    <w:rsid w:val="00A569CD"/>
    <w:rsid w:val="00AB6715"/>
    <w:rsid w:val="00B1671E"/>
    <w:rsid w:val="00B25EB8"/>
    <w:rsid w:val="00B354E1"/>
    <w:rsid w:val="00B37F4D"/>
    <w:rsid w:val="00B71686"/>
    <w:rsid w:val="00C04F18"/>
    <w:rsid w:val="00C072E8"/>
    <w:rsid w:val="00C30524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DE6E97"/>
    <w:rsid w:val="00E52377"/>
    <w:rsid w:val="00E64E17"/>
    <w:rsid w:val="00E866C9"/>
    <w:rsid w:val="00EA3D3C"/>
    <w:rsid w:val="00ED1B18"/>
    <w:rsid w:val="00F1474C"/>
    <w:rsid w:val="00F46900"/>
    <w:rsid w:val="00F61D89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2AAF6D-A61E-4F24-8CCC-24A743F90C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17</TotalTime>
  <Pages>4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Tina T</cp:lastModifiedBy>
  <cp:revision>19</cp:revision>
  <cp:lastPrinted>2013-10-03T12:51:00Z</cp:lastPrinted>
  <dcterms:created xsi:type="dcterms:W3CDTF">2023-02-17T15:56:00Z</dcterms:created>
  <dcterms:modified xsi:type="dcterms:W3CDTF">2023-06-28T15:26:00Z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