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18"/>
          <w:szCs w:val="18"/>
          <w:lang w:bidi="ar"/>
        </w:rPr>
        <w:t>Supplement table 1.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  <w:lang w:bidi="ar"/>
        </w:rPr>
        <w:t xml:space="preserve"> Hospitals participating in this study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18"/>
          <w:szCs w:val="18"/>
          <w:lang w:bidi="ar"/>
        </w:rPr>
        <w:t>.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  <w:lang w:bidi="ar"/>
        </w:rPr>
        <w:t xml:space="preserve"> </w:t>
      </w:r>
    </w:p>
    <w:tbl>
      <w:tblPr>
        <w:tblStyle w:val="5"/>
        <w:tblW w:w="134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  <w:gridCol w:w="112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Number </w:t>
            </w:r>
          </w:p>
        </w:tc>
        <w:tc>
          <w:tcPr>
            <w:tcW w:w="1128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Hospital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(Province, Country)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28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The Second Xiangya Hospital of Central South University (Hunan, China)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Zhuzhou Central Hospital (Hunan, China)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Hunan Prevention and Treatment Institute for Occupational Diseases (Hunan, China)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The Third Hospital of Changsha (Hunan, China)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Affiliated Hospital of Guilin Medical University (Guangxi Zhuang Autonomous Region, China)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The First Affiliated People's Hospital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of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Shaoyang College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(Hunan, China)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The Second People’s Hospital of Guilin (Guangxi Zhuang Autonomous Region, China)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The No.1 Traditional Chinese Medicine Hospital in Changde (Hunan, China)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The First People’s Hospital of Huaihua (Hunan, China)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Longshan County Hospital of Traditional Chinese Medicine (Xiangxi Autonomous Prefecture, China)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Central Hospital of Xiangtan (Hunan, China)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128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Changsha Hospital of Traditional Chinese Medicine (Changsha Eighth Hospital)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(Hunan, China) </w:t>
            </w:r>
          </w:p>
        </w:tc>
      </w:tr>
    </w:tbl>
    <w:p>
      <w:pPr>
        <w:rPr>
          <w:rFonts w:ascii="Times New Roman" w:hAnsi="Times New Roman" w:eastAsia="宋体" w:cs="Times New Roman"/>
          <w:kern w:val="0"/>
          <w:sz w:val="18"/>
          <w:szCs w:val="18"/>
        </w:rPr>
      </w:pPr>
    </w:p>
    <w:p>
      <w:pPr>
        <w:rPr>
          <w:rFonts w:ascii="Times New Roman" w:hAnsi="Times New Roman" w:eastAsia="宋体" w:cs="Times New Roman"/>
          <w:kern w:val="0"/>
          <w:sz w:val="18"/>
          <w:szCs w:val="18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ascii="Times New Roman" w:hAnsi="Times New Roman" w:cs="Times New Roman"/>
          <w:b/>
          <w:color w:val="231F20"/>
          <w:sz w:val="18"/>
          <w:szCs w:val="18"/>
          <w:lang w:bidi="ar"/>
        </w:rPr>
      </w:pPr>
      <w:r>
        <w:rPr>
          <w:rFonts w:hint="eastAsia" w:ascii="Times New Roman" w:hAnsi="Times New Roman" w:cs="Times New Roman"/>
          <w:b/>
          <w:bCs/>
          <w:sz w:val="18"/>
          <w:szCs w:val="18"/>
        </w:rPr>
        <w:t>Supplement table 2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>
        <w:rPr>
          <w:rFonts w:ascii="Times New Roman" w:hAnsi="Times New Roman" w:cs="Times New Roman"/>
          <w:b/>
          <w:bCs/>
          <w:color w:val="231F20"/>
          <w:sz w:val="18"/>
          <w:szCs w:val="18"/>
        </w:rPr>
        <w:t xml:space="preserve">The clinical characteristics </w:t>
      </w:r>
      <w:r>
        <w:rPr>
          <w:rFonts w:hint="eastAsia" w:ascii="Times New Roman" w:hAnsi="Times New Roman" w:cs="Times New Roman"/>
          <w:b/>
          <w:bCs/>
          <w:color w:val="231F20"/>
          <w:sz w:val="18"/>
          <w:szCs w:val="18"/>
        </w:rPr>
        <w:t>between frequent and non-frequent exacerbation patients with</w:t>
      </w:r>
      <w:r>
        <w:rPr>
          <w:rFonts w:ascii="Times New Roman" w:hAnsi="Times New Roman" w:cs="Times New Roman"/>
          <w:b/>
          <w:bCs/>
          <w:color w:val="231F20"/>
          <w:sz w:val="18"/>
          <w:szCs w:val="18"/>
        </w:rPr>
        <w:t xml:space="preserve"> COPD after </w:t>
      </w:r>
      <w:r>
        <w:fldChar w:fldCharType="begin"/>
      </w:r>
      <w:r>
        <w:instrText xml:space="preserve"> HYPERLINK "https://www.so.com/link?m=bU/+Uk8VWW/a92vOM6ji34+cXbXCt6MUg2TeQ0Gu0aQJmmLbZa+OnwgVAjBJA1kWgXpnviCLTA93VGn0/6tWZUSi97ORAVAudN6J2RgDQg045a0Y38MgoUpTtPp0u0XuaXkOcJMZh7jQd3vtbNvNrtZc5/G2UEVVUT6o9pKuaWgiiWQrpfbE+ISz934dRfy58ZnbqqvPlIKxDOzghSQMls+VrD4k=" \t "https://www.so.com/_blank" </w:instrText>
      </w:r>
      <w:r>
        <w:fldChar w:fldCharType="separate"/>
      </w:r>
      <w:r>
        <w:rPr>
          <w:rFonts w:ascii="Times New Roman" w:hAnsi="Times New Roman" w:cs="Times New Roman"/>
          <w:b/>
          <w:bCs/>
          <w:color w:val="231F20"/>
          <w:sz w:val="18"/>
          <w:szCs w:val="18"/>
        </w:rPr>
        <w:t>propensity score matching</w:t>
      </w:r>
      <w:r>
        <w:rPr>
          <w:rFonts w:ascii="Times New Roman" w:hAnsi="Times New Roman" w:cs="Times New Roman"/>
          <w:b/>
          <w:bCs/>
          <w:color w:val="231F20"/>
          <w:sz w:val="18"/>
          <w:szCs w:val="18"/>
        </w:rPr>
        <w:fldChar w:fldCharType="end"/>
      </w:r>
      <w:r>
        <w:rPr>
          <w:rFonts w:ascii="Times New Roman" w:hAnsi="Times New Roman" w:cs="Times New Roman"/>
          <w:b/>
          <w:bCs/>
          <w:color w:val="231F20"/>
          <w:sz w:val="18"/>
          <w:szCs w:val="18"/>
        </w:rPr>
        <w:t>.</w:t>
      </w:r>
    </w:p>
    <w:tbl>
      <w:tblPr>
        <w:tblStyle w:val="5"/>
        <w:tblW w:w="8516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178"/>
        <w:gridCol w:w="2332"/>
        <w:gridCol w:w="1988"/>
        <w:gridCol w:w="75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268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1178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624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432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PSM</w:t>
            </w:r>
          </w:p>
        </w:tc>
        <w:tc>
          <w:tcPr>
            <w:tcW w:w="75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6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3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Non-frequent exacerbat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ion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312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98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Frequent exacerbat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ion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312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Age (years)</w:t>
            </w:r>
          </w:p>
        </w:tc>
        <w:tc>
          <w:tcPr>
            <w:tcW w:w="1178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64.4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7.9</w:t>
            </w:r>
          </w:p>
        </w:tc>
        <w:tc>
          <w:tcPr>
            <w:tcW w:w="233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64.2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8.0</w:t>
            </w:r>
          </w:p>
        </w:tc>
        <w:tc>
          <w:tcPr>
            <w:tcW w:w="1988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64.7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7.8</w:t>
            </w:r>
          </w:p>
        </w:tc>
        <w:tc>
          <w:tcPr>
            <w:tcW w:w="75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0.213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Sex, n (%)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0.379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526 (84.3)</w:t>
            </w: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259 (83.0)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267 (85.6)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98 (15.7)</w:t>
            </w: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53 (17.0)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45 (14.4)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Education level,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 (%)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0.355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Under j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unior high school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468 (75.0)</w:t>
            </w: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229 (73.4)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239 (76.6)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Over h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igh school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156 (25.0)</w:t>
            </w: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83 (26.6)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73 (23.4)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BMI (kg/m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22.1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3.4</w:t>
            </w: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22.1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3.3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22.1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3.4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0.874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Smoke history, n (%)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0.884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68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Never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smoker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156 (25.0)</w:t>
            </w: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77 (24.7)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79 (25.3)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Former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smoker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228 (36.5)</w:t>
            </w: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112 (35.9)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116 (37.2)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Current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smoker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240 (38.5)</w:t>
            </w: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123 (39.4)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117 (37.5)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Biofuel exposure, n (%)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0.626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364 (58.3)</w:t>
            </w: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179 (57.4)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185 (59.3)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268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260 (41.7)</w:t>
            </w: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133 (42.6)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127 (40.7)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268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Pulmonary function, (Mean ± SD)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8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FEV1 %pred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49.6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19.1</w:t>
            </w: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50.1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19.5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49.1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18.8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0.520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FEV1/FVC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45.6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11.6</w:t>
            </w: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45.5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11.7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45.7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11.5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0.801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GOLD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grades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 (%)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0.861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43 (6.9)</w:t>
            </w: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21 (6.7)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22 (7.1)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222 (35.6)</w:t>
            </w: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114 (36.5)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108 (34.6)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270 (43.3)</w:t>
            </w: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136 (43.6)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134 (42.9)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89 (14.3)</w:t>
            </w: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41 (13.2)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48 (15.4)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268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CAT, (Mean ± SD)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6.4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± 6.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6.3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± 6.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6.6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± 6.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492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8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mMRC, (Median, IQR)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(2, 3)</w:t>
            </w: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(2, 3) 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(2, 3) 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799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268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Therapy, n (%)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0.051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268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LAMA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(2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22.1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24.0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268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LABA+ICS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12.2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13.5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268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LABA+LAMA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18.8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22.4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5.1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268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LABA+LAMA+ICS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287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45.9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131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42.0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156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50.0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>
      <w:pPr>
        <w:rPr>
          <w:rFonts w:ascii="Times New Roman" w:hAnsi="Times New Roman" w:cs="Times New Roman"/>
          <w:kern w:val="0"/>
          <w:sz w:val="18"/>
          <w:szCs w:val="1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Abbreviations: 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BMI, Body Mass Index; </w:t>
      </w:r>
      <w:r>
        <w:rPr>
          <w:rFonts w:ascii="Times New Roman" w:hAnsi="Times New Roman" w:cs="Times New Roman"/>
          <w:sz w:val="18"/>
          <w:szCs w:val="18"/>
        </w:rPr>
        <w:t>COPD,</w:t>
      </w:r>
      <w:r>
        <w:rPr>
          <w:rFonts w:hint="eastAsia"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Chronic Obstructive Pulmonary Disease; CAT, COPD Assessment Test; FEV1, Forced Expiratory Volume in one second; FVC, Forced Vital Capacity; ICS, Inhaled Corticosteroid</w:t>
      </w:r>
      <w:r>
        <w:rPr>
          <w:rFonts w:hint="eastAsia" w:ascii="Times New Roman" w:hAnsi="Times New Roman" w:cs="Times New Roman"/>
          <w:sz w:val="18"/>
          <w:szCs w:val="18"/>
        </w:rPr>
        <w:t>s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>GOLD, Global Initiative for Chronic Obstructive Lung Disease;</w:t>
      </w:r>
      <w:r>
        <w:rPr>
          <w:rFonts w:ascii="Times New Roman" w:hAnsi="Times New Roman" w:eastAsia="等线" w:cs="Times New Roman"/>
          <w:szCs w:val="21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LAMA, Long-Acting Muscarinic Antagonist; LABA, Long-Acting β2-Agonist; mMRC, modiﬁed Medical Research Council; PSM, </w:t>
      </w:r>
      <w:bookmarkStart w:id="0" w:name="OLE_LINK5"/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"https://www.so.com/link?m=bU/+Uk8VWW/a92vOM6ji34+cXbXCt6MUg2TeQ0Gu0aQJmmLbZa+OnwgVAjBJA1kWgXpnviCLTA93VGn0/6tWZUSi97ORAVAudN6J2RgDQg045a0Y38MgoUpTtPp0u0XuaXkOcJMZh7jQd3vtbNvNrtZc5/G2UEVVUT6o9pKuaWgiiWQrpfbE+ISz934dRfy58ZnbqqvPlIKxDOzghSQMls+VrD4k=" \t "https://www.so.com/_blank"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propensity score matching</w:t>
      </w:r>
      <w:r>
        <w:rPr>
          <w:rFonts w:ascii="Times New Roman" w:hAnsi="Times New Roman" w:cs="Times New Roman"/>
          <w:sz w:val="18"/>
          <w:szCs w:val="18"/>
        </w:rPr>
        <w:fldChar w:fldCharType="end"/>
      </w:r>
      <w:bookmarkEnd w:id="0"/>
      <w:r>
        <w:rPr>
          <w:rFonts w:hint="eastAsia" w:ascii="Times New Roman" w:hAnsi="Times New Roman" w:cs="Times New Roman"/>
          <w:sz w:val="18"/>
          <w:szCs w:val="18"/>
        </w:rPr>
        <w:t>.</w:t>
      </w:r>
    </w:p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b/>
          <w:bCs/>
          <w:sz w:val="18"/>
          <w:szCs w:val="18"/>
        </w:rPr>
        <w:t>Supplement table 3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. Multivariate analysis for </w:t>
      </w:r>
      <w:r>
        <w:rPr>
          <w:rFonts w:hint="eastAsia" w:ascii="Times New Roman" w:hAnsi="Times New Roman" w:cs="Times New Roman"/>
          <w:b/>
          <w:bCs/>
          <w:sz w:val="18"/>
          <w:szCs w:val="18"/>
        </w:rPr>
        <w:t>outcomes in non-frequent exacerbation patients with COPD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</w:p>
    <w:tbl>
      <w:tblPr>
        <w:tblStyle w:val="5"/>
        <w:tblW w:w="14498" w:type="dxa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3"/>
        <w:gridCol w:w="1427"/>
        <w:gridCol w:w="936"/>
        <w:gridCol w:w="1476"/>
        <w:gridCol w:w="924"/>
        <w:gridCol w:w="1392"/>
        <w:gridCol w:w="924"/>
        <w:gridCol w:w="1488"/>
        <w:gridCol w:w="1092"/>
        <w:gridCol w:w="1536"/>
        <w:gridCol w:w="900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0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Variables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MCID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CSD</w:t>
            </w:r>
          </w:p>
        </w:tc>
        <w:tc>
          <w:tcPr>
            <w:tcW w:w="2316" w:type="dxa"/>
            <w:gridSpan w:val="2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Exacerbation</w:t>
            </w:r>
          </w:p>
        </w:tc>
        <w:tc>
          <w:tcPr>
            <w:tcW w:w="2580" w:type="dxa"/>
            <w:gridSpan w:val="2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Frequent exacerbation</w:t>
            </w:r>
          </w:p>
        </w:tc>
        <w:tc>
          <w:tcPr>
            <w:tcW w:w="2436" w:type="dxa"/>
            <w:gridSpan w:val="2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Mortality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aOR (95%CI)</w:t>
            </w:r>
          </w:p>
        </w:tc>
        <w:tc>
          <w:tcPr>
            <w:tcW w:w="93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>aP</w:t>
            </w:r>
            <w:r>
              <w:rPr>
                <w:rFonts w:hint="eastAsia"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value</w:t>
            </w:r>
          </w:p>
        </w:tc>
        <w:tc>
          <w:tcPr>
            <w:tcW w:w="147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aOR (95%CI)</w:t>
            </w:r>
          </w:p>
        </w:tc>
        <w:tc>
          <w:tcPr>
            <w:tcW w:w="92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>aP</w:t>
            </w:r>
            <w:r>
              <w:rPr>
                <w:rFonts w:hint="eastAsia"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value</w:t>
            </w:r>
          </w:p>
        </w:tc>
        <w:tc>
          <w:tcPr>
            <w:tcW w:w="1392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aOR (95%CI)</w:t>
            </w:r>
          </w:p>
        </w:tc>
        <w:tc>
          <w:tcPr>
            <w:tcW w:w="92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>aP</w:t>
            </w:r>
            <w:r>
              <w:rPr>
                <w:rFonts w:hint="eastAsia"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value</w:t>
            </w:r>
          </w:p>
        </w:tc>
        <w:tc>
          <w:tcPr>
            <w:tcW w:w="1488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aOR (95%CI)</w:t>
            </w:r>
          </w:p>
        </w:tc>
        <w:tc>
          <w:tcPr>
            <w:tcW w:w="1092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>aP</w:t>
            </w:r>
            <w:r>
              <w:rPr>
                <w:rFonts w:hint="eastAsia"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value</w:t>
            </w:r>
          </w:p>
        </w:tc>
        <w:tc>
          <w:tcPr>
            <w:tcW w:w="153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aOR (95%CI)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>aP</w:t>
            </w:r>
            <w:r>
              <w:rPr>
                <w:rFonts w:hint="eastAsia"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Therapy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 LAMA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 LABA+LAMA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2.06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3.59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0.7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0.2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84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0.45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07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15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02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1.56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9.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93)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 LABA+ICS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0.89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1.61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701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(0.64-2.04)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0.6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61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2.24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332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0.79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0.5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76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3.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51 (0.53-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3.41)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0.195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LABA+LAMA+ICS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1.87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2.75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01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0.8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(0.5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-1.3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532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1.79 (0.31-10.27)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0.99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506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299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-1.01)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268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.00)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52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Sex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Female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1.73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0.84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3.53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135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0.5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24-1.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096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0.79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1.62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523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(0.1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1.54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243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16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-8.95)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Education level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Under j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unior high school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Over h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igh school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(1.2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-2.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.5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(0.36-0.8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.5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(0.3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.8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(0.4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0)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609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.60 (0.15-2.37)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.462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BMI 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385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0.13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539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838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(0.7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Smoke history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Never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smoker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Former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smoker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2.74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209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123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1.22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2.24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510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0.71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1.62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421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1.55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0.67)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0.657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Current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smoker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2.14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607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319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1.32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0.73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2.38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357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0.72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1.60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414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3-1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50)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Biofuel exposure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400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-1.5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750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1.34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689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1.96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746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3.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6-1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04)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FEV1 %pred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(1.00-1.0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879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0.99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455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495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FEV1/FVC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0.98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184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660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-1.03)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667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686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 (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96-1.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CAT</w:t>
            </w:r>
          </w:p>
        </w:tc>
        <w:tc>
          <w:tcPr>
            <w:tcW w:w="142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1.2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-1.3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4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0.85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81-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1.01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466</w:t>
            </w:r>
          </w:p>
        </w:tc>
        <w:tc>
          <w:tcPr>
            <w:tcW w:w="148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237</w:t>
            </w:r>
          </w:p>
        </w:tc>
        <w:tc>
          <w:tcPr>
            <w:tcW w:w="15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1.2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(1.1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-1.3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mMRC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(0.6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028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-1.7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012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594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1.10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576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0.78 (0.41-1.49)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0.455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03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Prescription outcomes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7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2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2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03" w:type="dxa"/>
            <w:tcBorders>
              <w:top w:val="nil"/>
              <w:bottom w:val="nil"/>
            </w:tcBorders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Adjust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ed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treatment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3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7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109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03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Continuous using</w:t>
            </w:r>
          </w:p>
        </w:tc>
        <w:tc>
          <w:tcPr>
            <w:tcW w:w="1427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0.80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382</w:t>
            </w:r>
          </w:p>
        </w:tc>
        <w:tc>
          <w:tcPr>
            <w:tcW w:w="147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-1.52)</w:t>
            </w:r>
          </w:p>
        </w:tc>
        <w:tc>
          <w:tcPr>
            <w:tcW w:w="92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727</w:t>
            </w:r>
          </w:p>
        </w:tc>
        <w:tc>
          <w:tcPr>
            <w:tcW w:w="1392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1.13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613</w:t>
            </w:r>
          </w:p>
        </w:tc>
        <w:tc>
          <w:tcPr>
            <w:tcW w:w="1488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2.08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2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993</w:t>
            </w:r>
          </w:p>
        </w:tc>
        <w:tc>
          <w:tcPr>
            <w:tcW w:w="153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 (0.14-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13</w:t>
            </w:r>
          </w:p>
        </w:tc>
      </w:tr>
    </w:tbl>
    <w:p>
      <w:pPr>
        <w:rPr>
          <w:rFonts w:ascii="Times New Roman" w:hAnsi="Times New Roman" w:eastAsia="宋体" w:cs="Times New Roman"/>
          <w:b/>
          <w:bCs/>
          <w:kern w:val="0"/>
          <w:sz w:val="18"/>
          <w:szCs w:val="18"/>
        </w:rPr>
      </w:pPr>
      <w:r>
        <w:rPr>
          <w:rFonts w:ascii="Times New Roman" w:hAnsi="Times New Roman" w:eastAsia="宋体" w:cs="Times New Roman"/>
          <w:b/>
          <w:bCs/>
          <w:kern w:val="0"/>
          <w:sz w:val="18"/>
          <w:szCs w:val="18"/>
        </w:rPr>
        <w:t xml:space="preserve">Notes: 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Factors in the logistic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  <w:lang w:val="en-US" w:eastAsia="zh-CN"/>
        </w:rPr>
        <w:t xml:space="preserve">analysis 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model: therapy, prescription outcome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s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, age, sex,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 xml:space="preserve">education level, 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BMI, smoke history, biofuel exposure, FEV1%, FEV1/FVC, CAT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 xml:space="preserve"> and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 mMRC</w:t>
      </w:r>
      <w:r>
        <w:rPr>
          <w:rFonts w:ascii="Times New Roman" w:hAnsi="Times New Roman" w:eastAsia="等线" w:cs="Times New Roman"/>
          <w:bCs/>
          <w:kern w:val="0"/>
          <w:sz w:val="18"/>
          <w:szCs w:val="18"/>
          <w:lang w:bidi="ar"/>
        </w:rPr>
        <w:t xml:space="preserve">. 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T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 xml:space="preserve">he bold </w:t>
      </w:r>
      <w:r>
        <w:rPr>
          <w:rFonts w:ascii="Times New Roman" w:hAnsi="Times New Roman" w:eastAsia="宋体" w:cs="Times New Roman"/>
          <w:i/>
          <w:iCs/>
          <w:color w:val="231F20"/>
          <w:kern w:val="0"/>
          <w:sz w:val="18"/>
          <w:szCs w:val="18"/>
        </w:rPr>
        <w:t xml:space="preserve">P 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>values indicate statistical significance.</w:t>
      </w:r>
    </w:p>
    <w:p>
      <w:pPr>
        <w:rPr>
          <w:rFonts w:ascii="Times New Roman" w:hAnsi="Times New Roman" w:eastAsia="宋体" w:cs="Times New Roman"/>
          <w:kern w:val="0"/>
          <w:sz w:val="18"/>
          <w:szCs w:val="18"/>
        </w:rPr>
      </w:pPr>
      <w:r>
        <w:rPr>
          <w:rFonts w:ascii="Times New Roman" w:hAnsi="Times New Roman" w:eastAsia="宋体" w:cs="Times New Roman"/>
          <w:b/>
          <w:bCs/>
          <w:kern w:val="0"/>
          <w:sz w:val="18"/>
          <w:szCs w:val="18"/>
        </w:rPr>
        <w:t>Abbreviations: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  <w:lang w:val="en-US" w:eastAsia="zh-CN"/>
        </w:rPr>
        <w:t>a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 xml:space="preserve">OR, </w:t>
      </w:r>
      <w: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  <w:lang w:val="en-US" w:eastAsia="zh-CN"/>
        </w:rPr>
        <w:t xml:space="preserve">Adjusted 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>Odds Ratio</w:t>
      </w:r>
      <w: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  <w:lang w:val="en-US" w:eastAsia="zh-CN"/>
        </w:rPr>
        <w:t>;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  <w:lang w:val="en-US" w:eastAsia="zh-CN"/>
        </w:rPr>
        <w:t>a 95%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 xml:space="preserve">CI, </w:t>
      </w:r>
      <w: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  <w:lang w:val="en-US" w:eastAsia="zh-CN"/>
        </w:rPr>
        <w:t xml:space="preserve">Adjusted 95% 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>Confidence Interval</w:t>
      </w:r>
      <w: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  <w:lang w:val="en-US" w:eastAsia="zh-CN"/>
        </w:rPr>
        <w:t xml:space="preserve">; 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BMI, Body Mass Index; CAT, COPD Assessment Test; CSD, Clinically Symptom Deterioration; FEV1, Forced Expiratory Volume in one second; FVC,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F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orced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V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ital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C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apacity; ICS, Inhaled Corticosteroid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s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; LAMA, Long-Acting Muscarinic Antagonist; LABA, Long-Acting β2-Agonist; mMRC, modiﬁed Medical Research Council; MCID, Minimal Clinically Important Difference.</w:t>
      </w:r>
    </w:p>
    <w:p>
      <w:pPr>
        <w:rPr>
          <w:rFonts w:ascii="Times New Roman" w:hAnsi="Times New Roman" w:eastAsia="宋体" w:cs="Times New Roman"/>
          <w:kern w:val="0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b/>
          <w:bCs/>
          <w:sz w:val="18"/>
          <w:szCs w:val="18"/>
        </w:rPr>
        <w:t>Supplement table 4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. Multivariate analysis for </w:t>
      </w:r>
      <w:r>
        <w:rPr>
          <w:rFonts w:hint="eastAsia" w:ascii="Times New Roman" w:hAnsi="Times New Roman" w:cs="Times New Roman"/>
          <w:b/>
          <w:bCs/>
          <w:sz w:val="18"/>
          <w:szCs w:val="18"/>
        </w:rPr>
        <w:t>outcomes in non-frequent exacerbation patients with less symptomatic COPD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</w:p>
    <w:tbl>
      <w:tblPr>
        <w:tblStyle w:val="5"/>
        <w:tblW w:w="14498" w:type="dxa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3"/>
        <w:gridCol w:w="1427"/>
        <w:gridCol w:w="936"/>
        <w:gridCol w:w="1476"/>
        <w:gridCol w:w="924"/>
        <w:gridCol w:w="1392"/>
        <w:gridCol w:w="924"/>
        <w:gridCol w:w="1488"/>
        <w:gridCol w:w="1092"/>
        <w:gridCol w:w="1536"/>
        <w:gridCol w:w="900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0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Variables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MCID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CSD</w:t>
            </w:r>
          </w:p>
        </w:tc>
        <w:tc>
          <w:tcPr>
            <w:tcW w:w="2316" w:type="dxa"/>
            <w:gridSpan w:val="2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Exacerbation</w:t>
            </w:r>
          </w:p>
        </w:tc>
        <w:tc>
          <w:tcPr>
            <w:tcW w:w="2580" w:type="dxa"/>
            <w:gridSpan w:val="2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Frequent exacerbation</w:t>
            </w:r>
          </w:p>
        </w:tc>
        <w:tc>
          <w:tcPr>
            <w:tcW w:w="2436" w:type="dxa"/>
            <w:gridSpan w:val="2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Mortality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aOR (95%CI)</w:t>
            </w:r>
          </w:p>
        </w:tc>
        <w:tc>
          <w:tcPr>
            <w:tcW w:w="93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>aP</w:t>
            </w:r>
            <w:r>
              <w:rPr>
                <w:rFonts w:hint="eastAsia"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value</w:t>
            </w:r>
          </w:p>
        </w:tc>
        <w:tc>
          <w:tcPr>
            <w:tcW w:w="147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aOR (95%CI)</w:t>
            </w:r>
          </w:p>
        </w:tc>
        <w:tc>
          <w:tcPr>
            <w:tcW w:w="92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>aP</w:t>
            </w:r>
            <w:r>
              <w:rPr>
                <w:rFonts w:hint="eastAsia"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value</w:t>
            </w:r>
          </w:p>
        </w:tc>
        <w:tc>
          <w:tcPr>
            <w:tcW w:w="1392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aOR (95%CI)</w:t>
            </w:r>
          </w:p>
        </w:tc>
        <w:tc>
          <w:tcPr>
            <w:tcW w:w="92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>aP</w:t>
            </w:r>
            <w:r>
              <w:rPr>
                <w:rFonts w:hint="eastAsia"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value</w:t>
            </w:r>
          </w:p>
        </w:tc>
        <w:tc>
          <w:tcPr>
            <w:tcW w:w="1488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aOR (95%CI)</w:t>
            </w:r>
          </w:p>
        </w:tc>
        <w:tc>
          <w:tcPr>
            <w:tcW w:w="1092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>aP</w:t>
            </w:r>
            <w:r>
              <w:rPr>
                <w:rFonts w:hint="eastAsia"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value</w:t>
            </w:r>
          </w:p>
        </w:tc>
        <w:tc>
          <w:tcPr>
            <w:tcW w:w="153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aOR (95%CI)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>aP</w:t>
            </w:r>
            <w:r>
              <w:rPr>
                <w:rFonts w:hint="eastAsia"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Therapy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 LAMA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 LABA+LAMA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0.24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0.03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1.91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179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2.04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238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-inf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0.992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 LABA+ICS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0.33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1.47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146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1.30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3.87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636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6.70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401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LABA+LAMA+ICS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0.50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0.14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1.84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300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1.27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3.84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678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1.41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5.18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605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293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700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Sex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Female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0.59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0.07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4.90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628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06-1.86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205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0.21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1.58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131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Education level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Under j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unior high school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Over h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igh school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0.42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3.78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679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1.52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200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BMI 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1.26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584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0.89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0.123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706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Smoke history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Never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smoker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Former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smoker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5.38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937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2.66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507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0.44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2.40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347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Current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smoker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0.65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3.46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618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314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0.31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0.06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1.54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152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Biofuel exposure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0.82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2.62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738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0.84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2.15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716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1.44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4.51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532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FEV1 %pred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(1.00-1.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58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858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586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FEV1/FVC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532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645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535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CAT</w:t>
            </w:r>
          </w:p>
        </w:tc>
        <w:tc>
          <w:tcPr>
            <w:tcW w:w="142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2.47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4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0.8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66-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0.029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0.88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307</w:t>
            </w:r>
          </w:p>
        </w:tc>
        <w:tc>
          <w:tcPr>
            <w:tcW w:w="148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0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5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mMRC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2.26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592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0.62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3.83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355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8.33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2.14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32.5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002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03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Prescription outcomes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7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2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2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03" w:type="dxa"/>
            <w:tcBorders>
              <w:top w:val="nil"/>
              <w:bottom w:val="nil"/>
            </w:tcBorders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Adjust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ed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treatment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3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7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09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03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Continuous using</w:t>
            </w:r>
          </w:p>
        </w:tc>
        <w:tc>
          <w:tcPr>
            <w:tcW w:w="1427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0.89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4.40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889</w:t>
            </w:r>
          </w:p>
        </w:tc>
        <w:tc>
          <w:tcPr>
            <w:tcW w:w="147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3.89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960</w:t>
            </w:r>
          </w:p>
        </w:tc>
        <w:tc>
          <w:tcPr>
            <w:tcW w:w="1392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8.91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88.3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063</w:t>
            </w:r>
          </w:p>
        </w:tc>
        <w:tc>
          <w:tcPr>
            <w:tcW w:w="1488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092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153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</w:rPr>
              <w:t>N/A</w:t>
            </w:r>
          </w:p>
        </w:tc>
      </w:tr>
    </w:tbl>
    <w:p>
      <w:pPr>
        <w:rPr>
          <w:rFonts w:ascii="Times New Roman" w:hAnsi="Times New Roman" w:eastAsia="宋体" w:cs="Times New Roman"/>
          <w:b/>
          <w:bCs/>
          <w:kern w:val="0"/>
          <w:sz w:val="18"/>
          <w:szCs w:val="18"/>
        </w:rPr>
      </w:pPr>
      <w:r>
        <w:rPr>
          <w:rFonts w:ascii="Times New Roman" w:hAnsi="Times New Roman" w:eastAsia="宋体" w:cs="Times New Roman"/>
          <w:b/>
          <w:bCs/>
          <w:kern w:val="0"/>
          <w:sz w:val="18"/>
          <w:szCs w:val="18"/>
        </w:rPr>
        <w:t xml:space="preserve">Notes: 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Factors in the logistic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  <w:lang w:val="en-US" w:eastAsia="zh-CN"/>
        </w:rPr>
        <w:t xml:space="preserve">analysis 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model: therapy, prescription outcome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s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, age, sex,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 xml:space="preserve">education level, 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BMI, smoke history, biofuel exposure, FEV1%, FEV1/FVC, CAT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 xml:space="preserve"> and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 mMRC</w:t>
      </w:r>
      <w:r>
        <w:rPr>
          <w:rFonts w:ascii="Times New Roman" w:hAnsi="Times New Roman" w:eastAsia="等线" w:cs="Times New Roman"/>
          <w:bCs/>
          <w:kern w:val="0"/>
          <w:sz w:val="18"/>
          <w:szCs w:val="18"/>
          <w:lang w:bidi="ar"/>
        </w:rPr>
        <w:t xml:space="preserve">. 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T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 xml:space="preserve">he bold </w:t>
      </w:r>
      <w:r>
        <w:rPr>
          <w:rFonts w:ascii="Times New Roman" w:hAnsi="Times New Roman" w:eastAsia="宋体" w:cs="Times New Roman"/>
          <w:i/>
          <w:iCs/>
          <w:color w:val="231F20"/>
          <w:kern w:val="0"/>
          <w:sz w:val="18"/>
          <w:szCs w:val="18"/>
        </w:rPr>
        <w:t xml:space="preserve">P 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>values indicate statistical significance.</w:t>
      </w:r>
      <w: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</w:rPr>
        <w:t xml:space="preserve"> N/A, Not applicable.</w:t>
      </w:r>
    </w:p>
    <w:p>
      <w:pPr>
        <w:rPr>
          <w:rFonts w:ascii="Times New Roman" w:hAnsi="Times New Roman" w:eastAsia="宋体" w:cs="Times New Roman"/>
          <w:kern w:val="0"/>
          <w:sz w:val="18"/>
          <w:szCs w:val="18"/>
        </w:rPr>
      </w:pPr>
      <w:r>
        <w:rPr>
          <w:rFonts w:ascii="Times New Roman" w:hAnsi="Times New Roman" w:eastAsia="宋体" w:cs="Times New Roman"/>
          <w:b/>
          <w:bCs/>
          <w:kern w:val="0"/>
          <w:sz w:val="18"/>
          <w:szCs w:val="18"/>
        </w:rPr>
        <w:t>Abbreviations: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  <w:lang w:val="en-US" w:eastAsia="zh-CN"/>
        </w:rPr>
        <w:t>a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 xml:space="preserve">OR, </w:t>
      </w:r>
      <w: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  <w:lang w:val="en-US" w:eastAsia="zh-CN"/>
        </w:rPr>
        <w:t xml:space="preserve">Adjusted 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>Odds Ratio</w:t>
      </w:r>
      <w: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  <w:lang w:val="en-US" w:eastAsia="zh-CN"/>
        </w:rPr>
        <w:t>;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  <w:lang w:val="en-US" w:eastAsia="zh-CN"/>
        </w:rPr>
        <w:t>a 95%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 xml:space="preserve">CI, </w:t>
      </w:r>
      <w: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  <w:lang w:val="en-US" w:eastAsia="zh-CN"/>
        </w:rPr>
        <w:t xml:space="preserve">Adjusted 95% 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>Confidence Interval</w:t>
      </w:r>
      <w: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  <w:lang w:val="en-US" w:eastAsia="zh-CN"/>
        </w:rPr>
        <w:t xml:space="preserve">; 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BMI, Body Mass Index; CAT, COPD Assessment Test; CSD, Clinically Symptom Deterioration; FEV1, Forced Expiratory Volume in one second; FVC,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F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orced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V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ital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C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apacity; ICS, Inhaled Corticosteroid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s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; LAMA, Long-Acting Muscarinic Antagonist; LABA, Long-Acting β2-Agonist; mMRC, modiﬁed Medical Research Council; MCID, Minimal Clinically Important Difference.</w:t>
      </w:r>
    </w:p>
    <w:p>
      <w:pPr>
        <w:rPr>
          <w:rFonts w:ascii="Times New Roman" w:hAnsi="Times New Roman" w:cs="Times New Roman"/>
          <w:b/>
          <w:bCs/>
          <w:sz w:val="18"/>
          <w:szCs w:val="18"/>
        </w:rPr>
      </w:pPr>
    </w:p>
    <w:p>
      <w:pPr>
        <w:rPr>
          <w:rFonts w:ascii="Times New Roman" w:hAnsi="Times New Roman" w:cs="Times New Roman"/>
          <w:b/>
          <w:bCs/>
          <w:sz w:val="18"/>
          <w:szCs w:val="18"/>
        </w:rPr>
      </w:pPr>
    </w:p>
    <w:p>
      <w:pPr>
        <w:rPr>
          <w:rFonts w:ascii="Times New Roman" w:hAnsi="Times New Roman" w:cs="Times New Roman"/>
          <w:b/>
          <w:bCs/>
          <w:sz w:val="18"/>
          <w:szCs w:val="18"/>
        </w:rPr>
      </w:pPr>
    </w:p>
    <w:p>
      <w:pPr>
        <w:rPr>
          <w:rFonts w:ascii="Times New Roman" w:hAnsi="Times New Roman" w:cs="Times New Roman"/>
          <w:b/>
          <w:bCs/>
          <w:sz w:val="18"/>
          <w:szCs w:val="18"/>
        </w:rPr>
      </w:pPr>
    </w:p>
    <w:p>
      <w:pPr>
        <w:rPr>
          <w:rFonts w:ascii="Times New Roman" w:hAnsi="Times New Roman" w:cs="Times New Roman"/>
          <w:b/>
          <w:bCs/>
          <w:sz w:val="18"/>
          <w:szCs w:val="18"/>
        </w:rPr>
      </w:pPr>
    </w:p>
    <w:p>
      <w:pPr>
        <w:rPr>
          <w:rFonts w:ascii="Times New Roman" w:hAnsi="Times New Roman" w:cs="Times New Roman"/>
          <w:b/>
          <w:bCs/>
          <w:sz w:val="18"/>
          <w:szCs w:val="18"/>
        </w:rPr>
      </w:pPr>
    </w:p>
    <w:p>
      <w:pPr>
        <w:rPr>
          <w:rFonts w:ascii="Times New Roman" w:hAnsi="Times New Roman" w:cs="Times New Roman"/>
          <w:b/>
          <w:bCs/>
          <w:sz w:val="18"/>
          <w:szCs w:val="18"/>
        </w:rPr>
      </w:pPr>
    </w:p>
    <w:p>
      <w:pPr>
        <w:rPr>
          <w:rFonts w:ascii="Times New Roman" w:hAnsi="Times New Roman" w:cs="Times New Roman"/>
          <w:b/>
          <w:bCs/>
          <w:sz w:val="18"/>
          <w:szCs w:val="18"/>
        </w:rPr>
      </w:pPr>
    </w:p>
    <w:p>
      <w:pPr>
        <w:rPr>
          <w:rFonts w:ascii="Times New Roman" w:hAnsi="Times New Roman" w:cs="Times New Roman"/>
          <w:b/>
          <w:bCs/>
          <w:sz w:val="18"/>
          <w:szCs w:val="18"/>
        </w:rPr>
      </w:pPr>
    </w:p>
    <w:p>
      <w:pPr>
        <w:rPr>
          <w:rFonts w:ascii="Times New Roman" w:hAnsi="Times New Roman" w:cs="Times New Roman"/>
          <w:b/>
          <w:bCs/>
          <w:sz w:val="18"/>
          <w:szCs w:val="18"/>
        </w:rPr>
      </w:pPr>
    </w:p>
    <w:p>
      <w:pPr>
        <w:rPr>
          <w:rFonts w:ascii="Times New Roman" w:hAnsi="Times New Roman" w:cs="Times New Roman"/>
          <w:b/>
          <w:bCs/>
          <w:sz w:val="18"/>
          <w:szCs w:val="18"/>
        </w:rPr>
      </w:pPr>
    </w:p>
    <w:p>
      <w:pPr>
        <w:rPr>
          <w:rFonts w:ascii="Times New Roman" w:hAnsi="Times New Roman" w:cs="Times New Roman"/>
          <w:b/>
          <w:bCs/>
          <w:sz w:val="18"/>
          <w:szCs w:val="18"/>
        </w:rPr>
      </w:pPr>
    </w:p>
    <w:p>
      <w:pPr>
        <w:rPr>
          <w:rFonts w:ascii="Times New Roman" w:hAnsi="Times New Roman" w:cs="Times New Roman"/>
          <w:b/>
          <w:bCs/>
          <w:sz w:val="18"/>
          <w:szCs w:val="18"/>
        </w:rPr>
      </w:pPr>
    </w:p>
    <w:p>
      <w:pPr>
        <w:rPr>
          <w:rFonts w:ascii="Times New Roman" w:hAnsi="Times New Roman" w:cs="Times New Roman"/>
          <w:b/>
          <w:bCs/>
          <w:sz w:val="18"/>
          <w:szCs w:val="18"/>
        </w:rPr>
      </w:pPr>
    </w:p>
    <w:p>
      <w:pPr>
        <w:rPr>
          <w:rFonts w:ascii="Times New Roman" w:hAnsi="Times New Roman" w:cs="Times New Roman"/>
          <w:b/>
          <w:bCs/>
          <w:sz w:val="18"/>
          <w:szCs w:val="18"/>
        </w:rPr>
      </w:pPr>
    </w:p>
    <w:p>
      <w:pPr>
        <w:rPr>
          <w:rFonts w:ascii="Times New Roman" w:hAnsi="Times New Roman" w:cs="Times New Roman"/>
          <w:b/>
          <w:bCs/>
          <w:sz w:val="18"/>
          <w:szCs w:val="18"/>
        </w:rPr>
      </w:pPr>
    </w:p>
    <w:p>
      <w:pPr>
        <w:rPr>
          <w:rFonts w:ascii="Times New Roman" w:hAnsi="Times New Roman" w:cs="Times New Roman"/>
          <w:b/>
          <w:bCs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b/>
          <w:bCs/>
          <w:sz w:val="18"/>
          <w:szCs w:val="18"/>
        </w:rPr>
        <w:t>Supplement table 5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bookmarkStart w:id="1" w:name="OLE_LINK1"/>
      <w:r>
        <w:rPr>
          <w:rFonts w:ascii="Times New Roman" w:hAnsi="Times New Roman" w:cs="Times New Roman"/>
          <w:b/>
          <w:bCs/>
          <w:sz w:val="18"/>
          <w:szCs w:val="18"/>
        </w:rPr>
        <w:t xml:space="preserve">Multivariate analysis for </w:t>
      </w:r>
      <w:r>
        <w:rPr>
          <w:rFonts w:hint="eastAsia" w:ascii="Times New Roman" w:hAnsi="Times New Roman" w:cs="Times New Roman"/>
          <w:b/>
          <w:bCs/>
          <w:sz w:val="18"/>
          <w:szCs w:val="18"/>
        </w:rPr>
        <w:t>outcomes in non-frequent exacerbation patients</w:t>
      </w:r>
      <w:bookmarkEnd w:id="1"/>
      <w:r>
        <w:rPr>
          <w:rFonts w:hint="eastAsia" w:ascii="Times New Roman" w:hAnsi="Times New Roman" w:cs="Times New Roman"/>
          <w:b/>
          <w:bCs/>
          <w:sz w:val="18"/>
          <w:szCs w:val="18"/>
        </w:rPr>
        <w:t xml:space="preserve"> with more symptomatic COPD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</w:p>
    <w:tbl>
      <w:tblPr>
        <w:tblStyle w:val="5"/>
        <w:tblW w:w="14498" w:type="dxa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3"/>
        <w:gridCol w:w="1427"/>
        <w:gridCol w:w="936"/>
        <w:gridCol w:w="1476"/>
        <w:gridCol w:w="924"/>
        <w:gridCol w:w="1392"/>
        <w:gridCol w:w="924"/>
        <w:gridCol w:w="1488"/>
        <w:gridCol w:w="1092"/>
        <w:gridCol w:w="1536"/>
        <w:gridCol w:w="900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0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Variables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MCID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CSD</w:t>
            </w:r>
          </w:p>
        </w:tc>
        <w:tc>
          <w:tcPr>
            <w:tcW w:w="2316" w:type="dxa"/>
            <w:gridSpan w:val="2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Exacerbation</w:t>
            </w:r>
          </w:p>
        </w:tc>
        <w:tc>
          <w:tcPr>
            <w:tcW w:w="2580" w:type="dxa"/>
            <w:gridSpan w:val="2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Frequent exacerbation</w:t>
            </w:r>
          </w:p>
        </w:tc>
        <w:tc>
          <w:tcPr>
            <w:tcW w:w="2436" w:type="dxa"/>
            <w:gridSpan w:val="2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Mortality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aOR (95%CI)</w:t>
            </w:r>
          </w:p>
        </w:tc>
        <w:tc>
          <w:tcPr>
            <w:tcW w:w="93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>aP</w:t>
            </w:r>
            <w:r>
              <w:rPr>
                <w:rFonts w:hint="eastAsia"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value</w:t>
            </w:r>
          </w:p>
        </w:tc>
        <w:tc>
          <w:tcPr>
            <w:tcW w:w="147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aOR (95%CI)</w:t>
            </w:r>
          </w:p>
        </w:tc>
        <w:tc>
          <w:tcPr>
            <w:tcW w:w="92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>aP</w:t>
            </w:r>
            <w:r>
              <w:rPr>
                <w:rFonts w:hint="eastAsia"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value</w:t>
            </w:r>
          </w:p>
        </w:tc>
        <w:tc>
          <w:tcPr>
            <w:tcW w:w="1392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aOR (95%CI)</w:t>
            </w:r>
          </w:p>
        </w:tc>
        <w:tc>
          <w:tcPr>
            <w:tcW w:w="92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>aP</w:t>
            </w:r>
            <w:r>
              <w:rPr>
                <w:rFonts w:hint="eastAsia"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value</w:t>
            </w:r>
          </w:p>
        </w:tc>
        <w:tc>
          <w:tcPr>
            <w:tcW w:w="1488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aOR (95%CI)</w:t>
            </w:r>
          </w:p>
        </w:tc>
        <w:tc>
          <w:tcPr>
            <w:tcW w:w="1092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>aP</w:t>
            </w:r>
            <w:r>
              <w:rPr>
                <w:rFonts w:hint="eastAsia"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value</w:t>
            </w:r>
          </w:p>
        </w:tc>
        <w:tc>
          <w:tcPr>
            <w:tcW w:w="153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aOR (95%CI)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>aP</w:t>
            </w:r>
            <w:r>
              <w:rPr>
                <w:rFonts w:hint="eastAsia"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Therapy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 LAMA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 LABA+LAMA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2.81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5.17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01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0.7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472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0.46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15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01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1.5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10.06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 LABA+ICS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1.17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2.27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648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-2.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735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2.33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476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0.83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1.98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670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3.62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(0.5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0.1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LABA+LAMA+ICS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2.06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3.46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06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0.8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477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0.83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(0.3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670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447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-1.01)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421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.00)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Sex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Female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2.14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4.73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061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0.5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23-1.32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180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0.89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1.97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778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(0.1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1.80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350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-8.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Education level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Under j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unior high school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Over h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igh school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(1.2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-2.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(0.3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63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.5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(0.3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.8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(0.4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713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0.57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(0.1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-2.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.4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BMI 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251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0.320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479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753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(0.7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Smoke history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Never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smoker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Former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smoker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3.10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185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158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1.44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2.82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287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0.72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1.76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476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7)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0.6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Current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smoker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2.71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337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513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1.58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0.81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3.07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177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0.70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1.67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418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1.49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Biofuel exposure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374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635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0.86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1.29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476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2.11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686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3.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0.81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FEV1 %pred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(1.00-1.0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81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965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428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882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FEV1/FVC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328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753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620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337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 (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96-1.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CAT</w:t>
            </w:r>
          </w:p>
        </w:tc>
        <w:tc>
          <w:tcPr>
            <w:tcW w:w="142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1.2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-1.3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4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0.8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80-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1.01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707</w:t>
            </w:r>
          </w:p>
        </w:tc>
        <w:tc>
          <w:tcPr>
            <w:tcW w:w="148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381</w:t>
            </w:r>
          </w:p>
        </w:tc>
        <w:tc>
          <w:tcPr>
            <w:tcW w:w="15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1.2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(1.1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-1.3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mMRC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029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-1.7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068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579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940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0.76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(0.4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-1.4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0.4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03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Prescription outcomes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7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2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2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03" w:type="dxa"/>
            <w:tcBorders>
              <w:top w:val="nil"/>
              <w:bottom w:val="nil"/>
            </w:tcBorders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Adjust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ed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treatment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3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7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109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03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Continuous using</w:t>
            </w:r>
          </w:p>
        </w:tc>
        <w:tc>
          <w:tcPr>
            <w:tcW w:w="1427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0.76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326</w:t>
            </w:r>
          </w:p>
        </w:tc>
        <w:tc>
          <w:tcPr>
            <w:tcW w:w="147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735</w:t>
            </w:r>
          </w:p>
        </w:tc>
        <w:tc>
          <w:tcPr>
            <w:tcW w:w="1392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0.9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921</w:t>
            </w:r>
          </w:p>
        </w:tc>
        <w:tc>
          <w:tcPr>
            <w:tcW w:w="1488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0.95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2.06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2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888</w:t>
            </w:r>
          </w:p>
        </w:tc>
        <w:tc>
          <w:tcPr>
            <w:tcW w:w="153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(0.1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1.59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234</w:t>
            </w:r>
          </w:p>
        </w:tc>
      </w:tr>
    </w:tbl>
    <w:p>
      <w:pPr>
        <w:rPr>
          <w:rFonts w:ascii="Times New Roman" w:hAnsi="Times New Roman" w:eastAsia="宋体" w:cs="Times New Roman"/>
          <w:b/>
          <w:bCs/>
          <w:kern w:val="0"/>
          <w:sz w:val="18"/>
          <w:szCs w:val="18"/>
        </w:rPr>
      </w:pPr>
      <w:r>
        <w:rPr>
          <w:rFonts w:ascii="Times New Roman" w:hAnsi="Times New Roman" w:eastAsia="宋体" w:cs="Times New Roman"/>
          <w:b/>
          <w:bCs/>
          <w:kern w:val="0"/>
          <w:sz w:val="18"/>
          <w:szCs w:val="18"/>
        </w:rPr>
        <w:t xml:space="preserve">Notes: </w:t>
      </w:r>
      <w:bookmarkStart w:id="2" w:name="OLE_LINK2"/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Factors in the logistic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  <w:lang w:val="en-US" w:eastAsia="zh-CN"/>
        </w:rPr>
        <w:t xml:space="preserve">analysis 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model: therapy, prescription outcome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s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, age, sex,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 xml:space="preserve">education level, 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BMI, smoke history, biofuel exposure, FEV1%, FEV1/FVC, CAT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 xml:space="preserve"> and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 mMRC</w:t>
      </w:r>
      <w:r>
        <w:rPr>
          <w:rFonts w:ascii="Times New Roman" w:hAnsi="Times New Roman" w:eastAsia="等线" w:cs="Times New Roman"/>
          <w:bCs/>
          <w:kern w:val="0"/>
          <w:sz w:val="18"/>
          <w:szCs w:val="18"/>
          <w:lang w:bidi="ar"/>
        </w:rPr>
        <w:t xml:space="preserve">. </w:t>
      </w:r>
      <w:bookmarkEnd w:id="2"/>
      <w:r>
        <w:rPr>
          <w:rFonts w:ascii="Times New Roman" w:hAnsi="Times New Roman" w:eastAsia="宋体" w:cs="Times New Roman"/>
          <w:kern w:val="0"/>
          <w:sz w:val="18"/>
          <w:szCs w:val="18"/>
        </w:rPr>
        <w:t>T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 xml:space="preserve">he bold </w:t>
      </w:r>
      <w:r>
        <w:rPr>
          <w:rFonts w:ascii="Times New Roman" w:hAnsi="Times New Roman" w:eastAsia="宋体" w:cs="Times New Roman"/>
          <w:i/>
          <w:iCs/>
          <w:color w:val="231F20"/>
          <w:kern w:val="0"/>
          <w:sz w:val="18"/>
          <w:szCs w:val="18"/>
        </w:rPr>
        <w:t xml:space="preserve">P 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>values indicate statistical significance.</w:t>
      </w:r>
    </w:p>
    <w:p>
      <w:pPr>
        <w:rPr>
          <w:rFonts w:ascii="Times New Roman" w:hAnsi="Times New Roman" w:eastAsia="宋体" w:cs="Times New Roman"/>
          <w:kern w:val="0"/>
          <w:sz w:val="18"/>
          <w:szCs w:val="18"/>
        </w:rPr>
      </w:pPr>
      <w:r>
        <w:rPr>
          <w:rFonts w:ascii="Times New Roman" w:hAnsi="Times New Roman" w:eastAsia="宋体" w:cs="Times New Roman"/>
          <w:b/>
          <w:bCs/>
          <w:kern w:val="0"/>
          <w:sz w:val="18"/>
          <w:szCs w:val="18"/>
        </w:rPr>
        <w:t>Abbreviations: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  <w:lang w:val="en-US" w:eastAsia="zh-CN"/>
        </w:rPr>
        <w:t>a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 xml:space="preserve">OR, </w:t>
      </w:r>
      <w: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  <w:lang w:val="en-US" w:eastAsia="zh-CN"/>
        </w:rPr>
        <w:t xml:space="preserve">Adjusted 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>Odds Ratio</w:t>
      </w:r>
      <w: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  <w:lang w:val="en-US" w:eastAsia="zh-CN"/>
        </w:rPr>
        <w:t>;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  <w:lang w:val="en-US" w:eastAsia="zh-CN"/>
        </w:rPr>
        <w:t>a 95%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 xml:space="preserve">CI, </w:t>
      </w:r>
      <w: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  <w:lang w:val="en-US" w:eastAsia="zh-CN"/>
        </w:rPr>
        <w:t xml:space="preserve">Adjusted 95% 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>Confidence Interval</w:t>
      </w:r>
      <w: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  <w:lang w:val="en-US" w:eastAsia="zh-CN"/>
        </w:rPr>
        <w:t xml:space="preserve">; 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BMI, Body Mass Index; CAT, COPD Assessment Test; CSD, Clinically Symptom Deterioration; FEV1, Forced Expiratory Volume in one second; FVC,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F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orced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V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ital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C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apacity; ICS, Inhaled Corticosteroid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s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; LAMA, Long-Acting Muscarinic Antagonist; LABA, Long-Acting β2-Agonist; mMRC, modiﬁed Medical Research Council; MCID, Minimal Clinically Important Difference.</w:t>
      </w:r>
    </w:p>
    <w:p>
      <w:pPr>
        <w:rPr>
          <w:rFonts w:ascii="Times New Roman" w:hAnsi="Times New Roman" w:eastAsia="宋体" w:cs="Times New Roman"/>
          <w:kern w:val="0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b/>
          <w:bCs/>
          <w:sz w:val="18"/>
          <w:szCs w:val="18"/>
        </w:rPr>
        <w:t>Supplement table 6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. Multivariate analysis for </w:t>
      </w:r>
      <w:r>
        <w:rPr>
          <w:rFonts w:hint="eastAsia" w:ascii="Times New Roman" w:hAnsi="Times New Roman" w:cs="Times New Roman"/>
          <w:b/>
          <w:bCs/>
          <w:sz w:val="18"/>
          <w:szCs w:val="18"/>
        </w:rPr>
        <w:t>outcomes in non-frequent exacerbation patients with more symptomatic COPD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</w:p>
    <w:tbl>
      <w:tblPr>
        <w:tblStyle w:val="5"/>
        <w:tblW w:w="14498" w:type="dxa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3"/>
        <w:gridCol w:w="1427"/>
        <w:gridCol w:w="936"/>
        <w:gridCol w:w="1476"/>
        <w:gridCol w:w="924"/>
        <w:gridCol w:w="1392"/>
        <w:gridCol w:w="924"/>
        <w:gridCol w:w="1488"/>
        <w:gridCol w:w="1092"/>
        <w:gridCol w:w="1536"/>
        <w:gridCol w:w="900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0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Variables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MCID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CSD</w:t>
            </w:r>
          </w:p>
        </w:tc>
        <w:tc>
          <w:tcPr>
            <w:tcW w:w="2316" w:type="dxa"/>
            <w:gridSpan w:val="2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Exacerbation</w:t>
            </w:r>
          </w:p>
        </w:tc>
        <w:tc>
          <w:tcPr>
            <w:tcW w:w="2580" w:type="dxa"/>
            <w:gridSpan w:val="2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Frequent exacerbation</w:t>
            </w:r>
          </w:p>
        </w:tc>
        <w:tc>
          <w:tcPr>
            <w:tcW w:w="2436" w:type="dxa"/>
            <w:gridSpan w:val="2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Mortality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aOR (95%CI)</w:t>
            </w:r>
          </w:p>
        </w:tc>
        <w:tc>
          <w:tcPr>
            <w:tcW w:w="93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>aP</w:t>
            </w:r>
            <w:r>
              <w:rPr>
                <w:rFonts w:hint="eastAsia"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value</w:t>
            </w:r>
          </w:p>
        </w:tc>
        <w:tc>
          <w:tcPr>
            <w:tcW w:w="147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aOR (95%CI)</w:t>
            </w:r>
          </w:p>
        </w:tc>
        <w:tc>
          <w:tcPr>
            <w:tcW w:w="92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>aP</w:t>
            </w:r>
            <w:r>
              <w:rPr>
                <w:rFonts w:hint="eastAsia"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value</w:t>
            </w:r>
          </w:p>
        </w:tc>
        <w:tc>
          <w:tcPr>
            <w:tcW w:w="1392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aOR (95%CI)</w:t>
            </w:r>
          </w:p>
        </w:tc>
        <w:tc>
          <w:tcPr>
            <w:tcW w:w="92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>aP</w:t>
            </w:r>
            <w:r>
              <w:rPr>
                <w:rFonts w:hint="eastAsia"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value</w:t>
            </w:r>
          </w:p>
        </w:tc>
        <w:tc>
          <w:tcPr>
            <w:tcW w:w="1488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aOR (95%CI)</w:t>
            </w:r>
          </w:p>
        </w:tc>
        <w:tc>
          <w:tcPr>
            <w:tcW w:w="1092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>aP</w:t>
            </w:r>
            <w:r>
              <w:rPr>
                <w:rFonts w:hint="eastAsia"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value</w:t>
            </w:r>
          </w:p>
        </w:tc>
        <w:tc>
          <w:tcPr>
            <w:tcW w:w="153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aOR (95%CI)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>aP</w:t>
            </w:r>
            <w:r>
              <w:rPr>
                <w:rFonts w:hint="eastAsia" w:ascii="Times New Roman" w:hAnsi="Times New Roman" w:eastAsia="等线" w:cs="Times New Roman"/>
                <w:b/>
                <w:i/>
                <w:i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kern w:val="0"/>
                <w:sz w:val="18"/>
                <w:szCs w:val="18"/>
                <w:lang w:bidi="ar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Therapy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LABA+LAMA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LABA+LAMA+ICS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0.73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0.43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1.23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243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1.04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900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1.23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2.11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451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2.67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8.04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82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4.58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840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LAMA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0.36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0.65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001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1.27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-2.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46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472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2.18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1.20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3.97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011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6.69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2.11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21.17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001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0.63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4.01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3" w:type="dxa"/>
            <w:tcBorders>
              <w:bottom w:val="single" w:color="auto" w:sz="4" w:space="0"/>
            </w:tcBorders>
            <w:vAlign w:val="center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LABA+ICS</w:t>
            </w:r>
          </w:p>
        </w:tc>
        <w:tc>
          <w:tcPr>
            <w:tcW w:w="142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0.41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0.21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0.84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3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4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1.44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3.08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348</w:t>
            </w:r>
          </w:p>
        </w:tc>
        <w:tc>
          <w:tcPr>
            <w:tcW w:w="139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2.73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1.38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5.40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2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04</w:t>
            </w:r>
          </w:p>
        </w:tc>
        <w:tc>
          <w:tcPr>
            <w:tcW w:w="148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5.53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1.59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19.27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07</w:t>
            </w:r>
          </w:p>
        </w:tc>
        <w:tc>
          <w:tcPr>
            <w:tcW w:w="153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2.29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(0.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2.43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90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338</w:t>
            </w:r>
          </w:p>
        </w:tc>
      </w:tr>
    </w:tbl>
    <w:p>
      <w:pPr>
        <w:rPr>
          <w:rFonts w:ascii="Times New Roman" w:hAnsi="Times New Roman" w:eastAsia="宋体" w:cs="Times New Roman"/>
          <w:b/>
          <w:bCs/>
          <w:kern w:val="0"/>
          <w:sz w:val="18"/>
          <w:szCs w:val="18"/>
        </w:rPr>
      </w:pPr>
      <w:r>
        <w:rPr>
          <w:rFonts w:ascii="Times New Roman" w:hAnsi="Times New Roman" w:eastAsia="宋体" w:cs="Times New Roman"/>
          <w:b/>
          <w:bCs/>
          <w:kern w:val="0"/>
          <w:sz w:val="18"/>
          <w:szCs w:val="18"/>
        </w:rPr>
        <w:t xml:space="preserve">Notes: 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Factors in the logistic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  <w:lang w:val="en-US" w:eastAsia="zh-CN"/>
        </w:rPr>
        <w:t xml:space="preserve">analysis 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model: therapy, prescription outcome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s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, age, sex,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 xml:space="preserve">education level, 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BMI, smoke history, biofuel exposure, FEV1%, FEV1/FVC, CAT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 xml:space="preserve"> and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 mMRC</w:t>
      </w:r>
      <w:r>
        <w:rPr>
          <w:rFonts w:ascii="Times New Roman" w:hAnsi="Times New Roman" w:eastAsia="等线" w:cs="Times New Roman"/>
          <w:bCs/>
          <w:kern w:val="0"/>
          <w:sz w:val="18"/>
          <w:szCs w:val="18"/>
          <w:lang w:bidi="ar"/>
        </w:rPr>
        <w:t xml:space="preserve">. 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T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 xml:space="preserve">he bold </w:t>
      </w:r>
      <w:r>
        <w:rPr>
          <w:rFonts w:ascii="Times New Roman" w:hAnsi="Times New Roman" w:eastAsia="宋体" w:cs="Times New Roman"/>
          <w:i/>
          <w:iCs/>
          <w:color w:val="231F20"/>
          <w:kern w:val="0"/>
          <w:sz w:val="18"/>
          <w:szCs w:val="18"/>
        </w:rPr>
        <w:t xml:space="preserve">P 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>values indicate statistical significance.</w:t>
      </w:r>
    </w:p>
    <w:p>
      <w:pPr>
        <w:rPr>
          <w:rFonts w:ascii="Times New Roman" w:hAnsi="Times New Roman" w:eastAsia="宋体" w:cs="Times New Roman"/>
          <w:kern w:val="0"/>
          <w:sz w:val="18"/>
          <w:szCs w:val="18"/>
        </w:rPr>
      </w:pPr>
      <w:r>
        <w:rPr>
          <w:rFonts w:ascii="Times New Roman" w:hAnsi="Times New Roman" w:eastAsia="宋体" w:cs="Times New Roman"/>
          <w:b/>
          <w:bCs/>
          <w:kern w:val="0"/>
          <w:sz w:val="18"/>
          <w:szCs w:val="18"/>
        </w:rPr>
        <w:t>Abbreviations: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  <w:lang w:val="en-US" w:eastAsia="zh-CN"/>
        </w:rPr>
        <w:t>a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 xml:space="preserve">OR, </w:t>
      </w:r>
      <w: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  <w:lang w:val="en-US" w:eastAsia="zh-CN"/>
        </w:rPr>
        <w:t xml:space="preserve">Adjusted 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>Odds Ratio</w:t>
      </w:r>
      <w: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  <w:lang w:val="en-US" w:eastAsia="zh-CN"/>
        </w:rPr>
        <w:t>;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  <w:lang w:val="en-US" w:eastAsia="zh-CN"/>
        </w:rPr>
        <w:t>a 95%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 xml:space="preserve">CI, </w:t>
      </w:r>
      <w: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  <w:lang w:val="en-US" w:eastAsia="zh-CN"/>
        </w:rPr>
        <w:t xml:space="preserve">Adjusted 95% 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>Confidence Interval</w:t>
      </w:r>
      <w: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  <w:lang w:val="en-US" w:eastAsia="zh-CN"/>
        </w:rPr>
        <w:t xml:space="preserve">; 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BMI, Body Mass Index; CAT, COPD Assessment Test; CSD, Clinically Symptom Deterioration; FEV1, Forced Expiratory Volume in one second; FVC,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F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orced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V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ital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C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apacity; ICS, Inhaled Corticosteroid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s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; LAMA, Long-Acting Muscarinic Antagonist; LABA, Long-Acting β2-Agonist; mMRC, modiﬁed Medical Research Council; MCID, Minimal Clinically Important Difference.</w:t>
      </w:r>
    </w:p>
    <w:p>
      <w:pPr>
        <w:rPr>
          <w:rFonts w:ascii="Times New Roman" w:hAnsi="Times New Roman" w:cs="Times New Roman"/>
          <w:sz w:val="18"/>
          <w:szCs w:val="18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ascii="Times New Roman" w:hAnsi="Times New Roman" w:cs="Times New Roman"/>
          <w:b/>
          <w:color w:val="231F20"/>
          <w:sz w:val="18"/>
          <w:szCs w:val="18"/>
          <w:lang w:bidi="ar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Supplement table </w:t>
      </w:r>
      <w:r>
        <w:rPr>
          <w:rFonts w:hint="eastAsia" w:ascii="Times New Roman" w:hAnsi="Times New Roman" w:cs="Times New Roman"/>
          <w:b/>
          <w:bCs/>
          <w:sz w:val="18"/>
          <w:szCs w:val="18"/>
        </w:rPr>
        <w:t>7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>
        <w:rPr>
          <w:rFonts w:ascii="Times New Roman" w:hAnsi="Times New Roman" w:cs="Times New Roman"/>
          <w:b/>
          <w:bCs/>
          <w:color w:val="231F20"/>
          <w:sz w:val="18"/>
          <w:szCs w:val="18"/>
        </w:rPr>
        <w:t xml:space="preserve">The baseline characteristics of </w:t>
      </w:r>
      <w:r>
        <w:rPr>
          <w:rFonts w:hint="eastAsia" w:ascii="Times New Roman" w:hAnsi="Times New Roman" w:cs="Times New Roman"/>
          <w:b/>
          <w:bCs/>
          <w:color w:val="231F20"/>
          <w:sz w:val="18"/>
          <w:szCs w:val="18"/>
        </w:rPr>
        <w:t xml:space="preserve">non-frequent exacerbation patients </w:t>
      </w:r>
      <w:r>
        <w:rPr>
          <w:rFonts w:ascii="Times New Roman" w:hAnsi="Times New Roman" w:cs="Times New Roman"/>
          <w:b/>
          <w:bCs/>
          <w:color w:val="231F20"/>
          <w:sz w:val="18"/>
          <w:szCs w:val="18"/>
        </w:rPr>
        <w:t xml:space="preserve">who remained in the study and lost to follow-up. </w:t>
      </w:r>
    </w:p>
    <w:tbl>
      <w:tblPr>
        <w:tblStyle w:val="5"/>
        <w:tblW w:w="8364" w:type="dxa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1984"/>
        <w:gridCol w:w="1843"/>
        <w:gridCol w:w="993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sz w:val="18"/>
                <w:szCs w:val="18"/>
                <w:lang w:bidi="ar"/>
              </w:rPr>
              <w:t>Non-frequent exacerbation</w:t>
            </w:r>
            <w:r>
              <w:rPr>
                <w:rFonts w:ascii="Times New Roman" w:hAnsi="Times New Roman" w:eastAsia="等线" w:cs="Times New Roman"/>
                <w:b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b/>
                <w:sz w:val="18"/>
                <w:szCs w:val="18"/>
                <w:lang w:bidi="ar"/>
              </w:rPr>
              <w:t>N</w:t>
            </w:r>
            <w:r>
              <w:rPr>
                <w:rFonts w:ascii="Times New Roman" w:hAnsi="Times New Roman" w:eastAsia="等线" w:cs="Times New Roman"/>
                <w:b/>
                <w:sz w:val="18"/>
                <w:szCs w:val="18"/>
                <w:lang w:bidi="ar"/>
              </w:rPr>
              <w:t>=</w:t>
            </w:r>
            <w:r>
              <w:rPr>
                <w:rFonts w:hint="eastAsia" w:ascii="Times New Roman" w:hAnsi="Times New Roman" w:eastAsia="等线" w:cs="Times New Roman"/>
                <w:b/>
                <w:sz w:val="18"/>
                <w:szCs w:val="18"/>
                <w:lang w:bidi="ar"/>
              </w:rPr>
              <w:t>834</w:t>
            </w:r>
            <w:r>
              <w:rPr>
                <w:rFonts w:ascii="Times New Roman" w:hAnsi="Times New Roman" w:eastAsia="等线" w:cs="Times New Roman"/>
                <w:b/>
                <w:sz w:val="18"/>
                <w:szCs w:val="18"/>
                <w:lang w:bidi="ar"/>
              </w:rPr>
              <w:t>)</w:t>
            </w:r>
          </w:p>
        </w:tc>
        <w:tc>
          <w:tcPr>
            <w:tcW w:w="99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ind w:firstLine="360" w:firstLineChars="200"/>
              <w:rPr>
                <w:rFonts w:ascii="Times New Roman" w:hAnsi="Times New Roman" w:eastAsia="等线" w:cs="Times New Roman"/>
                <w:b/>
                <w:i/>
                <w:iCs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i/>
                <w:iCs/>
                <w:sz w:val="18"/>
                <w:szCs w:val="18"/>
                <w:lang w:bidi="ar"/>
              </w:rPr>
              <w:t>P</w:t>
            </w:r>
          </w:p>
          <w:p>
            <w:pPr>
              <w:ind w:firstLine="270" w:firstLineChars="150"/>
              <w:rPr>
                <w:rFonts w:hint="eastAsia" w:ascii="Times New Roman" w:hAnsi="Times New Roman" w:eastAsia="等线" w:cs="Times New Roman"/>
                <w:b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" w:hAnsi="Times New Roman" w:eastAsia="等线" w:cs="Times New Roman"/>
                <w:b/>
                <w:sz w:val="18"/>
                <w:szCs w:val="18"/>
                <w:lang w:bidi="ar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sz w:val="18"/>
                <w:szCs w:val="18"/>
                <w:lang w:bidi="ar"/>
              </w:rPr>
              <w:t>A</w:t>
            </w:r>
            <w:r>
              <w:rPr>
                <w:rFonts w:ascii="Times New Roman" w:hAnsi="Times New Roman" w:eastAsia="等线" w:cs="Times New Roman"/>
                <w:b/>
                <w:sz w:val="18"/>
                <w:szCs w:val="18"/>
                <w:vertAlign w:val="subscript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b/>
                <w:sz w:val="18"/>
                <w:szCs w:val="18"/>
                <w:lang w:bidi="ar"/>
              </w:rPr>
              <w:t xml:space="preserve"> (n=</w:t>
            </w:r>
            <w:r>
              <w:rPr>
                <w:rFonts w:hint="eastAsia" w:ascii="Times New Roman" w:hAnsi="Times New Roman" w:eastAsia="等线" w:cs="Times New Roman"/>
                <w:b/>
                <w:sz w:val="18"/>
                <w:szCs w:val="18"/>
                <w:lang w:bidi="ar"/>
              </w:rPr>
              <w:t>713</w:t>
            </w:r>
            <w:r>
              <w:rPr>
                <w:rFonts w:ascii="Times New Roman" w:hAnsi="Times New Roman" w:eastAsia="等线" w:cs="Times New Roman"/>
                <w:b/>
                <w:sz w:val="18"/>
                <w:szCs w:val="18"/>
                <w:lang w:bidi="ar"/>
              </w:rPr>
              <w:t>)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sz w:val="18"/>
                <w:szCs w:val="18"/>
                <w:lang w:bidi="ar"/>
              </w:rPr>
              <w:t>A</w:t>
            </w:r>
            <w:r>
              <w:rPr>
                <w:rFonts w:ascii="Times New Roman" w:hAnsi="Times New Roman" w:eastAsia="等线" w:cs="Times New Roman"/>
                <w:b/>
                <w:sz w:val="18"/>
                <w:szCs w:val="18"/>
                <w:vertAlign w:val="subscript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b/>
                <w:sz w:val="18"/>
                <w:szCs w:val="18"/>
                <w:lang w:bidi="ar"/>
              </w:rPr>
              <w:t xml:space="preserve"> (n=</w:t>
            </w:r>
            <w:r>
              <w:rPr>
                <w:rFonts w:hint="eastAsia" w:ascii="Times New Roman" w:hAnsi="Times New Roman" w:eastAsia="等线" w:cs="Times New Roman"/>
                <w:b/>
                <w:sz w:val="18"/>
                <w:szCs w:val="18"/>
                <w:lang w:bidi="ar"/>
              </w:rPr>
              <w:t>121</w:t>
            </w:r>
            <w:r>
              <w:rPr>
                <w:rFonts w:ascii="Times New Roman" w:hAnsi="Times New Roman" w:eastAsia="等线" w:cs="Times New Roman"/>
                <w:b/>
                <w:sz w:val="18"/>
                <w:szCs w:val="18"/>
                <w:lang w:bidi="ar"/>
              </w:rPr>
              <w:t>)</w:t>
            </w:r>
          </w:p>
        </w:tc>
        <w:tc>
          <w:tcPr>
            <w:tcW w:w="99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4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Age (years)</w:t>
            </w:r>
          </w:p>
        </w:tc>
        <w:tc>
          <w:tcPr>
            <w:tcW w:w="1984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6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3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4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± 8.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6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4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4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± 8.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2</w:t>
            </w:r>
          </w:p>
        </w:tc>
        <w:tc>
          <w:tcPr>
            <w:tcW w:w="99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835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4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Sex, n (%)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254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4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622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(8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7.2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110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90.9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4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(1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2.8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11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9.1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4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Education level,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 (%)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326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4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Under j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unior high school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499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70.0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90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74.4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4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Over h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igh school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214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(3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0.0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31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25.6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44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BMI (kg/m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22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.7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± 3.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2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3.1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± 3.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7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0.291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4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Smoke history, n (%)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086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4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Never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smoker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59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22.3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17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(1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4.0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4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Former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smoker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258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(3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6.2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44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36.4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4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Curren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smoker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296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(4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1.5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60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49.6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4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Smoking, (pack/year) (Median, IQR)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3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11, 50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39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, 50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217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4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Biofuel exposure, n (%)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187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4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273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38.3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54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(4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4.6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4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440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(6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1.7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67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(5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5.4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4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Pulmonary function, (Mean ± SD)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4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FEV1 %pred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53.5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± 19.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7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54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.5 ± 19.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6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0.480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4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FEV1/FVC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47.6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± 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11.9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49.4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± 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12.3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0.130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4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GOLD grade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sz w:val="18"/>
                <w:szCs w:val="18"/>
                <w:lang w:bidi="ar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529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4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69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9.7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17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14.0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4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313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43.9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49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40.5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4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258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(3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6.2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43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(3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5.5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4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73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10.2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12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10.0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4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CAT, (Mean ± SD)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3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7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± 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6.3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2.9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 xml:space="preserve"> ± 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5.8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170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4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mMRC, (Median, IQR)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2 (1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, 2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2 (1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, 2</w:t>
            </w: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535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4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Therapy, n (%)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0.565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3544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LAMA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178 (25.0)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35 (28.9)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4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LABA+ICS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101 (14.1)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12 (10.0)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3544" w:type="dxa"/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LABA+LAMA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137 (19.2)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24 (19.8)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4" w:type="dxa"/>
            <w:tcBorders>
              <w:bottom w:val="single" w:color="auto" w:sz="4" w:space="0"/>
            </w:tcBorders>
            <w:vAlign w:val="center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LABA+LAMA+ICS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297 (41.7)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bidi="ar"/>
              </w:rPr>
              <w:t>50 (41.3)</w:t>
            </w:r>
          </w:p>
        </w:tc>
        <w:tc>
          <w:tcPr>
            <w:tcW w:w="99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18"/>
                <w:szCs w:val="18"/>
                <w:lang w:bidi="ar"/>
              </w:rPr>
            </w:pPr>
          </w:p>
        </w:tc>
      </w:tr>
    </w:tbl>
    <w:p>
      <w:pPr>
        <w:rPr>
          <w:rFonts w:ascii="Times New Roman" w:hAnsi="Times New Roman" w:eastAsia="宋体" w:cs="Times New Roman"/>
          <w:b/>
          <w:kern w:val="0"/>
          <w:sz w:val="18"/>
          <w:szCs w:val="18"/>
          <w:lang w:bidi="ar"/>
        </w:rPr>
      </w:pPr>
      <w:r>
        <w:rPr>
          <w:rFonts w:hint="eastAsia" w:ascii="Times New Roman" w:hAnsi="Times New Roman" w:eastAsia="宋体" w:cs="Times New Roman"/>
          <w:b/>
          <w:kern w:val="0"/>
          <w:sz w:val="18"/>
          <w:szCs w:val="18"/>
          <w:lang w:bidi="ar"/>
        </w:rPr>
        <w:t xml:space="preserve">Notes: </w:t>
      </w:r>
      <w:r>
        <w:rPr>
          <w:rFonts w:hint="eastAsia" w:ascii="Times New Roman" w:hAnsi="Times New Roman" w:eastAsia="宋体" w:cs="Times New Roman"/>
          <w:bCs/>
          <w:kern w:val="0"/>
          <w:sz w:val="18"/>
          <w:szCs w:val="18"/>
          <w:lang w:bidi="ar"/>
        </w:rPr>
        <w:t>A</w:t>
      </w:r>
      <w:r>
        <w:rPr>
          <w:rFonts w:hint="eastAsia" w:ascii="Times New Roman" w:hAnsi="Times New Roman" w:eastAsia="宋体" w:cs="Times New Roman"/>
          <w:bCs/>
          <w:kern w:val="0"/>
          <w:sz w:val="18"/>
          <w:szCs w:val="18"/>
          <w:vertAlign w:val="subscript"/>
          <w:lang w:bidi="ar"/>
        </w:rPr>
        <w:t>1</w:t>
      </w:r>
      <w:r>
        <w:rPr>
          <w:rFonts w:hint="eastAsia" w:ascii="Times New Roman" w:hAnsi="Times New Roman" w:eastAsia="宋体" w:cs="Times New Roman"/>
          <w:bCs/>
          <w:kern w:val="0"/>
          <w:sz w:val="18"/>
          <w:szCs w:val="18"/>
          <w:lang w:bidi="ar"/>
        </w:rPr>
        <w:t>, patients stay in this study during follow-up; A</w:t>
      </w:r>
      <w:r>
        <w:rPr>
          <w:rFonts w:hint="eastAsia" w:ascii="Times New Roman" w:hAnsi="Times New Roman" w:eastAsia="宋体" w:cs="Times New Roman"/>
          <w:bCs/>
          <w:kern w:val="0"/>
          <w:sz w:val="18"/>
          <w:szCs w:val="18"/>
          <w:vertAlign w:val="subscript"/>
          <w:lang w:bidi="ar"/>
        </w:rPr>
        <w:t>2</w:t>
      </w:r>
      <w:r>
        <w:rPr>
          <w:rFonts w:hint="eastAsia" w:ascii="Times New Roman" w:hAnsi="Times New Roman" w:eastAsia="宋体" w:cs="Times New Roman"/>
          <w:bCs/>
          <w:kern w:val="0"/>
          <w:sz w:val="18"/>
          <w:szCs w:val="18"/>
          <w:lang w:bidi="ar"/>
        </w:rPr>
        <w:t>, patients lost to contact during follow-up.</w:t>
      </w:r>
    </w:p>
    <w:p>
      <w:pP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</w:rPr>
      </w:pPr>
      <w:r>
        <w:rPr>
          <w:rFonts w:ascii="Times New Roman" w:hAnsi="Times New Roman" w:eastAsia="宋体" w:cs="Times New Roman"/>
          <w:b/>
          <w:kern w:val="0"/>
          <w:sz w:val="18"/>
          <w:szCs w:val="18"/>
          <w:lang w:bidi="ar"/>
        </w:rPr>
        <w:t>Abbreviations:</w:t>
      </w:r>
      <w:r>
        <w:rPr>
          <w:rFonts w:ascii="Times New Roman" w:hAnsi="Times New Roman" w:eastAsia="宋体" w:cs="Times New Roman"/>
          <w:kern w:val="0"/>
          <w:sz w:val="18"/>
          <w:szCs w:val="18"/>
          <w:lang w:bidi="ar"/>
        </w:rPr>
        <w:t xml:space="preserve"> 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BMI, Body Mass Index;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 xml:space="preserve"> 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>COPD, Chronic Obstructive Pulmonary Disease; CAT, COPD Assessment Test; FEV1, Forced Expiratory Volume in one second; FVC, Forced Vital Capacity; ICS, Inhaled Corticosteroid</w:t>
      </w:r>
      <w: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</w:rPr>
        <w:t>s</w:t>
      </w:r>
      <w:r>
        <w:rPr>
          <w:rFonts w:ascii="Times New Roman" w:hAnsi="Times New Roman" w:eastAsia="宋体" w:cs="Times New Roman"/>
          <w:color w:val="231F20"/>
          <w:kern w:val="0"/>
          <w:sz w:val="18"/>
          <w:szCs w:val="18"/>
        </w:rPr>
        <w:t>; GOLD, Global Initiative for Chronic Obstructive Lung Disease; LAMA, Long-Acting Muscarinic Antagonist; LABA, Long-Acting β2-Agonist; mMRC, modiﬁed Medical Research Council.</w:t>
      </w:r>
      <w: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</w:rPr>
        <w:t xml:space="preserve"> </w:t>
      </w:r>
    </w:p>
    <w:p>
      <w:pP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</w:rPr>
      </w:pPr>
    </w:p>
    <w:p>
      <w:pP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</w:rPr>
      </w:pPr>
    </w:p>
    <w:p>
      <w:pP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</w:rPr>
      </w:pPr>
    </w:p>
    <w:p>
      <w:pPr>
        <w:rPr>
          <w:rFonts w:hint="eastAsia" w:ascii="Times New Roman" w:hAnsi="Times New Roman" w:eastAsia="宋体" w:cs="Times New Roman"/>
          <w:color w:val="231F20"/>
          <w:kern w:val="0"/>
          <w:sz w:val="18"/>
          <w:szCs w:val="18"/>
          <w:lang w:eastAsia="zh-CN"/>
        </w:rPr>
      </w:pPr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doNotCompress"/>
  <w:compat>
    <w:balanceSingleByteDoubleByteWidth/>
    <w:doNotExpandShiftReturn/>
    <w:adjustLineHeightInTable/>
    <w:useFELayout/>
    <w:doNotUseIndentAsNumberingTabStop/>
    <w:compatSetting w:name="compatibilityMode" w:uri="http://schemas.microsoft.com/office/word" w:val="12"/>
  </w:compat>
  <w:docVars>
    <w:docVar w:name="commondata" w:val="eyJoZGlkIjoiYmZlMjcwNDY1NTI0ODQ0NTJlYmM0ZmNiMzY4NWQ0YzEifQ=="/>
  </w:docVars>
  <w:rsids>
    <w:rsidRoot w:val="003724BB"/>
    <w:rsid w:val="000021DF"/>
    <w:rsid w:val="00003B20"/>
    <w:rsid w:val="00025BD8"/>
    <w:rsid w:val="00026739"/>
    <w:rsid w:val="00026DAE"/>
    <w:rsid w:val="00034106"/>
    <w:rsid w:val="000373CE"/>
    <w:rsid w:val="00041DEE"/>
    <w:rsid w:val="00064DDC"/>
    <w:rsid w:val="00072760"/>
    <w:rsid w:val="00077C8C"/>
    <w:rsid w:val="00084649"/>
    <w:rsid w:val="00086FE3"/>
    <w:rsid w:val="00095F89"/>
    <w:rsid w:val="000B45B3"/>
    <w:rsid w:val="000B7F26"/>
    <w:rsid w:val="000C2BE7"/>
    <w:rsid w:val="000C3E57"/>
    <w:rsid w:val="000C486B"/>
    <w:rsid w:val="000E0EF3"/>
    <w:rsid w:val="000E7D0C"/>
    <w:rsid w:val="000F3A35"/>
    <w:rsid w:val="00101B50"/>
    <w:rsid w:val="00105596"/>
    <w:rsid w:val="00114F28"/>
    <w:rsid w:val="001357A8"/>
    <w:rsid w:val="00144E01"/>
    <w:rsid w:val="00152191"/>
    <w:rsid w:val="00161BF8"/>
    <w:rsid w:val="00163C1A"/>
    <w:rsid w:val="00183ED7"/>
    <w:rsid w:val="00197D17"/>
    <w:rsid w:val="001A1AFE"/>
    <w:rsid w:val="001A2601"/>
    <w:rsid w:val="001C54A8"/>
    <w:rsid w:val="001D3083"/>
    <w:rsid w:val="001D6F46"/>
    <w:rsid w:val="001E2480"/>
    <w:rsid w:val="00266C99"/>
    <w:rsid w:val="002740CF"/>
    <w:rsid w:val="002749C2"/>
    <w:rsid w:val="002878EE"/>
    <w:rsid w:val="002B4147"/>
    <w:rsid w:val="002C395D"/>
    <w:rsid w:val="002C6101"/>
    <w:rsid w:val="002D742B"/>
    <w:rsid w:val="002E1EC2"/>
    <w:rsid w:val="00307D50"/>
    <w:rsid w:val="003306E8"/>
    <w:rsid w:val="00346CD7"/>
    <w:rsid w:val="00351371"/>
    <w:rsid w:val="0035155A"/>
    <w:rsid w:val="00355B4C"/>
    <w:rsid w:val="00357F6B"/>
    <w:rsid w:val="003724BB"/>
    <w:rsid w:val="00390CEA"/>
    <w:rsid w:val="0039136F"/>
    <w:rsid w:val="00393388"/>
    <w:rsid w:val="003A3A7E"/>
    <w:rsid w:val="003A4D19"/>
    <w:rsid w:val="003A5755"/>
    <w:rsid w:val="003C679F"/>
    <w:rsid w:val="003D4496"/>
    <w:rsid w:val="003D7E0F"/>
    <w:rsid w:val="00415019"/>
    <w:rsid w:val="00424AF4"/>
    <w:rsid w:val="00453657"/>
    <w:rsid w:val="004572D5"/>
    <w:rsid w:val="00471C3E"/>
    <w:rsid w:val="00474DCB"/>
    <w:rsid w:val="00495433"/>
    <w:rsid w:val="004A5FB3"/>
    <w:rsid w:val="004C0259"/>
    <w:rsid w:val="004C2331"/>
    <w:rsid w:val="004C50A4"/>
    <w:rsid w:val="004D7AD9"/>
    <w:rsid w:val="004E2CBB"/>
    <w:rsid w:val="0051211D"/>
    <w:rsid w:val="0052465E"/>
    <w:rsid w:val="00531956"/>
    <w:rsid w:val="00535EF1"/>
    <w:rsid w:val="0054004F"/>
    <w:rsid w:val="0054096D"/>
    <w:rsid w:val="00547A25"/>
    <w:rsid w:val="005621C6"/>
    <w:rsid w:val="005815E5"/>
    <w:rsid w:val="00585410"/>
    <w:rsid w:val="00590567"/>
    <w:rsid w:val="005955BA"/>
    <w:rsid w:val="005A77C1"/>
    <w:rsid w:val="005B007F"/>
    <w:rsid w:val="005B5CB4"/>
    <w:rsid w:val="005C51F6"/>
    <w:rsid w:val="005C67BE"/>
    <w:rsid w:val="005D187D"/>
    <w:rsid w:val="005E1CEB"/>
    <w:rsid w:val="005E3686"/>
    <w:rsid w:val="005F3B38"/>
    <w:rsid w:val="005F657C"/>
    <w:rsid w:val="00641E35"/>
    <w:rsid w:val="00655B29"/>
    <w:rsid w:val="006604B2"/>
    <w:rsid w:val="006647BB"/>
    <w:rsid w:val="0066626F"/>
    <w:rsid w:val="0067588E"/>
    <w:rsid w:val="00675DD7"/>
    <w:rsid w:val="00680D74"/>
    <w:rsid w:val="006A2B09"/>
    <w:rsid w:val="006E21AF"/>
    <w:rsid w:val="006E3C3B"/>
    <w:rsid w:val="007072B9"/>
    <w:rsid w:val="00723CBD"/>
    <w:rsid w:val="00730A88"/>
    <w:rsid w:val="0075209D"/>
    <w:rsid w:val="00757044"/>
    <w:rsid w:val="00757DC6"/>
    <w:rsid w:val="00764A10"/>
    <w:rsid w:val="0078180A"/>
    <w:rsid w:val="007841CA"/>
    <w:rsid w:val="007923BC"/>
    <w:rsid w:val="007B10CB"/>
    <w:rsid w:val="007B748A"/>
    <w:rsid w:val="007C60C6"/>
    <w:rsid w:val="007C7D98"/>
    <w:rsid w:val="007D3734"/>
    <w:rsid w:val="007E1F84"/>
    <w:rsid w:val="007E6F8A"/>
    <w:rsid w:val="008052F8"/>
    <w:rsid w:val="008215E3"/>
    <w:rsid w:val="00823A66"/>
    <w:rsid w:val="008247A9"/>
    <w:rsid w:val="008A3543"/>
    <w:rsid w:val="008A46A3"/>
    <w:rsid w:val="008C480E"/>
    <w:rsid w:val="008D472A"/>
    <w:rsid w:val="008E1B54"/>
    <w:rsid w:val="008E2BD3"/>
    <w:rsid w:val="008E61E2"/>
    <w:rsid w:val="008E683B"/>
    <w:rsid w:val="008F4359"/>
    <w:rsid w:val="00914401"/>
    <w:rsid w:val="0092003C"/>
    <w:rsid w:val="00920E4A"/>
    <w:rsid w:val="009344BD"/>
    <w:rsid w:val="00934BCF"/>
    <w:rsid w:val="009353D2"/>
    <w:rsid w:val="00943581"/>
    <w:rsid w:val="0094569C"/>
    <w:rsid w:val="009478A6"/>
    <w:rsid w:val="0095030D"/>
    <w:rsid w:val="009739D3"/>
    <w:rsid w:val="0099655B"/>
    <w:rsid w:val="009A14D1"/>
    <w:rsid w:val="009A340E"/>
    <w:rsid w:val="009A5B87"/>
    <w:rsid w:val="009C198B"/>
    <w:rsid w:val="009C3FA7"/>
    <w:rsid w:val="00A01CAC"/>
    <w:rsid w:val="00A05B43"/>
    <w:rsid w:val="00A106CB"/>
    <w:rsid w:val="00A35BE6"/>
    <w:rsid w:val="00A35CB8"/>
    <w:rsid w:val="00A5235D"/>
    <w:rsid w:val="00A73558"/>
    <w:rsid w:val="00A87FA4"/>
    <w:rsid w:val="00AA1F8D"/>
    <w:rsid w:val="00AA3A21"/>
    <w:rsid w:val="00AC2B29"/>
    <w:rsid w:val="00AC3FD8"/>
    <w:rsid w:val="00AC648E"/>
    <w:rsid w:val="00AC6CB5"/>
    <w:rsid w:val="00AD51AE"/>
    <w:rsid w:val="00AE2C74"/>
    <w:rsid w:val="00AF1E38"/>
    <w:rsid w:val="00B004E8"/>
    <w:rsid w:val="00B1653E"/>
    <w:rsid w:val="00B43DB2"/>
    <w:rsid w:val="00B461E4"/>
    <w:rsid w:val="00B5448F"/>
    <w:rsid w:val="00B61E83"/>
    <w:rsid w:val="00B70624"/>
    <w:rsid w:val="00B7140F"/>
    <w:rsid w:val="00B75392"/>
    <w:rsid w:val="00B83B33"/>
    <w:rsid w:val="00BA4452"/>
    <w:rsid w:val="00BC1817"/>
    <w:rsid w:val="00BD4763"/>
    <w:rsid w:val="00BE3477"/>
    <w:rsid w:val="00BF07B1"/>
    <w:rsid w:val="00BF5DFE"/>
    <w:rsid w:val="00C02065"/>
    <w:rsid w:val="00C04428"/>
    <w:rsid w:val="00C06D6F"/>
    <w:rsid w:val="00C2263B"/>
    <w:rsid w:val="00C24973"/>
    <w:rsid w:val="00C308DC"/>
    <w:rsid w:val="00C476DB"/>
    <w:rsid w:val="00C51B41"/>
    <w:rsid w:val="00C57FD8"/>
    <w:rsid w:val="00C75DF4"/>
    <w:rsid w:val="00C94C93"/>
    <w:rsid w:val="00C9528C"/>
    <w:rsid w:val="00CA0EBD"/>
    <w:rsid w:val="00CA7411"/>
    <w:rsid w:val="00CB16AD"/>
    <w:rsid w:val="00CB7BEF"/>
    <w:rsid w:val="00CB7DDD"/>
    <w:rsid w:val="00CC3F22"/>
    <w:rsid w:val="00CC5247"/>
    <w:rsid w:val="00CD4536"/>
    <w:rsid w:val="00CE7315"/>
    <w:rsid w:val="00D05E0E"/>
    <w:rsid w:val="00D26B9F"/>
    <w:rsid w:val="00D400B8"/>
    <w:rsid w:val="00D52EE1"/>
    <w:rsid w:val="00D97CB9"/>
    <w:rsid w:val="00DA60A5"/>
    <w:rsid w:val="00DD3B17"/>
    <w:rsid w:val="00DD6554"/>
    <w:rsid w:val="00DE5605"/>
    <w:rsid w:val="00E05CAF"/>
    <w:rsid w:val="00E06CB1"/>
    <w:rsid w:val="00E125EF"/>
    <w:rsid w:val="00E21641"/>
    <w:rsid w:val="00E23A6D"/>
    <w:rsid w:val="00E62B6B"/>
    <w:rsid w:val="00E668AA"/>
    <w:rsid w:val="00E945C4"/>
    <w:rsid w:val="00EA49CF"/>
    <w:rsid w:val="00EB2303"/>
    <w:rsid w:val="00EC4004"/>
    <w:rsid w:val="00EC644A"/>
    <w:rsid w:val="00EE32EB"/>
    <w:rsid w:val="00EE690C"/>
    <w:rsid w:val="00F01F64"/>
    <w:rsid w:val="00F06CFA"/>
    <w:rsid w:val="00F2160F"/>
    <w:rsid w:val="00F34A9D"/>
    <w:rsid w:val="00F65ADD"/>
    <w:rsid w:val="00F66A25"/>
    <w:rsid w:val="00F87AB8"/>
    <w:rsid w:val="00F9184A"/>
    <w:rsid w:val="00FA12E7"/>
    <w:rsid w:val="00FC23A2"/>
    <w:rsid w:val="00FC2451"/>
    <w:rsid w:val="00FD7CF6"/>
    <w:rsid w:val="00FF0088"/>
    <w:rsid w:val="016D23CB"/>
    <w:rsid w:val="01F35A5E"/>
    <w:rsid w:val="02100387"/>
    <w:rsid w:val="02443CCC"/>
    <w:rsid w:val="025F71EA"/>
    <w:rsid w:val="036F6B27"/>
    <w:rsid w:val="046B3792"/>
    <w:rsid w:val="047A5783"/>
    <w:rsid w:val="04896FE6"/>
    <w:rsid w:val="04C77D99"/>
    <w:rsid w:val="05065269"/>
    <w:rsid w:val="051433DC"/>
    <w:rsid w:val="051B76CD"/>
    <w:rsid w:val="055D36F2"/>
    <w:rsid w:val="058449A1"/>
    <w:rsid w:val="059B0ED8"/>
    <w:rsid w:val="05EC26B0"/>
    <w:rsid w:val="06A66D03"/>
    <w:rsid w:val="06BB0AD8"/>
    <w:rsid w:val="072445B9"/>
    <w:rsid w:val="07265C81"/>
    <w:rsid w:val="073267E9"/>
    <w:rsid w:val="07740BAF"/>
    <w:rsid w:val="07CC09B2"/>
    <w:rsid w:val="08BF4B5D"/>
    <w:rsid w:val="08D564EF"/>
    <w:rsid w:val="09126817"/>
    <w:rsid w:val="097A6225"/>
    <w:rsid w:val="098654F7"/>
    <w:rsid w:val="09B039F5"/>
    <w:rsid w:val="0A2A19F9"/>
    <w:rsid w:val="0A634F0B"/>
    <w:rsid w:val="0A940641"/>
    <w:rsid w:val="0AC05EBA"/>
    <w:rsid w:val="0AD11E75"/>
    <w:rsid w:val="0AE24082"/>
    <w:rsid w:val="0AFF7800"/>
    <w:rsid w:val="0B5E5DFE"/>
    <w:rsid w:val="0B9730BE"/>
    <w:rsid w:val="0BB21CA6"/>
    <w:rsid w:val="0BD936D7"/>
    <w:rsid w:val="0BEB51B8"/>
    <w:rsid w:val="0C175FAD"/>
    <w:rsid w:val="0C523489"/>
    <w:rsid w:val="0C7358DA"/>
    <w:rsid w:val="0D86163D"/>
    <w:rsid w:val="0DD5673C"/>
    <w:rsid w:val="0E1C3D4F"/>
    <w:rsid w:val="0E4230B1"/>
    <w:rsid w:val="0EC00B7E"/>
    <w:rsid w:val="0EC87A33"/>
    <w:rsid w:val="100B407B"/>
    <w:rsid w:val="105552F6"/>
    <w:rsid w:val="10756774"/>
    <w:rsid w:val="10D206F5"/>
    <w:rsid w:val="1108483D"/>
    <w:rsid w:val="11196324"/>
    <w:rsid w:val="12305AD0"/>
    <w:rsid w:val="12647A72"/>
    <w:rsid w:val="12BB4C13"/>
    <w:rsid w:val="13405DEA"/>
    <w:rsid w:val="139323BD"/>
    <w:rsid w:val="1474357E"/>
    <w:rsid w:val="14A73921"/>
    <w:rsid w:val="14BF71E2"/>
    <w:rsid w:val="14D45562"/>
    <w:rsid w:val="153100E0"/>
    <w:rsid w:val="153478D2"/>
    <w:rsid w:val="15990F4B"/>
    <w:rsid w:val="15B71A60"/>
    <w:rsid w:val="16794715"/>
    <w:rsid w:val="17284F26"/>
    <w:rsid w:val="17E56F60"/>
    <w:rsid w:val="19172C70"/>
    <w:rsid w:val="1990114D"/>
    <w:rsid w:val="199541E1"/>
    <w:rsid w:val="1A2B60A0"/>
    <w:rsid w:val="1B073FA2"/>
    <w:rsid w:val="1B194744"/>
    <w:rsid w:val="1CA7512B"/>
    <w:rsid w:val="1D0B7468"/>
    <w:rsid w:val="1D202422"/>
    <w:rsid w:val="1D230C56"/>
    <w:rsid w:val="1D733B41"/>
    <w:rsid w:val="1DAF4CFD"/>
    <w:rsid w:val="1DD2442A"/>
    <w:rsid w:val="1F737547"/>
    <w:rsid w:val="1FF75054"/>
    <w:rsid w:val="20745325"/>
    <w:rsid w:val="20796DDF"/>
    <w:rsid w:val="20C067BC"/>
    <w:rsid w:val="20D67D8D"/>
    <w:rsid w:val="215533A8"/>
    <w:rsid w:val="21EB2429"/>
    <w:rsid w:val="220F1D81"/>
    <w:rsid w:val="22765384"/>
    <w:rsid w:val="227F5D29"/>
    <w:rsid w:val="22821F7B"/>
    <w:rsid w:val="22871B18"/>
    <w:rsid w:val="22B8599C"/>
    <w:rsid w:val="22F015DA"/>
    <w:rsid w:val="23671171"/>
    <w:rsid w:val="23BC14BC"/>
    <w:rsid w:val="23EE54AF"/>
    <w:rsid w:val="23F23130"/>
    <w:rsid w:val="24575689"/>
    <w:rsid w:val="25113A8A"/>
    <w:rsid w:val="25646F00"/>
    <w:rsid w:val="258D5FED"/>
    <w:rsid w:val="25E22D30"/>
    <w:rsid w:val="25FA6BAC"/>
    <w:rsid w:val="261D1FBA"/>
    <w:rsid w:val="267F0A80"/>
    <w:rsid w:val="26C568DA"/>
    <w:rsid w:val="27653C19"/>
    <w:rsid w:val="27A90CC7"/>
    <w:rsid w:val="280E12DE"/>
    <w:rsid w:val="28937940"/>
    <w:rsid w:val="28ED3EC6"/>
    <w:rsid w:val="299C70AF"/>
    <w:rsid w:val="29A273A6"/>
    <w:rsid w:val="29F75F90"/>
    <w:rsid w:val="2A952A67"/>
    <w:rsid w:val="2A9E71D0"/>
    <w:rsid w:val="2B69617B"/>
    <w:rsid w:val="2C073C8F"/>
    <w:rsid w:val="2C4A123E"/>
    <w:rsid w:val="2C6E34CF"/>
    <w:rsid w:val="2C842D93"/>
    <w:rsid w:val="2D80737E"/>
    <w:rsid w:val="2DCB5AB6"/>
    <w:rsid w:val="2DEE3CEA"/>
    <w:rsid w:val="2F601896"/>
    <w:rsid w:val="2FAD754E"/>
    <w:rsid w:val="302A28F2"/>
    <w:rsid w:val="303B7C0D"/>
    <w:rsid w:val="30677CC3"/>
    <w:rsid w:val="30C41557"/>
    <w:rsid w:val="314A69CD"/>
    <w:rsid w:val="318B0720"/>
    <w:rsid w:val="31D2634F"/>
    <w:rsid w:val="322A0B09"/>
    <w:rsid w:val="323B084F"/>
    <w:rsid w:val="33371C79"/>
    <w:rsid w:val="333F17C2"/>
    <w:rsid w:val="33446DD8"/>
    <w:rsid w:val="3349717B"/>
    <w:rsid w:val="346F4329"/>
    <w:rsid w:val="349D03D0"/>
    <w:rsid w:val="34B035A2"/>
    <w:rsid w:val="355968AD"/>
    <w:rsid w:val="35BC359E"/>
    <w:rsid w:val="36C95F72"/>
    <w:rsid w:val="36DD76B9"/>
    <w:rsid w:val="37060F75"/>
    <w:rsid w:val="3727030B"/>
    <w:rsid w:val="37405B09"/>
    <w:rsid w:val="37A147F9"/>
    <w:rsid w:val="37C10492"/>
    <w:rsid w:val="38146732"/>
    <w:rsid w:val="38FB1FDE"/>
    <w:rsid w:val="39113C01"/>
    <w:rsid w:val="391F00CC"/>
    <w:rsid w:val="393022D9"/>
    <w:rsid w:val="396E1053"/>
    <w:rsid w:val="39785A2E"/>
    <w:rsid w:val="398340E8"/>
    <w:rsid w:val="3A231E3E"/>
    <w:rsid w:val="3A42466B"/>
    <w:rsid w:val="3AA94E1E"/>
    <w:rsid w:val="3AB72586"/>
    <w:rsid w:val="3B1A3241"/>
    <w:rsid w:val="3B862684"/>
    <w:rsid w:val="3BEE0229"/>
    <w:rsid w:val="3BF910A8"/>
    <w:rsid w:val="3C0161AE"/>
    <w:rsid w:val="3C1E5257"/>
    <w:rsid w:val="3C24593E"/>
    <w:rsid w:val="3C265C15"/>
    <w:rsid w:val="3C6D55F2"/>
    <w:rsid w:val="3D077217"/>
    <w:rsid w:val="3D440942"/>
    <w:rsid w:val="3D9077EA"/>
    <w:rsid w:val="3E7962A9"/>
    <w:rsid w:val="3E8C7457"/>
    <w:rsid w:val="3E906671"/>
    <w:rsid w:val="3EC82FB3"/>
    <w:rsid w:val="3FB02CC0"/>
    <w:rsid w:val="3FDA2F9E"/>
    <w:rsid w:val="40B01F51"/>
    <w:rsid w:val="41326E0A"/>
    <w:rsid w:val="41390199"/>
    <w:rsid w:val="42AA5F0F"/>
    <w:rsid w:val="431C1B20"/>
    <w:rsid w:val="43865DFB"/>
    <w:rsid w:val="43B444B0"/>
    <w:rsid w:val="44022AC4"/>
    <w:rsid w:val="448356CB"/>
    <w:rsid w:val="453D4D93"/>
    <w:rsid w:val="45A007E6"/>
    <w:rsid w:val="45AC718B"/>
    <w:rsid w:val="45C86C83"/>
    <w:rsid w:val="46146ADE"/>
    <w:rsid w:val="463171A4"/>
    <w:rsid w:val="467361C5"/>
    <w:rsid w:val="46A77AF5"/>
    <w:rsid w:val="46D85D5E"/>
    <w:rsid w:val="46FC37FA"/>
    <w:rsid w:val="4739757E"/>
    <w:rsid w:val="47460F19"/>
    <w:rsid w:val="47633879"/>
    <w:rsid w:val="479B7984"/>
    <w:rsid w:val="47D130B0"/>
    <w:rsid w:val="48D04F3E"/>
    <w:rsid w:val="4982110D"/>
    <w:rsid w:val="498D2E30"/>
    <w:rsid w:val="49BF4FB3"/>
    <w:rsid w:val="4AB02A80"/>
    <w:rsid w:val="4AC56A3B"/>
    <w:rsid w:val="4AEC1945"/>
    <w:rsid w:val="4B1B2029"/>
    <w:rsid w:val="4B427C4A"/>
    <w:rsid w:val="4B86222C"/>
    <w:rsid w:val="4BE156B5"/>
    <w:rsid w:val="4CFB6302"/>
    <w:rsid w:val="4D553C64"/>
    <w:rsid w:val="4DBA440F"/>
    <w:rsid w:val="4EF61477"/>
    <w:rsid w:val="4F0516BA"/>
    <w:rsid w:val="4F8545A9"/>
    <w:rsid w:val="508309F9"/>
    <w:rsid w:val="50930868"/>
    <w:rsid w:val="52462715"/>
    <w:rsid w:val="5253273C"/>
    <w:rsid w:val="527032EE"/>
    <w:rsid w:val="52741030"/>
    <w:rsid w:val="527E1EAF"/>
    <w:rsid w:val="52B90084"/>
    <w:rsid w:val="54D72854"/>
    <w:rsid w:val="551B1C37"/>
    <w:rsid w:val="551F56E4"/>
    <w:rsid w:val="55212E73"/>
    <w:rsid w:val="56050C87"/>
    <w:rsid w:val="564F69A5"/>
    <w:rsid w:val="566A3D5A"/>
    <w:rsid w:val="57122DFE"/>
    <w:rsid w:val="58FB1ADD"/>
    <w:rsid w:val="59087272"/>
    <w:rsid w:val="590D282F"/>
    <w:rsid w:val="5A0C7DA1"/>
    <w:rsid w:val="5A1B7FE4"/>
    <w:rsid w:val="5A355C07"/>
    <w:rsid w:val="5A6402E5"/>
    <w:rsid w:val="5AB95A8F"/>
    <w:rsid w:val="5AFF16B3"/>
    <w:rsid w:val="5B273ABE"/>
    <w:rsid w:val="5B2843F5"/>
    <w:rsid w:val="5B9721AB"/>
    <w:rsid w:val="5C5F6A1F"/>
    <w:rsid w:val="5C91458D"/>
    <w:rsid w:val="5D283143"/>
    <w:rsid w:val="5D706898"/>
    <w:rsid w:val="5E0D40E7"/>
    <w:rsid w:val="5ECD771F"/>
    <w:rsid w:val="5EF77271"/>
    <w:rsid w:val="5F325BCB"/>
    <w:rsid w:val="5FEF1CF6"/>
    <w:rsid w:val="602347A1"/>
    <w:rsid w:val="606F1089"/>
    <w:rsid w:val="60CB2763"/>
    <w:rsid w:val="614C649A"/>
    <w:rsid w:val="616D55C9"/>
    <w:rsid w:val="626A2816"/>
    <w:rsid w:val="63100901"/>
    <w:rsid w:val="635B76A3"/>
    <w:rsid w:val="638E1826"/>
    <w:rsid w:val="647811BC"/>
    <w:rsid w:val="64C62D00"/>
    <w:rsid w:val="659770B8"/>
    <w:rsid w:val="65FB5BD5"/>
    <w:rsid w:val="66157FDD"/>
    <w:rsid w:val="66560D21"/>
    <w:rsid w:val="6680206E"/>
    <w:rsid w:val="66FF678F"/>
    <w:rsid w:val="675F6CDB"/>
    <w:rsid w:val="679B21B1"/>
    <w:rsid w:val="67E1461B"/>
    <w:rsid w:val="6833299C"/>
    <w:rsid w:val="689F1871"/>
    <w:rsid w:val="696848C8"/>
    <w:rsid w:val="69750B86"/>
    <w:rsid w:val="6B1E5B86"/>
    <w:rsid w:val="6B4149F8"/>
    <w:rsid w:val="6B6109CC"/>
    <w:rsid w:val="6C757A27"/>
    <w:rsid w:val="6C863FEC"/>
    <w:rsid w:val="6CDE3409"/>
    <w:rsid w:val="6D4D7BBD"/>
    <w:rsid w:val="6DAC1227"/>
    <w:rsid w:val="6DE44E65"/>
    <w:rsid w:val="6E216C7D"/>
    <w:rsid w:val="6E4753F3"/>
    <w:rsid w:val="6FC43255"/>
    <w:rsid w:val="6FC867A2"/>
    <w:rsid w:val="6FCF3C54"/>
    <w:rsid w:val="6FCF56A0"/>
    <w:rsid w:val="705837F6"/>
    <w:rsid w:val="70770916"/>
    <w:rsid w:val="70AF2159"/>
    <w:rsid w:val="71041AFF"/>
    <w:rsid w:val="712E63F7"/>
    <w:rsid w:val="71AB7A47"/>
    <w:rsid w:val="7212604B"/>
    <w:rsid w:val="7390694A"/>
    <w:rsid w:val="74251D33"/>
    <w:rsid w:val="74A4534E"/>
    <w:rsid w:val="75240054"/>
    <w:rsid w:val="7561323F"/>
    <w:rsid w:val="75A93E26"/>
    <w:rsid w:val="761D51F4"/>
    <w:rsid w:val="76393874"/>
    <w:rsid w:val="781042B4"/>
    <w:rsid w:val="78445CAB"/>
    <w:rsid w:val="789C633C"/>
    <w:rsid w:val="78ED33A4"/>
    <w:rsid w:val="78EF46BD"/>
    <w:rsid w:val="79345ECD"/>
    <w:rsid w:val="793B2D9E"/>
    <w:rsid w:val="7956298E"/>
    <w:rsid w:val="7971298A"/>
    <w:rsid w:val="79CC73CA"/>
    <w:rsid w:val="79DC7338"/>
    <w:rsid w:val="79F36581"/>
    <w:rsid w:val="7AA24843"/>
    <w:rsid w:val="7B272834"/>
    <w:rsid w:val="7B892BA7"/>
    <w:rsid w:val="7BC167E5"/>
    <w:rsid w:val="7BDD499F"/>
    <w:rsid w:val="7C5C3201"/>
    <w:rsid w:val="7C6453C2"/>
    <w:rsid w:val="7CD12A58"/>
    <w:rsid w:val="7D0A1871"/>
    <w:rsid w:val="7D6A0DD8"/>
    <w:rsid w:val="7D957F29"/>
    <w:rsid w:val="7E6D33F4"/>
    <w:rsid w:val="7E9D4178"/>
    <w:rsid w:val="7EAF7C85"/>
    <w:rsid w:val="7EE66563"/>
    <w:rsid w:val="7F08297D"/>
    <w:rsid w:val="7F2A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2161</Words>
  <Characters>13056</Characters>
  <Lines>189</Lines>
  <Paragraphs>53</Paragraphs>
  <TotalTime>0</TotalTime>
  <ScaleCrop>false</ScaleCrop>
  <LinksUpToDate>false</LinksUpToDate>
  <CharactersWithSpaces>14270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2021-10-01T16:09:00Z</dcterms:created>
  <dc:creator>378387854@qq.com</dc:creator>
  <cp:lastModifiedBy>宋庆</cp:lastModifiedBy>
  <dcterms:modified xsi:type="dcterms:W3CDTF">2023-06-27T07:28:05Z</dcterms:modified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BA993C4DCE9C4D9EAC795C6A6DD06CB8</vt:lpwstr>
  </property>
</Properties>
</file>