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FE199" w14:textId="20A8D52F" w:rsidR="00B30BC3" w:rsidRPr="00431388" w:rsidRDefault="00010403" w:rsidP="0060400B">
      <w:pPr>
        <w:pStyle w:val="Heading1"/>
      </w:pPr>
      <w:r>
        <w:t xml:space="preserve">Supplement </w:t>
      </w:r>
      <w:r w:rsidR="00755FA8">
        <w:t>1</w:t>
      </w:r>
      <w:r w:rsidR="00494B14">
        <w:t xml:space="preserve"> –</w:t>
      </w:r>
      <w:r w:rsidR="00BB0BFE">
        <w:t xml:space="preserve"> </w:t>
      </w:r>
      <w:r w:rsidR="006776FE">
        <w:t>Development of the data collection form</w:t>
      </w:r>
    </w:p>
    <w:p w14:paraId="2D77A87A" w14:textId="661826A1" w:rsidR="004B7DBB" w:rsidRDefault="004B7DBB" w:rsidP="00272FF8">
      <w:r w:rsidRPr="00D405C6">
        <w:t>A data abstraction form was developed to extract eating challenges and nutrition care interventions recorded by care partners in electronic charts of LTC residents. We used a piecemeal process based on previously described methods</w:t>
      </w:r>
      <w:r w:rsidR="00C664D6">
        <w:t>,</w:t>
      </w:r>
      <w:r w:rsidR="00AE2F10" w:rsidRPr="00AE2F10">
        <w:rPr>
          <w:vertAlign w:val="superscript"/>
        </w:rPr>
        <w:t>36-39</w:t>
      </w:r>
      <w:r w:rsidR="00C11988" w:rsidRPr="00C11988">
        <w:t xml:space="preserve"> </w:t>
      </w:r>
      <w:r w:rsidRPr="00D405C6">
        <w:t xml:space="preserve">which consisted of three steps: 1) </w:t>
      </w:r>
      <w:r>
        <w:t>l</w:t>
      </w:r>
      <w:r w:rsidRPr="00D405C6">
        <w:t xml:space="preserve">iterature review and clinical scan; 2) </w:t>
      </w:r>
      <w:r>
        <w:t>r</w:t>
      </w:r>
      <w:r w:rsidRPr="00D405C6">
        <w:t xml:space="preserve">efinement of the data abstraction instrument; and 3) </w:t>
      </w:r>
      <w:r>
        <w:t>c</w:t>
      </w:r>
      <w:r w:rsidRPr="00D405C6">
        <w:t>onsistency check for coding reliability</w:t>
      </w:r>
      <w:r>
        <w:t xml:space="preserve"> (Supp</w:t>
      </w:r>
      <w:r w:rsidR="0023210A">
        <w:t>l</w:t>
      </w:r>
      <w:r>
        <w:t xml:space="preserve"> Table </w:t>
      </w:r>
      <w:r w:rsidR="00755FA8">
        <w:t>1</w:t>
      </w:r>
      <w:r w:rsidR="00D520AC">
        <w:t>.</w:t>
      </w:r>
      <w:r>
        <w:t>1)</w:t>
      </w:r>
      <w:r w:rsidRPr="00D405C6">
        <w:t>.</w:t>
      </w:r>
    </w:p>
    <w:p w14:paraId="4737E704" w14:textId="77777777" w:rsidR="00272FF8" w:rsidRDefault="00272FF8" w:rsidP="00F4158D">
      <w:pPr>
        <w:widowControl w:val="0"/>
        <w:rPr>
          <w:rFonts w:cs="Arial"/>
          <w:b/>
          <w:bCs/>
        </w:rPr>
      </w:pPr>
    </w:p>
    <w:p w14:paraId="77E7C855" w14:textId="0000481A" w:rsidR="00F4158D" w:rsidRPr="00D267FB" w:rsidRDefault="00F4158D" w:rsidP="00F4158D">
      <w:pPr>
        <w:widowControl w:val="0"/>
        <w:rPr>
          <w:rFonts w:cs="Arial"/>
        </w:rPr>
      </w:pPr>
      <w:r>
        <w:rPr>
          <w:rFonts w:cs="Arial"/>
          <w:b/>
          <w:bCs/>
        </w:rPr>
        <w:t xml:space="preserve">Supplementary </w:t>
      </w:r>
      <w:r w:rsidRPr="00D267FB">
        <w:rPr>
          <w:rFonts w:cs="Arial"/>
          <w:b/>
          <w:bCs/>
        </w:rPr>
        <w:t xml:space="preserve">Table </w:t>
      </w:r>
      <w:r w:rsidR="00755FA8">
        <w:rPr>
          <w:rFonts w:cs="Arial"/>
          <w:b/>
          <w:bCs/>
        </w:rPr>
        <w:t>1</w:t>
      </w:r>
      <w:r w:rsidR="00D520AC">
        <w:rPr>
          <w:rFonts w:cs="Arial"/>
          <w:b/>
          <w:bCs/>
        </w:rPr>
        <w:t>.</w:t>
      </w:r>
      <w:r w:rsidRPr="00D267FB">
        <w:rPr>
          <w:rFonts w:cs="Arial"/>
          <w:b/>
          <w:bCs/>
        </w:rPr>
        <w:t>1</w:t>
      </w:r>
      <w:r>
        <w:rPr>
          <w:rFonts w:cs="Arial"/>
          <w:b/>
          <w:bCs/>
        </w:rPr>
        <w:t xml:space="preserve"> Overview of the process and elements of the nutrition care data abstraction form development</w:t>
      </w:r>
      <w:r w:rsidRPr="00D267FB">
        <w:rPr>
          <w:rFonts w:cs="Arial"/>
        </w:rPr>
        <w:t xml:space="preserve"> </w:t>
      </w:r>
    </w:p>
    <w:tbl>
      <w:tblPr>
        <w:tblW w:w="5000" w:type="pct"/>
        <w:tblBorders>
          <w:top w:val="single" w:sz="2" w:space="0" w:color="000000"/>
          <w:bottom w:val="single" w:sz="2" w:space="0" w:color="000000"/>
          <w:insideH w:val="single" w:sz="2" w:space="0" w:color="000000"/>
        </w:tblBorders>
        <w:tblCellMar>
          <w:top w:w="55" w:type="dxa"/>
          <w:left w:w="55" w:type="dxa"/>
          <w:bottom w:w="55" w:type="dxa"/>
          <w:right w:w="55" w:type="dxa"/>
        </w:tblCellMar>
        <w:tblLook w:val="0000" w:firstRow="0" w:lastRow="0" w:firstColumn="0" w:lastColumn="0" w:noHBand="0" w:noVBand="0"/>
      </w:tblPr>
      <w:tblGrid>
        <w:gridCol w:w="2280"/>
        <w:gridCol w:w="6470"/>
      </w:tblGrid>
      <w:tr w:rsidR="00F4158D" w:rsidRPr="00D267FB" w14:paraId="06F9D24A" w14:textId="77777777" w:rsidTr="007810CD">
        <w:trPr>
          <w:trHeight w:val="505"/>
        </w:trPr>
        <w:tc>
          <w:tcPr>
            <w:tcW w:w="1003" w:type="pct"/>
          </w:tcPr>
          <w:p w14:paraId="11FD4FCE" w14:textId="77777777" w:rsidR="00F4158D" w:rsidRPr="00D267FB" w:rsidRDefault="00F4158D" w:rsidP="002079B2">
            <w:pPr>
              <w:widowControl w:val="0"/>
              <w:rPr>
                <w:rFonts w:cs="Arial"/>
              </w:rPr>
            </w:pPr>
            <w:r>
              <w:rPr>
                <w:rFonts w:cs="Arial"/>
              </w:rPr>
              <w:t>Phase</w:t>
            </w:r>
          </w:p>
        </w:tc>
        <w:tc>
          <w:tcPr>
            <w:tcW w:w="3997" w:type="pct"/>
          </w:tcPr>
          <w:p w14:paraId="3DEB4D1B" w14:textId="77777777" w:rsidR="00F4158D" w:rsidRPr="00D267FB" w:rsidRDefault="00F4158D" w:rsidP="002079B2">
            <w:r>
              <w:t>Purpose</w:t>
            </w:r>
          </w:p>
        </w:tc>
      </w:tr>
      <w:tr w:rsidR="00F4158D" w:rsidRPr="00D267FB" w14:paraId="7EFECCF8" w14:textId="77777777" w:rsidTr="007810CD">
        <w:trPr>
          <w:trHeight w:val="505"/>
        </w:trPr>
        <w:tc>
          <w:tcPr>
            <w:tcW w:w="1003" w:type="pct"/>
          </w:tcPr>
          <w:p w14:paraId="39050D51" w14:textId="77777777" w:rsidR="00F4158D" w:rsidRPr="00D267FB" w:rsidRDefault="00F4158D" w:rsidP="002079B2">
            <w:pPr>
              <w:widowControl w:val="0"/>
              <w:numPr>
                <w:ilvl w:val="0"/>
                <w:numId w:val="7"/>
              </w:numPr>
              <w:rPr>
                <w:rFonts w:cs="Arial"/>
              </w:rPr>
            </w:pPr>
            <w:r>
              <w:rPr>
                <w:rFonts w:cs="Arial"/>
              </w:rPr>
              <w:t>Literature review and clinical scan</w:t>
            </w:r>
          </w:p>
        </w:tc>
        <w:tc>
          <w:tcPr>
            <w:tcW w:w="3997" w:type="pct"/>
          </w:tcPr>
          <w:p w14:paraId="11DCAB41" w14:textId="77777777" w:rsidR="00F4158D" w:rsidRPr="00AF3198" w:rsidRDefault="00F4158D" w:rsidP="002079B2">
            <w:pPr>
              <w:pStyle w:val="ListParagraph"/>
              <w:numPr>
                <w:ilvl w:val="0"/>
                <w:numId w:val="8"/>
              </w:numPr>
              <w:spacing w:line="480" w:lineRule="auto"/>
              <w:ind w:left="370" w:hanging="221"/>
              <w:rPr>
                <w:rFonts w:ascii="Arial" w:hAnsi="Arial" w:cs="Arial"/>
                <w:sz w:val="20"/>
                <w:szCs w:val="20"/>
              </w:rPr>
            </w:pPr>
            <w:r w:rsidRPr="00AF3198">
              <w:rPr>
                <w:rFonts w:ascii="Arial" w:hAnsi="Arial" w:cs="Arial"/>
                <w:sz w:val="20"/>
                <w:szCs w:val="20"/>
              </w:rPr>
              <w:t xml:space="preserve">Situate the data collection within existing </w:t>
            </w:r>
            <w:proofErr w:type="gramStart"/>
            <w:r w:rsidRPr="00AF3198">
              <w:rPr>
                <w:rFonts w:ascii="Arial" w:hAnsi="Arial" w:cs="Arial"/>
                <w:sz w:val="20"/>
                <w:szCs w:val="20"/>
              </w:rPr>
              <w:t>literature</w:t>
            </w:r>
            <w:proofErr w:type="gramEnd"/>
            <w:r w:rsidRPr="00AF3198">
              <w:rPr>
                <w:rFonts w:ascii="Arial" w:hAnsi="Arial" w:cs="Arial"/>
                <w:sz w:val="20"/>
                <w:szCs w:val="20"/>
              </w:rPr>
              <w:t xml:space="preserve"> </w:t>
            </w:r>
          </w:p>
          <w:p w14:paraId="59A29362" w14:textId="77777777" w:rsidR="00F4158D" w:rsidRPr="00AF3198" w:rsidRDefault="00F4158D" w:rsidP="002079B2">
            <w:pPr>
              <w:pStyle w:val="ListParagraph"/>
              <w:numPr>
                <w:ilvl w:val="0"/>
                <w:numId w:val="8"/>
              </w:numPr>
              <w:spacing w:line="480" w:lineRule="auto"/>
              <w:ind w:left="370" w:hanging="229"/>
              <w:rPr>
                <w:rFonts w:ascii="Arial" w:hAnsi="Arial" w:cs="Arial"/>
                <w:sz w:val="20"/>
                <w:szCs w:val="20"/>
              </w:rPr>
            </w:pPr>
            <w:r w:rsidRPr="00AF3198">
              <w:rPr>
                <w:rFonts w:ascii="Arial" w:hAnsi="Arial" w:cs="Arial"/>
                <w:sz w:val="20"/>
                <w:szCs w:val="20"/>
              </w:rPr>
              <w:t xml:space="preserve">Obtain insight from relevant stakeholders/clinicians familiar with the </w:t>
            </w:r>
            <w:proofErr w:type="gramStart"/>
            <w:r w:rsidRPr="00AF3198">
              <w:rPr>
                <w:rFonts w:ascii="Arial" w:hAnsi="Arial" w:cs="Arial"/>
                <w:sz w:val="20"/>
                <w:szCs w:val="20"/>
              </w:rPr>
              <w:t>field</w:t>
            </w:r>
            <w:proofErr w:type="gramEnd"/>
          </w:p>
          <w:p w14:paraId="4CFD0E56" w14:textId="77777777" w:rsidR="00F4158D" w:rsidRDefault="00F4158D" w:rsidP="002079B2">
            <w:pPr>
              <w:pStyle w:val="ListParagraph"/>
              <w:numPr>
                <w:ilvl w:val="0"/>
                <w:numId w:val="8"/>
              </w:numPr>
              <w:spacing w:line="480" w:lineRule="auto"/>
              <w:ind w:left="370" w:hanging="221"/>
              <w:rPr>
                <w:rFonts w:ascii="Arial" w:hAnsi="Arial" w:cs="Arial"/>
                <w:sz w:val="20"/>
                <w:szCs w:val="20"/>
              </w:rPr>
            </w:pPr>
            <w:r w:rsidRPr="00AF3198">
              <w:rPr>
                <w:rFonts w:ascii="Arial" w:hAnsi="Arial" w:cs="Arial"/>
                <w:sz w:val="20"/>
                <w:szCs w:val="20"/>
              </w:rPr>
              <w:t xml:space="preserve">Establish, reinforce, confirm research </w:t>
            </w:r>
            <w:proofErr w:type="gramStart"/>
            <w:r w:rsidRPr="00AF3198">
              <w:rPr>
                <w:rFonts w:ascii="Arial" w:hAnsi="Arial" w:cs="Arial"/>
                <w:sz w:val="20"/>
                <w:szCs w:val="20"/>
              </w:rPr>
              <w:t>questions</w:t>
            </w:r>
            <w:proofErr w:type="gramEnd"/>
          </w:p>
          <w:p w14:paraId="231BDD20" w14:textId="77777777" w:rsidR="00F4158D" w:rsidRPr="00307CCD" w:rsidRDefault="00F4158D" w:rsidP="002079B2">
            <w:pPr>
              <w:pStyle w:val="ListParagraph"/>
              <w:numPr>
                <w:ilvl w:val="0"/>
                <w:numId w:val="8"/>
              </w:numPr>
              <w:spacing w:line="480" w:lineRule="auto"/>
              <w:ind w:left="370" w:hanging="221"/>
              <w:rPr>
                <w:rFonts w:ascii="Arial" w:hAnsi="Arial" w:cs="Arial"/>
                <w:sz w:val="20"/>
                <w:szCs w:val="20"/>
              </w:rPr>
            </w:pPr>
            <w:r w:rsidRPr="00307CCD">
              <w:rPr>
                <w:rFonts w:ascii="Arial" w:hAnsi="Arial" w:cs="Arial"/>
                <w:sz w:val="20"/>
                <w:szCs w:val="20"/>
              </w:rPr>
              <w:t>Identify relevant items to collect, and field-specific terminology for coding consistency</w:t>
            </w:r>
          </w:p>
        </w:tc>
      </w:tr>
      <w:tr w:rsidR="00F4158D" w:rsidRPr="00D267FB" w14:paraId="10A02850" w14:textId="77777777" w:rsidTr="007810CD">
        <w:trPr>
          <w:trHeight w:val="505"/>
        </w:trPr>
        <w:tc>
          <w:tcPr>
            <w:tcW w:w="1003" w:type="pct"/>
          </w:tcPr>
          <w:p w14:paraId="100A36B7" w14:textId="77777777" w:rsidR="00F4158D" w:rsidRPr="00D267FB" w:rsidRDefault="00F4158D" w:rsidP="002079B2">
            <w:pPr>
              <w:widowControl w:val="0"/>
              <w:numPr>
                <w:ilvl w:val="0"/>
                <w:numId w:val="7"/>
              </w:numPr>
              <w:rPr>
                <w:rFonts w:cs="Arial"/>
              </w:rPr>
            </w:pPr>
            <w:r>
              <w:rPr>
                <w:rFonts w:cs="Arial"/>
              </w:rPr>
              <w:t>Refinement of the data abstraction form</w:t>
            </w:r>
          </w:p>
        </w:tc>
        <w:tc>
          <w:tcPr>
            <w:tcW w:w="3997" w:type="pct"/>
          </w:tcPr>
          <w:p w14:paraId="72E1BE41" w14:textId="77777777" w:rsidR="00F4158D" w:rsidRPr="00AF3198" w:rsidRDefault="00F4158D" w:rsidP="002079B2">
            <w:pPr>
              <w:pStyle w:val="ListParagraph"/>
              <w:numPr>
                <w:ilvl w:val="0"/>
                <w:numId w:val="8"/>
              </w:numPr>
              <w:spacing w:line="480" w:lineRule="auto"/>
              <w:ind w:left="370" w:hanging="221"/>
              <w:rPr>
                <w:rFonts w:ascii="Arial" w:hAnsi="Arial" w:cs="Arial"/>
                <w:sz w:val="20"/>
                <w:szCs w:val="20"/>
              </w:rPr>
            </w:pPr>
            <w:r w:rsidRPr="00AF3198">
              <w:rPr>
                <w:rFonts w:ascii="Arial" w:hAnsi="Arial" w:cs="Arial"/>
                <w:sz w:val="20"/>
                <w:szCs w:val="20"/>
              </w:rPr>
              <w:t>Apply the preliminary data abstraction form to a handful of charts (n=10)</w:t>
            </w:r>
          </w:p>
          <w:p w14:paraId="594CB128" w14:textId="77777777" w:rsidR="00F4158D" w:rsidRPr="00AF3198" w:rsidRDefault="00F4158D" w:rsidP="002079B2">
            <w:pPr>
              <w:pStyle w:val="ListParagraph"/>
              <w:numPr>
                <w:ilvl w:val="0"/>
                <w:numId w:val="8"/>
              </w:numPr>
              <w:spacing w:line="480" w:lineRule="auto"/>
              <w:ind w:left="370" w:hanging="221"/>
              <w:rPr>
                <w:rFonts w:ascii="Arial" w:hAnsi="Arial" w:cs="Arial"/>
                <w:sz w:val="20"/>
                <w:szCs w:val="20"/>
              </w:rPr>
            </w:pPr>
            <w:r w:rsidRPr="00AF3198">
              <w:rPr>
                <w:rFonts w:ascii="Arial" w:hAnsi="Arial" w:cs="Arial"/>
                <w:sz w:val="20"/>
                <w:szCs w:val="20"/>
              </w:rPr>
              <w:t xml:space="preserve">Modify research questions according to available </w:t>
            </w:r>
            <w:proofErr w:type="gramStart"/>
            <w:r w:rsidRPr="00AF3198">
              <w:rPr>
                <w:rFonts w:ascii="Arial" w:hAnsi="Arial" w:cs="Arial"/>
                <w:sz w:val="20"/>
                <w:szCs w:val="20"/>
              </w:rPr>
              <w:t>information</w:t>
            </w:r>
            <w:proofErr w:type="gramEnd"/>
          </w:p>
          <w:p w14:paraId="6E353AF2" w14:textId="77777777" w:rsidR="00F4158D" w:rsidRPr="00AF3198" w:rsidRDefault="00F4158D" w:rsidP="002079B2">
            <w:pPr>
              <w:pStyle w:val="ListParagraph"/>
              <w:numPr>
                <w:ilvl w:val="0"/>
                <w:numId w:val="8"/>
              </w:numPr>
              <w:spacing w:line="480" w:lineRule="auto"/>
              <w:ind w:left="370" w:hanging="221"/>
              <w:rPr>
                <w:rFonts w:ascii="Arial" w:hAnsi="Arial" w:cs="Arial"/>
                <w:sz w:val="20"/>
                <w:szCs w:val="20"/>
              </w:rPr>
            </w:pPr>
            <w:r w:rsidRPr="00AF3198">
              <w:rPr>
                <w:rFonts w:ascii="Arial" w:hAnsi="Arial" w:cs="Arial"/>
                <w:sz w:val="20"/>
                <w:szCs w:val="20"/>
              </w:rPr>
              <w:t>Test feasibility of collecting specified items</w:t>
            </w:r>
          </w:p>
          <w:p w14:paraId="0B2359F1" w14:textId="77777777" w:rsidR="00F4158D" w:rsidRPr="00AF3198" w:rsidRDefault="00F4158D" w:rsidP="002079B2">
            <w:pPr>
              <w:pStyle w:val="ListParagraph"/>
              <w:numPr>
                <w:ilvl w:val="0"/>
                <w:numId w:val="8"/>
              </w:numPr>
              <w:spacing w:line="480" w:lineRule="auto"/>
              <w:ind w:left="370" w:hanging="221"/>
              <w:rPr>
                <w:rFonts w:ascii="Arial" w:hAnsi="Arial" w:cs="Arial"/>
                <w:sz w:val="20"/>
                <w:szCs w:val="20"/>
              </w:rPr>
            </w:pPr>
            <w:r w:rsidRPr="00AF3198">
              <w:rPr>
                <w:rFonts w:ascii="Arial" w:hAnsi="Arial" w:cs="Arial"/>
                <w:sz w:val="20"/>
                <w:szCs w:val="20"/>
              </w:rPr>
              <w:t>Format abstraction form according to organization of charted information</w:t>
            </w:r>
          </w:p>
          <w:p w14:paraId="663E281F" w14:textId="77777777" w:rsidR="00F4158D" w:rsidRPr="00AF3198" w:rsidRDefault="00F4158D" w:rsidP="002079B2">
            <w:pPr>
              <w:pStyle w:val="ListParagraph"/>
              <w:numPr>
                <w:ilvl w:val="0"/>
                <w:numId w:val="8"/>
              </w:numPr>
              <w:spacing w:line="480" w:lineRule="auto"/>
              <w:ind w:left="370" w:hanging="221"/>
              <w:rPr>
                <w:rFonts w:ascii="Arial" w:hAnsi="Arial" w:cs="Arial"/>
                <w:sz w:val="20"/>
                <w:szCs w:val="20"/>
              </w:rPr>
            </w:pPr>
            <w:r w:rsidRPr="00AF3198">
              <w:rPr>
                <w:rFonts w:ascii="Arial" w:hAnsi="Arial" w:cs="Arial"/>
                <w:sz w:val="20"/>
                <w:szCs w:val="20"/>
              </w:rPr>
              <w:t>Identify challenges, charting inconsistencies, discrepancies, ambiguity of items etc.</w:t>
            </w:r>
          </w:p>
          <w:p w14:paraId="79962897" w14:textId="77777777" w:rsidR="00F4158D" w:rsidRPr="00726049" w:rsidRDefault="00F4158D" w:rsidP="002079B2">
            <w:pPr>
              <w:pStyle w:val="ListParagraph"/>
              <w:numPr>
                <w:ilvl w:val="0"/>
                <w:numId w:val="8"/>
              </w:numPr>
              <w:spacing w:line="480" w:lineRule="auto"/>
              <w:ind w:left="370" w:hanging="221"/>
              <w:rPr>
                <w:rFonts w:ascii="Arial" w:hAnsi="Arial" w:cs="Arial"/>
                <w:sz w:val="20"/>
                <w:szCs w:val="20"/>
              </w:rPr>
            </w:pPr>
            <w:r w:rsidRPr="00AF3198">
              <w:rPr>
                <w:rFonts w:ascii="Arial" w:hAnsi="Arial" w:cs="Arial"/>
                <w:sz w:val="20"/>
                <w:szCs w:val="20"/>
              </w:rPr>
              <w:t>At the end of this phase, the data abstraction form should be in its (nearly) final form finalized for the study</w:t>
            </w:r>
          </w:p>
        </w:tc>
      </w:tr>
      <w:tr w:rsidR="00F4158D" w:rsidRPr="00D267FB" w14:paraId="2F34FC26" w14:textId="77777777" w:rsidTr="007810CD">
        <w:trPr>
          <w:trHeight w:val="505"/>
        </w:trPr>
        <w:tc>
          <w:tcPr>
            <w:tcW w:w="1003" w:type="pct"/>
          </w:tcPr>
          <w:p w14:paraId="6B37377D" w14:textId="77777777" w:rsidR="00F4158D" w:rsidRPr="00D267FB" w:rsidRDefault="00F4158D" w:rsidP="002079B2">
            <w:pPr>
              <w:widowControl w:val="0"/>
              <w:numPr>
                <w:ilvl w:val="0"/>
                <w:numId w:val="7"/>
              </w:numPr>
              <w:rPr>
                <w:rFonts w:cs="Arial"/>
              </w:rPr>
            </w:pPr>
            <w:r>
              <w:rPr>
                <w:rFonts w:cs="Arial"/>
              </w:rPr>
              <w:lastRenderedPageBreak/>
              <w:t>Consistency check for reliability of coding over time</w:t>
            </w:r>
          </w:p>
        </w:tc>
        <w:tc>
          <w:tcPr>
            <w:tcW w:w="3997" w:type="pct"/>
          </w:tcPr>
          <w:p w14:paraId="4058999E" w14:textId="77777777" w:rsidR="00F4158D" w:rsidRPr="009F3AFA" w:rsidRDefault="00F4158D" w:rsidP="002079B2">
            <w:pPr>
              <w:pStyle w:val="ListParagraph"/>
              <w:numPr>
                <w:ilvl w:val="0"/>
                <w:numId w:val="8"/>
              </w:numPr>
              <w:spacing w:line="480" w:lineRule="auto"/>
              <w:ind w:left="370" w:hanging="221"/>
              <w:rPr>
                <w:rFonts w:ascii="Arial" w:hAnsi="Arial" w:cs="Arial"/>
                <w:sz w:val="20"/>
                <w:szCs w:val="20"/>
              </w:rPr>
            </w:pPr>
            <w:r w:rsidRPr="009F3AFA">
              <w:rPr>
                <w:rFonts w:ascii="Arial" w:hAnsi="Arial" w:cs="Arial"/>
                <w:sz w:val="20"/>
                <w:szCs w:val="20"/>
              </w:rPr>
              <w:t>Test the functionality and consistency of the data collection process (n=150)</w:t>
            </w:r>
          </w:p>
          <w:p w14:paraId="220A08C2" w14:textId="77777777" w:rsidR="00F4158D" w:rsidRPr="009F3AFA" w:rsidRDefault="00F4158D" w:rsidP="002079B2">
            <w:pPr>
              <w:pStyle w:val="ListParagraph"/>
              <w:numPr>
                <w:ilvl w:val="0"/>
                <w:numId w:val="8"/>
              </w:numPr>
              <w:spacing w:line="480" w:lineRule="auto"/>
              <w:ind w:left="370" w:hanging="221"/>
              <w:rPr>
                <w:rFonts w:ascii="Arial" w:hAnsi="Arial" w:cs="Arial"/>
                <w:sz w:val="20"/>
                <w:szCs w:val="20"/>
              </w:rPr>
            </w:pPr>
            <w:r w:rsidRPr="009F3AFA">
              <w:rPr>
                <w:rFonts w:ascii="Arial" w:hAnsi="Arial" w:cs="Arial"/>
                <w:sz w:val="20"/>
                <w:szCs w:val="20"/>
              </w:rPr>
              <w:t xml:space="preserve">Further refine item definitions and update codebook when new terms, discrepancies etc. are </w:t>
            </w:r>
            <w:proofErr w:type="gramStart"/>
            <w:r w:rsidRPr="009F3AFA">
              <w:rPr>
                <w:rFonts w:ascii="Arial" w:hAnsi="Arial" w:cs="Arial"/>
                <w:sz w:val="20"/>
                <w:szCs w:val="20"/>
              </w:rPr>
              <w:t>uncovered</w:t>
            </w:r>
            <w:proofErr w:type="gramEnd"/>
          </w:p>
          <w:p w14:paraId="75FEC374" w14:textId="77777777" w:rsidR="00F4158D" w:rsidRPr="009F3AFA" w:rsidRDefault="00F4158D" w:rsidP="002079B2">
            <w:pPr>
              <w:pStyle w:val="ListParagraph"/>
              <w:numPr>
                <w:ilvl w:val="0"/>
                <w:numId w:val="8"/>
              </w:numPr>
              <w:spacing w:line="480" w:lineRule="auto"/>
              <w:ind w:left="370" w:hanging="221"/>
              <w:rPr>
                <w:rFonts w:ascii="Arial" w:hAnsi="Arial" w:cs="Arial"/>
                <w:sz w:val="20"/>
                <w:szCs w:val="20"/>
              </w:rPr>
            </w:pPr>
            <w:r w:rsidRPr="009F3AFA">
              <w:rPr>
                <w:rFonts w:ascii="Arial" w:hAnsi="Arial" w:cs="Arial"/>
                <w:sz w:val="20"/>
                <w:szCs w:val="20"/>
              </w:rPr>
              <w:t>Determine intra-rater reliability (a single rater was responsible for all chart reviews in this case) after three blocks of data collection; 5 randomly selected after every 50 charts to ensure consistency over time (n=15)</w:t>
            </w:r>
          </w:p>
          <w:p w14:paraId="499D3632" w14:textId="77777777" w:rsidR="00F4158D" w:rsidRPr="009F3AFA" w:rsidRDefault="00F4158D" w:rsidP="002079B2">
            <w:pPr>
              <w:pStyle w:val="ListParagraph"/>
              <w:numPr>
                <w:ilvl w:val="0"/>
                <w:numId w:val="8"/>
              </w:numPr>
              <w:spacing w:line="480" w:lineRule="auto"/>
              <w:ind w:left="370" w:hanging="221"/>
              <w:rPr>
                <w:rFonts w:ascii="Arial" w:hAnsi="Arial" w:cs="Arial"/>
                <w:sz w:val="20"/>
                <w:szCs w:val="20"/>
              </w:rPr>
            </w:pPr>
            <w:r w:rsidRPr="009F3AFA">
              <w:rPr>
                <w:rFonts w:ascii="Arial" w:hAnsi="Arial" w:cs="Arial"/>
                <w:sz w:val="20"/>
                <w:szCs w:val="20"/>
              </w:rPr>
              <w:t>Identify “problem” variables</w:t>
            </w:r>
          </w:p>
        </w:tc>
      </w:tr>
    </w:tbl>
    <w:p w14:paraId="7C396A6E" w14:textId="77777777" w:rsidR="00B71B58" w:rsidRDefault="00B71B58" w:rsidP="00EE0017">
      <w:pPr>
        <w:pStyle w:val="Heading2"/>
      </w:pPr>
      <w:r>
        <w:t>Phase 1 – Literature review and clinical scan</w:t>
      </w:r>
    </w:p>
    <w:p w14:paraId="4210F74C" w14:textId="77777777" w:rsidR="0074068E" w:rsidRPr="0074068E" w:rsidRDefault="0074068E" w:rsidP="0074068E">
      <w:pPr>
        <w:rPr>
          <w:lang w:val="en-CA"/>
        </w:rPr>
      </w:pPr>
      <w:r w:rsidRPr="0074068E">
        <w:rPr>
          <w:lang w:val="en-CA"/>
        </w:rPr>
        <w:t xml:space="preserve">Relevant items for inclusion on the form were first identified based on a literature review and personal experience in the LTC dining environment. An initial data abstraction form was developed from these resources. The form included a list of care interventions and practices, eating challenges, and other relevant information (e.g., weight records). The draft form was reviewed by 10 LTC providers: dietitians (n=2), a dietetic intern (n=1), food service workers (n=2), and LTC administrative staff (n=5) from the participating homes who were familiar with providing and documenting nutrition care for LTC residents. These individuals were provided with a summary of the study objectives and an initial draft of the data abstraction form. Upon receipt, they were requested to confirm that the data planned for extraction would address the research objective, and to provide feedback on feasibility of collecting these data from the resident charts. </w:t>
      </w:r>
    </w:p>
    <w:p w14:paraId="1FEBE3B2" w14:textId="77777777" w:rsidR="0074068E" w:rsidRPr="0074068E" w:rsidRDefault="0074068E" w:rsidP="00350979">
      <w:pPr>
        <w:pStyle w:val="Heading2"/>
        <w:rPr>
          <w:lang w:val="en-CA"/>
        </w:rPr>
      </w:pPr>
      <w:r w:rsidRPr="0074068E">
        <w:rPr>
          <w:lang w:val="en-CA"/>
        </w:rPr>
        <w:t>Phase 2 – Refinement of the data abstraction form</w:t>
      </w:r>
    </w:p>
    <w:p w14:paraId="378AE946" w14:textId="339B1CA9" w:rsidR="0074068E" w:rsidRPr="0074068E" w:rsidRDefault="0074068E" w:rsidP="0074068E">
      <w:pPr>
        <w:rPr>
          <w:lang w:val="en-CA"/>
        </w:rPr>
      </w:pPr>
      <w:r w:rsidRPr="0074068E">
        <w:rPr>
          <w:lang w:val="en-CA"/>
        </w:rPr>
        <w:t>The initial data abstraction form was used on 10 resident charts, and adjustments were made to the formatting and content according to chart set-up and contents. One major outcome of this phase was the decision to collect the data in four 2-week “bins” representing four timepoints leading up to death (i.e., 6-, 3-, 1-month, and 2 weeks prior to death) (Supp</w:t>
      </w:r>
      <w:r w:rsidR="0023210A">
        <w:rPr>
          <w:lang w:val="en-CA"/>
        </w:rPr>
        <w:t>l</w:t>
      </w:r>
      <w:r w:rsidRPr="0074068E">
        <w:rPr>
          <w:lang w:val="en-CA"/>
        </w:rPr>
        <w:t xml:space="preserve"> Figure </w:t>
      </w:r>
      <w:r w:rsidR="00755FA8">
        <w:rPr>
          <w:lang w:val="en-CA"/>
        </w:rPr>
        <w:t>1</w:t>
      </w:r>
      <w:r w:rsidR="00D520AC">
        <w:rPr>
          <w:lang w:val="en-CA"/>
        </w:rPr>
        <w:t>.</w:t>
      </w:r>
      <w:r w:rsidRPr="0074068E">
        <w:rPr>
          <w:lang w:val="en-CA"/>
        </w:rPr>
        <w:t xml:space="preserve">1). This was done to narrow down the vast amount of information on nutrition and mealtime challenges </w:t>
      </w:r>
      <w:r w:rsidRPr="0074068E">
        <w:rPr>
          <w:lang w:val="en-CA"/>
        </w:rPr>
        <w:lastRenderedPageBreak/>
        <w:t>recorded in the resident charts, and to facilitate aims of our research questions pertaining to longitudinal change in eating challenges and nutrition care leading up to death. Data collection of nutrition care and eating challenge items was simplified such that each item was checked “yes (1)” if it appeared in the care plans/progress notes at the specified timepoint, and the default was “no (0)” if the checkbox was not checked.</w:t>
      </w:r>
    </w:p>
    <w:p w14:paraId="6723F273" w14:textId="6D6EE65A" w:rsidR="0074068E" w:rsidRPr="0074068E" w:rsidRDefault="0074068E" w:rsidP="0074068E">
      <w:pPr>
        <w:rPr>
          <w:lang w:val="en-CA"/>
        </w:rPr>
      </w:pPr>
      <w:r w:rsidRPr="0074068E">
        <w:rPr>
          <w:lang w:val="en-CA"/>
        </w:rPr>
        <w:t>The structure of the data abstraction form in relation to the electronic charts was another important consideration of this phase. Intentional organization of the form can minimize data collection errors because it eliminates the need to search for data elements</w:t>
      </w:r>
      <w:r w:rsidR="0044546F">
        <w:rPr>
          <w:lang w:val="en-CA"/>
        </w:rPr>
        <w:t>.</w:t>
      </w:r>
      <w:r w:rsidR="00AE2F10" w:rsidRPr="00AE2F10">
        <w:rPr>
          <w:vertAlign w:val="superscript"/>
          <w:lang w:val="en-CA"/>
        </w:rPr>
        <w:t>36</w:t>
      </w:r>
      <w:r w:rsidRPr="0074068E">
        <w:rPr>
          <w:lang w:val="en-CA"/>
        </w:rPr>
        <w:t xml:space="preserve"> A codebook was also developed to track and define all variables and to provide a list of synonyms and clarifications for each variable to be referenced whenever there were discrepancies. Additions to the codebook were ongoing through the study when decisions had to be made around unclear wording or new terminology. The finalized data abstraction form was formatted using </w:t>
      </w:r>
      <w:proofErr w:type="spellStart"/>
      <w:r w:rsidRPr="0074068E">
        <w:rPr>
          <w:lang w:val="en-CA"/>
        </w:rPr>
        <w:t>REDCap</w:t>
      </w:r>
      <w:proofErr w:type="spellEnd"/>
      <w:r w:rsidRPr="0074068E">
        <w:rPr>
          <w:lang w:val="en-CA"/>
        </w:rPr>
        <w:t xml:space="preserve"> Software</w:t>
      </w:r>
      <w:r w:rsidR="00061B41" w:rsidRPr="00061B41">
        <w:rPr>
          <w:vertAlign w:val="superscript"/>
          <w:lang w:val="en-CA"/>
        </w:rPr>
        <w:t>40,41</w:t>
      </w:r>
      <w:r w:rsidRPr="0074068E">
        <w:rPr>
          <w:lang w:val="en-CA"/>
        </w:rPr>
        <w:t xml:space="preserve"> and all data collection was recorded electronically. </w:t>
      </w:r>
    </w:p>
    <w:p w14:paraId="7C1B3D43" w14:textId="77777777" w:rsidR="00EE0017" w:rsidRDefault="00EE0017" w:rsidP="00EE0017"/>
    <w:p w14:paraId="39B8EE0A" w14:textId="33292259" w:rsidR="00C0046C" w:rsidRDefault="00D06E2C" w:rsidP="00C0046C">
      <w:pPr>
        <w:widowControl w:val="0"/>
        <w:rPr>
          <w:rFonts w:cs="Arial"/>
          <w:b/>
          <w:bCs/>
        </w:rPr>
      </w:pPr>
      <w:r>
        <w:rPr>
          <w:rFonts w:ascii="Times New Roman" w:hAnsi="Times New Roman"/>
          <w:noProof/>
          <w:szCs w:val="20"/>
        </w:rPr>
      </w:r>
      <w:r w:rsidR="00D06E2C">
        <w:rPr>
          <w:rFonts w:ascii="Times New Roman" w:hAnsi="Times New Roman"/>
          <w:noProof/>
          <w:szCs w:val="20"/>
        </w:rPr>
        <w:pict w14:anchorId="66901D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picture containing chart&#13;&#13;&#13;&#13;&#13;&#13;&#10;&#13;&#13;&#13;&#13;&#13;&#13;&#10;Description automatically generated" style="width:466pt;height:168.65pt;visibility:visible;mso-wrap-style:square;mso-width-percent:0;mso-height-percent:0;mso-width-percent:0;mso-height-percent:0">
            <v:imagedata r:id="rId7" o:title="A picture containing chart&#13;&#13;&#13;&#13;&#13;&#13;&#10;&#13;&#13;&#13;&#13;&#13;&#13;&#10;Description automatically generated"/>
          </v:shape>
        </w:pict>
      </w:r>
    </w:p>
    <w:p w14:paraId="0690CF8D" w14:textId="153665F0" w:rsidR="00C0046C" w:rsidRPr="00461C42" w:rsidRDefault="00C0046C" w:rsidP="00C0046C">
      <w:pPr>
        <w:rPr>
          <w:rFonts w:cs="Arial"/>
          <w:b/>
          <w:bCs/>
          <w:szCs w:val="20"/>
        </w:rPr>
      </w:pPr>
      <w:r>
        <w:rPr>
          <w:rFonts w:cs="Arial"/>
          <w:b/>
          <w:bCs/>
        </w:rPr>
        <w:t xml:space="preserve">Supplementary </w:t>
      </w:r>
      <w:r w:rsidRPr="00D267FB">
        <w:rPr>
          <w:rFonts w:cs="Arial"/>
          <w:b/>
          <w:bCs/>
        </w:rPr>
        <w:t xml:space="preserve">Figure </w:t>
      </w:r>
      <w:r w:rsidR="00755FA8">
        <w:rPr>
          <w:rFonts w:cs="Arial"/>
          <w:b/>
          <w:bCs/>
        </w:rPr>
        <w:t>1</w:t>
      </w:r>
      <w:r w:rsidR="00D520AC">
        <w:rPr>
          <w:rFonts w:cs="Arial"/>
          <w:b/>
          <w:bCs/>
        </w:rPr>
        <w:t>.</w:t>
      </w:r>
      <w:r w:rsidRPr="00D267FB">
        <w:rPr>
          <w:rFonts w:cs="Arial"/>
          <w:b/>
          <w:bCs/>
        </w:rPr>
        <w:t>1</w:t>
      </w:r>
      <w:r w:rsidRPr="00D267FB">
        <w:rPr>
          <w:rFonts w:cs="Arial"/>
        </w:rPr>
        <w:t xml:space="preserve"> </w:t>
      </w:r>
      <w:r w:rsidRPr="00461C42">
        <w:rPr>
          <w:rFonts w:cs="Arial"/>
          <w:b/>
          <w:bCs/>
          <w:szCs w:val="20"/>
        </w:rPr>
        <w:t>Illustration of observation periods selected for reviewing the resident charts leading up to death.</w:t>
      </w:r>
    </w:p>
    <w:p w14:paraId="5219157D" w14:textId="77777777" w:rsidR="00C0046C" w:rsidRDefault="00C0046C" w:rsidP="00EE0017"/>
    <w:p w14:paraId="7B2007B3" w14:textId="77777777" w:rsidR="00272FF8" w:rsidRPr="00EE0017" w:rsidRDefault="00272FF8" w:rsidP="00EE0017"/>
    <w:p w14:paraId="41FD1120" w14:textId="77777777" w:rsidR="003466B1" w:rsidRPr="003466B1" w:rsidRDefault="003466B1" w:rsidP="00272FF8">
      <w:pPr>
        <w:pStyle w:val="Heading2"/>
        <w:rPr>
          <w:lang w:val="en-CA"/>
        </w:rPr>
      </w:pPr>
      <w:r w:rsidRPr="003466B1">
        <w:rPr>
          <w:lang w:val="en-CA"/>
        </w:rPr>
        <w:lastRenderedPageBreak/>
        <w:t>Phase 3 – Consistency check for coding reliability</w:t>
      </w:r>
    </w:p>
    <w:p w14:paraId="42B31F47" w14:textId="7A0807E6" w:rsidR="00272FF8" w:rsidRPr="003466B1" w:rsidRDefault="003466B1" w:rsidP="003466B1">
      <w:pPr>
        <w:rPr>
          <w:lang w:val="en-CA"/>
        </w:rPr>
      </w:pPr>
      <w:r w:rsidRPr="003466B1">
        <w:rPr>
          <w:lang w:val="en-CA"/>
        </w:rPr>
        <w:t xml:space="preserve">A single rater (JMK) was responsible for extracting all data from the resident charts, so phase 3 involved ensuring consistency of data collection over time. This was completed in stages. After 50 chart reviews, 10% (n=5) of the charts were randomly selected for a second review. Discrepancies between the two extractions were examined in detail to clarify the inconsistencies and to refine the item definitions in the codebook. The same process was repeated three times, working in 50-chart blocks (i.e., re-reviewed charts were randomly selected from within the most recent block); the third block, after 150 chart reviews, demonstrated good consistency in extraction and further checking in the total sample of 176 records was deemed unnecessary by the research team. Problematic items with a high degree of disagreement and lack of clarity for the rater, were reviewed in all prior charts, such that in the instances where the item was indicated “yes”, the accuracy of the response was confirmed in the resident chart; “no” responses were assumed to be accurate because this suggested that the item was not mentioned in the chart. This more thorough check was necessary for 5 items. In one instance, a significant problem with the way care plans and eating challenge history was recorded led to a restructuring of the question and the first two blocks of charts (n=100) charts were re-evaluated for that item. </w:t>
      </w:r>
    </w:p>
    <w:p w14:paraId="6153A746" w14:textId="427E381C" w:rsidR="003466B1" w:rsidRDefault="003466B1" w:rsidP="00272FF8">
      <w:pPr>
        <w:ind w:firstLine="720"/>
        <w:rPr>
          <w:lang w:val="en-CA"/>
        </w:rPr>
      </w:pPr>
      <w:r w:rsidRPr="003466B1">
        <w:rPr>
          <w:lang w:val="en-CA"/>
        </w:rPr>
        <w:t>There were 293 items on the data abstraction form for comparison, and an additional 5 items reflecting eating challenge history were tested in the last block. Text responses were not included in the reliability analysis but were compared visually for consistency across the two chart reviews and showed general similarities in responses. We assessed the proportion of items that had complete agreement across the 5 re-reviewed charts in each 50-chart block (“total item agreement”). That is, if only 4 of the 5 charts agreed on an item, this item was not in agreement. Total item agreement was assessed by section of the data abstraction form (e.g., care plans, eating challenges etc.) as well as overall across all items (Supp</w:t>
      </w:r>
      <w:r w:rsidR="00354D70">
        <w:rPr>
          <w:lang w:val="en-CA"/>
        </w:rPr>
        <w:t>l</w:t>
      </w:r>
      <w:r w:rsidRPr="003466B1">
        <w:rPr>
          <w:lang w:val="en-CA"/>
        </w:rPr>
        <w:t xml:space="preserve"> Table </w:t>
      </w:r>
      <w:r w:rsidR="00755FA8">
        <w:rPr>
          <w:lang w:val="en-CA"/>
        </w:rPr>
        <w:t>1</w:t>
      </w:r>
      <w:r w:rsidR="00D520AC">
        <w:rPr>
          <w:lang w:val="en-CA"/>
        </w:rPr>
        <w:t>.</w:t>
      </w:r>
      <w:r w:rsidRPr="003466B1">
        <w:rPr>
          <w:lang w:val="en-CA"/>
        </w:rPr>
        <w:t xml:space="preserve">2). We also calculated “overall chart agreement” which was agreement per chart (# agreed / total items) averaged across the 5 charts. We expected to see improvement in agreement from one block to the next with greater experience in extraction and refinement of the codebook. The total item agreement </w:t>
      </w:r>
      <w:r w:rsidRPr="003466B1">
        <w:rPr>
          <w:lang w:val="en-CA"/>
        </w:rPr>
        <w:lastRenderedPageBreak/>
        <w:t xml:space="preserve">increased from 73% after the first 50 charts, to 86% after the last 50 charts. Overall chart agreement was 93% in the first block up to 97% in the last block. </w:t>
      </w:r>
    </w:p>
    <w:p w14:paraId="77ACFE1D" w14:textId="77777777" w:rsidR="00354D70" w:rsidRPr="003466B1" w:rsidRDefault="00354D70" w:rsidP="00272FF8">
      <w:pPr>
        <w:ind w:firstLine="720"/>
        <w:rPr>
          <w:lang w:val="en-CA"/>
        </w:rPr>
      </w:pPr>
    </w:p>
    <w:p w14:paraId="1ABACD71" w14:textId="76B7EE0E" w:rsidR="00B766FE" w:rsidRPr="00461C42" w:rsidRDefault="00B766FE" w:rsidP="00B766FE">
      <w:pPr>
        <w:rPr>
          <w:rFonts w:cs="Arial"/>
          <w:b/>
          <w:bCs/>
          <w:szCs w:val="20"/>
        </w:rPr>
      </w:pPr>
      <w:r>
        <w:rPr>
          <w:rFonts w:cs="Arial"/>
          <w:b/>
          <w:bCs/>
          <w:szCs w:val="20"/>
        </w:rPr>
        <w:t>Supp</w:t>
      </w:r>
      <w:r w:rsidR="006A26A4">
        <w:rPr>
          <w:rFonts w:cs="Arial"/>
          <w:b/>
          <w:bCs/>
          <w:szCs w:val="20"/>
        </w:rPr>
        <w:t>lementary</w:t>
      </w:r>
      <w:r w:rsidRPr="00461C42">
        <w:rPr>
          <w:rFonts w:cs="Arial"/>
          <w:b/>
          <w:bCs/>
          <w:szCs w:val="20"/>
        </w:rPr>
        <w:t xml:space="preserve"> Table </w:t>
      </w:r>
      <w:r w:rsidR="00755FA8">
        <w:rPr>
          <w:rFonts w:cs="Arial"/>
          <w:b/>
          <w:bCs/>
          <w:szCs w:val="20"/>
        </w:rPr>
        <w:t>1</w:t>
      </w:r>
      <w:r w:rsidR="00D520AC">
        <w:rPr>
          <w:rFonts w:cs="Arial"/>
          <w:b/>
          <w:bCs/>
          <w:szCs w:val="20"/>
        </w:rPr>
        <w:t>.</w:t>
      </w:r>
      <w:r w:rsidRPr="00461C42">
        <w:rPr>
          <w:rFonts w:cs="Arial"/>
          <w:b/>
          <w:bCs/>
          <w:szCs w:val="20"/>
        </w:rPr>
        <w:t>2 Total item and overall chart agreement of each of the test blocks</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2518"/>
        <w:gridCol w:w="1559"/>
        <w:gridCol w:w="1418"/>
        <w:gridCol w:w="1701"/>
        <w:gridCol w:w="1660"/>
      </w:tblGrid>
      <w:tr w:rsidR="006C62BE" w:rsidRPr="006A26A4" w14:paraId="7D7F61AE" w14:textId="77777777" w:rsidTr="00856AB9">
        <w:tc>
          <w:tcPr>
            <w:tcW w:w="2518" w:type="dxa"/>
            <w:shd w:val="clear" w:color="auto" w:fill="auto"/>
          </w:tcPr>
          <w:p w14:paraId="0B6838C1" w14:textId="77777777" w:rsidR="00B766FE" w:rsidRDefault="00B766FE" w:rsidP="002079B2">
            <w:pPr>
              <w:rPr>
                <w:rFonts w:eastAsia="Calibri" w:cs="Arial"/>
                <w:szCs w:val="20"/>
                <w:lang w:val="en-CA"/>
              </w:rPr>
            </w:pPr>
            <w:r>
              <w:rPr>
                <w:rFonts w:eastAsia="Calibri" w:cs="Arial"/>
                <w:szCs w:val="20"/>
                <w:lang w:val="en-CA"/>
              </w:rPr>
              <w:t>Section</w:t>
            </w:r>
          </w:p>
        </w:tc>
        <w:tc>
          <w:tcPr>
            <w:tcW w:w="1559" w:type="dxa"/>
            <w:shd w:val="clear" w:color="auto" w:fill="auto"/>
          </w:tcPr>
          <w:p w14:paraId="3855E947" w14:textId="77777777" w:rsidR="00B766FE" w:rsidRDefault="00B766FE">
            <w:pPr>
              <w:jc w:val="center"/>
              <w:rPr>
                <w:rFonts w:eastAsia="Calibri" w:cs="Arial"/>
                <w:szCs w:val="20"/>
                <w:lang w:val="en-CA"/>
              </w:rPr>
            </w:pPr>
            <w:r>
              <w:rPr>
                <w:rFonts w:eastAsia="Calibri" w:cs="Arial"/>
                <w:szCs w:val="20"/>
                <w:lang w:val="en-CA"/>
              </w:rPr>
              <w:t>N</w:t>
            </w:r>
          </w:p>
        </w:tc>
        <w:tc>
          <w:tcPr>
            <w:tcW w:w="1418" w:type="dxa"/>
            <w:shd w:val="clear" w:color="auto" w:fill="auto"/>
          </w:tcPr>
          <w:p w14:paraId="52E3263A" w14:textId="77777777" w:rsidR="00B766FE" w:rsidRDefault="00B766FE">
            <w:pPr>
              <w:jc w:val="center"/>
              <w:rPr>
                <w:rFonts w:eastAsia="Calibri" w:cs="Arial"/>
                <w:szCs w:val="20"/>
                <w:lang w:val="en-CA"/>
              </w:rPr>
            </w:pPr>
            <w:r>
              <w:rPr>
                <w:rFonts w:eastAsia="Calibri" w:cs="Arial"/>
                <w:szCs w:val="20"/>
                <w:lang w:val="en-CA"/>
              </w:rPr>
              <w:t>Block 1</w:t>
            </w:r>
          </w:p>
          <w:p w14:paraId="6F3E6C50" w14:textId="77777777" w:rsidR="00B766FE" w:rsidRDefault="00B766FE">
            <w:pPr>
              <w:jc w:val="center"/>
              <w:rPr>
                <w:rFonts w:eastAsia="Calibri" w:cs="Arial"/>
                <w:szCs w:val="20"/>
                <w:lang w:val="en-CA"/>
              </w:rPr>
            </w:pPr>
            <w:r>
              <w:rPr>
                <w:rFonts w:eastAsia="Calibri" w:cs="Arial"/>
                <w:szCs w:val="20"/>
                <w:lang w:val="en-CA"/>
              </w:rPr>
              <w:t>(</w:t>
            </w:r>
            <w:proofErr w:type="gramStart"/>
            <w:r>
              <w:rPr>
                <w:rFonts w:eastAsia="Calibri" w:cs="Arial"/>
                <w:szCs w:val="20"/>
                <w:lang w:val="en-CA"/>
              </w:rPr>
              <w:t>after</w:t>
            </w:r>
            <w:proofErr w:type="gramEnd"/>
            <w:r>
              <w:rPr>
                <w:rFonts w:eastAsia="Calibri" w:cs="Arial"/>
                <w:szCs w:val="20"/>
                <w:lang w:val="en-CA"/>
              </w:rPr>
              <w:t xml:space="preserve"> 50 charts)</w:t>
            </w:r>
          </w:p>
        </w:tc>
        <w:tc>
          <w:tcPr>
            <w:tcW w:w="1701" w:type="dxa"/>
            <w:shd w:val="clear" w:color="auto" w:fill="auto"/>
          </w:tcPr>
          <w:p w14:paraId="48CE32D2" w14:textId="77777777" w:rsidR="00B766FE" w:rsidRDefault="00B766FE">
            <w:pPr>
              <w:jc w:val="center"/>
              <w:rPr>
                <w:rFonts w:eastAsia="Calibri" w:cs="Arial"/>
                <w:szCs w:val="20"/>
                <w:lang w:val="en-CA"/>
              </w:rPr>
            </w:pPr>
            <w:r>
              <w:rPr>
                <w:rFonts w:eastAsia="Calibri" w:cs="Arial"/>
                <w:szCs w:val="20"/>
                <w:lang w:val="en-CA"/>
              </w:rPr>
              <w:t>Block 2</w:t>
            </w:r>
          </w:p>
          <w:p w14:paraId="29808293" w14:textId="77777777" w:rsidR="00B766FE" w:rsidRDefault="00B766FE">
            <w:pPr>
              <w:jc w:val="center"/>
              <w:rPr>
                <w:rFonts w:eastAsia="Calibri" w:cs="Arial"/>
                <w:szCs w:val="20"/>
                <w:lang w:val="en-CA"/>
              </w:rPr>
            </w:pPr>
            <w:r>
              <w:rPr>
                <w:rFonts w:eastAsia="Calibri" w:cs="Arial"/>
                <w:szCs w:val="20"/>
                <w:lang w:val="en-CA"/>
              </w:rPr>
              <w:t>(</w:t>
            </w:r>
            <w:proofErr w:type="gramStart"/>
            <w:r>
              <w:rPr>
                <w:rFonts w:eastAsia="Calibri" w:cs="Arial"/>
                <w:szCs w:val="20"/>
                <w:lang w:val="en-CA"/>
              </w:rPr>
              <w:t>after</w:t>
            </w:r>
            <w:proofErr w:type="gramEnd"/>
            <w:r>
              <w:rPr>
                <w:rFonts w:eastAsia="Calibri" w:cs="Arial"/>
                <w:szCs w:val="20"/>
                <w:lang w:val="en-CA"/>
              </w:rPr>
              <w:t xml:space="preserve"> 100 charts)</w:t>
            </w:r>
          </w:p>
        </w:tc>
        <w:tc>
          <w:tcPr>
            <w:tcW w:w="1660" w:type="dxa"/>
            <w:shd w:val="clear" w:color="auto" w:fill="auto"/>
          </w:tcPr>
          <w:p w14:paraId="421E048A" w14:textId="77777777" w:rsidR="00B766FE" w:rsidRDefault="00B766FE">
            <w:pPr>
              <w:jc w:val="center"/>
              <w:rPr>
                <w:rFonts w:eastAsia="Calibri" w:cs="Arial"/>
                <w:szCs w:val="20"/>
                <w:lang w:val="en-CA"/>
              </w:rPr>
            </w:pPr>
            <w:r>
              <w:rPr>
                <w:rFonts w:eastAsia="Calibri" w:cs="Arial"/>
                <w:szCs w:val="20"/>
                <w:lang w:val="en-CA"/>
              </w:rPr>
              <w:t>Block 3</w:t>
            </w:r>
          </w:p>
          <w:p w14:paraId="14A0F262" w14:textId="77777777" w:rsidR="00B766FE" w:rsidRDefault="00B766FE">
            <w:pPr>
              <w:jc w:val="center"/>
              <w:rPr>
                <w:rFonts w:eastAsia="Calibri" w:cs="Arial"/>
                <w:szCs w:val="20"/>
                <w:lang w:val="en-CA"/>
              </w:rPr>
            </w:pPr>
            <w:r>
              <w:rPr>
                <w:rFonts w:eastAsia="Calibri" w:cs="Arial"/>
                <w:szCs w:val="20"/>
                <w:lang w:val="en-CA"/>
              </w:rPr>
              <w:t>(</w:t>
            </w:r>
            <w:proofErr w:type="gramStart"/>
            <w:r>
              <w:rPr>
                <w:rFonts w:eastAsia="Calibri" w:cs="Arial"/>
                <w:szCs w:val="20"/>
                <w:lang w:val="en-CA"/>
              </w:rPr>
              <w:t>after</w:t>
            </w:r>
            <w:proofErr w:type="gramEnd"/>
            <w:r>
              <w:rPr>
                <w:rFonts w:eastAsia="Calibri" w:cs="Arial"/>
                <w:szCs w:val="20"/>
                <w:lang w:val="en-CA"/>
              </w:rPr>
              <w:t xml:space="preserve"> 150 charts)</w:t>
            </w:r>
          </w:p>
        </w:tc>
      </w:tr>
      <w:tr w:rsidR="006C62BE" w:rsidRPr="002F5180" w14:paraId="1531110C" w14:textId="77777777" w:rsidTr="00856AB9">
        <w:tc>
          <w:tcPr>
            <w:tcW w:w="2518" w:type="dxa"/>
            <w:shd w:val="clear" w:color="auto" w:fill="auto"/>
          </w:tcPr>
          <w:p w14:paraId="1AD34660" w14:textId="77777777" w:rsidR="00B766FE" w:rsidRDefault="00B766FE" w:rsidP="002079B2">
            <w:pPr>
              <w:rPr>
                <w:rFonts w:eastAsia="Calibri" w:cs="Arial"/>
                <w:szCs w:val="20"/>
                <w:lang w:val="en-CA"/>
              </w:rPr>
            </w:pPr>
            <w:r>
              <w:rPr>
                <w:rFonts w:eastAsia="Calibri" w:cs="Arial"/>
                <w:szCs w:val="20"/>
                <w:lang w:val="en-CA"/>
              </w:rPr>
              <w:t>Weight/nutritional status records</w:t>
            </w:r>
          </w:p>
        </w:tc>
        <w:tc>
          <w:tcPr>
            <w:tcW w:w="1559" w:type="dxa"/>
            <w:shd w:val="clear" w:color="auto" w:fill="auto"/>
          </w:tcPr>
          <w:p w14:paraId="363F9596" w14:textId="77777777" w:rsidR="00B766FE" w:rsidRDefault="00B766FE">
            <w:pPr>
              <w:jc w:val="center"/>
              <w:rPr>
                <w:rFonts w:eastAsia="Calibri" w:cs="Arial"/>
                <w:szCs w:val="20"/>
                <w:lang w:val="en-CA"/>
              </w:rPr>
            </w:pPr>
            <w:r>
              <w:rPr>
                <w:rFonts w:eastAsia="Calibri" w:cs="Arial"/>
                <w:szCs w:val="20"/>
                <w:lang w:val="en-CA"/>
              </w:rPr>
              <w:t>19</w:t>
            </w:r>
          </w:p>
        </w:tc>
        <w:tc>
          <w:tcPr>
            <w:tcW w:w="1418" w:type="dxa"/>
            <w:shd w:val="clear" w:color="auto" w:fill="auto"/>
          </w:tcPr>
          <w:p w14:paraId="405A649F" w14:textId="77777777" w:rsidR="00B766FE" w:rsidRDefault="00B766FE">
            <w:pPr>
              <w:jc w:val="center"/>
              <w:rPr>
                <w:rFonts w:eastAsia="Calibri" w:cs="Arial"/>
                <w:szCs w:val="20"/>
                <w:lang w:val="en-CA"/>
              </w:rPr>
            </w:pPr>
            <w:r>
              <w:rPr>
                <w:rFonts w:eastAsia="Calibri" w:cs="Arial"/>
                <w:szCs w:val="20"/>
                <w:lang w:val="en-CA"/>
              </w:rPr>
              <w:t>1.0</w:t>
            </w:r>
          </w:p>
        </w:tc>
        <w:tc>
          <w:tcPr>
            <w:tcW w:w="1701" w:type="dxa"/>
            <w:shd w:val="clear" w:color="auto" w:fill="auto"/>
          </w:tcPr>
          <w:p w14:paraId="66D30C63" w14:textId="77777777" w:rsidR="00B766FE" w:rsidRDefault="00B766FE">
            <w:pPr>
              <w:jc w:val="center"/>
              <w:rPr>
                <w:rFonts w:eastAsia="Calibri" w:cs="Arial"/>
                <w:szCs w:val="20"/>
                <w:lang w:val="en-CA"/>
              </w:rPr>
            </w:pPr>
            <w:r>
              <w:rPr>
                <w:rFonts w:eastAsia="Calibri" w:cs="Arial"/>
                <w:szCs w:val="20"/>
                <w:lang w:val="en-CA"/>
              </w:rPr>
              <w:t>1.0</w:t>
            </w:r>
          </w:p>
        </w:tc>
        <w:tc>
          <w:tcPr>
            <w:tcW w:w="1660" w:type="dxa"/>
            <w:shd w:val="clear" w:color="auto" w:fill="auto"/>
          </w:tcPr>
          <w:p w14:paraId="498F2FFE" w14:textId="77777777" w:rsidR="00B766FE" w:rsidRDefault="00B766FE">
            <w:pPr>
              <w:jc w:val="center"/>
              <w:rPr>
                <w:rFonts w:eastAsia="Calibri" w:cs="Arial"/>
                <w:szCs w:val="20"/>
                <w:lang w:val="en-CA"/>
              </w:rPr>
            </w:pPr>
            <w:r>
              <w:rPr>
                <w:rFonts w:eastAsia="Calibri" w:cs="Arial"/>
                <w:szCs w:val="20"/>
                <w:lang w:val="en-CA"/>
              </w:rPr>
              <w:t>1.0</w:t>
            </w:r>
          </w:p>
        </w:tc>
      </w:tr>
      <w:tr w:rsidR="006C62BE" w:rsidRPr="002F5180" w14:paraId="0AE6D91D" w14:textId="77777777" w:rsidTr="00856AB9">
        <w:tc>
          <w:tcPr>
            <w:tcW w:w="2518" w:type="dxa"/>
            <w:shd w:val="clear" w:color="auto" w:fill="auto"/>
          </w:tcPr>
          <w:p w14:paraId="1667B0CF" w14:textId="77777777" w:rsidR="00B766FE" w:rsidRDefault="00B766FE" w:rsidP="002079B2">
            <w:pPr>
              <w:rPr>
                <w:rFonts w:eastAsia="Calibri" w:cs="Arial"/>
                <w:szCs w:val="20"/>
                <w:lang w:val="en-CA"/>
              </w:rPr>
            </w:pPr>
            <w:r>
              <w:rPr>
                <w:rFonts w:eastAsia="Calibri" w:cs="Arial"/>
                <w:szCs w:val="20"/>
                <w:lang w:val="en-CA"/>
              </w:rPr>
              <w:t>Care plans</w:t>
            </w:r>
          </w:p>
        </w:tc>
        <w:tc>
          <w:tcPr>
            <w:tcW w:w="1559" w:type="dxa"/>
            <w:shd w:val="clear" w:color="auto" w:fill="auto"/>
          </w:tcPr>
          <w:p w14:paraId="22F6B890" w14:textId="3337F551" w:rsidR="00B766FE" w:rsidRDefault="00B766FE">
            <w:pPr>
              <w:jc w:val="center"/>
              <w:rPr>
                <w:rFonts w:eastAsia="Calibri" w:cs="Arial"/>
                <w:szCs w:val="20"/>
                <w:lang w:val="en-CA"/>
              </w:rPr>
            </w:pPr>
            <w:r>
              <w:rPr>
                <w:rFonts w:eastAsia="Calibri" w:cs="Arial"/>
                <w:szCs w:val="20"/>
                <w:lang w:val="en-CA"/>
              </w:rPr>
              <w:t>27 x 4</w:t>
            </w:r>
            <w:r w:rsidR="00D06E2C">
              <w:rPr>
                <w:rFonts w:eastAsia="Calibri" w:cs="Arial"/>
                <w:szCs w:val="20"/>
                <w:lang w:val="en-CA"/>
              </w:rPr>
              <w:t xml:space="preserve"> </w:t>
            </w:r>
            <w:proofErr w:type="spellStart"/>
            <w:proofErr w:type="gramStart"/>
            <w:r>
              <w:rPr>
                <w:rFonts w:eastAsia="Calibri" w:cs="Arial"/>
                <w:szCs w:val="20"/>
                <w:vertAlign w:val="superscript"/>
                <w:lang w:val="en-CA"/>
              </w:rPr>
              <w:t>a,b</w:t>
            </w:r>
            <w:proofErr w:type="spellEnd"/>
            <w:proofErr w:type="gramEnd"/>
          </w:p>
        </w:tc>
        <w:tc>
          <w:tcPr>
            <w:tcW w:w="1418" w:type="dxa"/>
            <w:shd w:val="clear" w:color="auto" w:fill="auto"/>
          </w:tcPr>
          <w:p w14:paraId="6E132B1A" w14:textId="77777777" w:rsidR="00B766FE" w:rsidRDefault="00B766FE">
            <w:pPr>
              <w:jc w:val="center"/>
              <w:rPr>
                <w:rFonts w:eastAsia="Calibri" w:cs="Arial"/>
                <w:szCs w:val="20"/>
                <w:lang w:val="en-CA"/>
              </w:rPr>
            </w:pPr>
            <w:r>
              <w:rPr>
                <w:rFonts w:eastAsia="Calibri" w:cs="Arial"/>
                <w:szCs w:val="20"/>
                <w:lang w:val="en-CA"/>
              </w:rPr>
              <w:t>0.88</w:t>
            </w:r>
          </w:p>
        </w:tc>
        <w:tc>
          <w:tcPr>
            <w:tcW w:w="1701" w:type="dxa"/>
            <w:shd w:val="clear" w:color="auto" w:fill="auto"/>
          </w:tcPr>
          <w:p w14:paraId="70696686" w14:textId="77777777" w:rsidR="00B766FE" w:rsidRDefault="00B766FE">
            <w:pPr>
              <w:jc w:val="center"/>
              <w:rPr>
                <w:rFonts w:eastAsia="Calibri" w:cs="Arial"/>
                <w:szCs w:val="20"/>
                <w:lang w:val="en-CA"/>
              </w:rPr>
            </w:pPr>
            <w:r>
              <w:rPr>
                <w:rFonts w:eastAsia="Calibri" w:cs="Arial"/>
                <w:szCs w:val="20"/>
                <w:lang w:val="en-CA"/>
              </w:rPr>
              <w:t>0.88</w:t>
            </w:r>
          </w:p>
        </w:tc>
        <w:tc>
          <w:tcPr>
            <w:tcW w:w="1660" w:type="dxa"/>
            <w:shd w:val="clear" w:color="auto" w:fill="auto"/>
          </w:tcPr>
          <w:p w14:paraId="168F1A0B" w14:textId="77777777" w:rsidR="00B766FE" w:rsidRDefault="00B766FE">
            <w:pPr>
              <w:jc w:val="center"/>
              <w:rPr>
                <w:rFonts w:eastAsia="Calibri" w:cs="Arial"/>
                <w:szCs w:val="20"/>
                <w:lang w:val="en-CA"/>
              </w:rPr>
            </w:pPr>
            <w:r>
              <w:rPr>
                <w:rFonts w:eastAsia="Calibri" w:cs="Arial"/>
                <w:szCs w:val="20"/>
                <w:lang w:val="en-CA"/>
              </w:rPr>
              <w:t>0.88</w:t>
            </w:r>
          </w:p>
        </w:tc>
      </w:tr>
      <w:tr w:rsidR="006C62BE" w:rsidRPr="002F5180" w14:paraId="644CD32C" w14:textId="77777777" w:rsidTr="00856AB9">
        <w:tc>
          <w:tcPr>
            <w:tcW w:w="2518" w:type="dxa"/>
            <w:shd w:val="clear" w:color="auto" w:fill="auto"/>
          </w:tcPr>
          <w:p w14:paraId="5523DB17" w14:textId="77777777" w:rsidR="00B766FE" w:rsidRDefault="00B766FE" w:rsidP="002079B2">
            <w:pPr>
              <w:rPr>
                <w:rFonts w:eastAsia="Calibri" w:cs="Arial"/>
                <w:szCs w:val="20"/>
                <w:lang w:val="en-CA"/>
              </w:rPr>
            </w:pPr>
            <w:r>
              <w:rPr>
                <w:rFonts w:eastAsia="Calibri" w:cs="Arial"/>
                <w:szCs w:val="20"/>
                <w:lang w:val="en-CA"/>
              </w:rPr>
              <w:t>Eating challenge history</w:t>
            </w:r>
          </w:p>
        </w:tc>
        <w:tc>
          <w:tcPr>
            <w:tcW w:w="1559" w:type="dxa"/>
            <w:shd w:val="clear" w:color="auto" w:fill="auto"/>
          </w:tcPr>
          <w:p w14:paraId="5B98EBFA" w14:textId="4246DB58" w:rsidR="00B766FE" w:rsidRDefault="00B766FE">
            <w:pPr>
              <w:jc w:val="center"/>
              <w:rPr>
                <w:rFonts w:eastAsia="Calibri" w:cs="Arial"/>
                <w:szCs w:val="20"/>
                <w:lang w:val="en-CA"/>
              </w:rPr>
            </w:pPr>
            <w:r>
              <w:rPr>
                <w:rFonts w:eastAsia="Calibri" w:cs="Arial"/>
                <w:szCs w:val="20"/>
                <w:lang w:val="en-CA"/>
              </w:rPr>
              <w:t>5</w:t>
            </w:r>
            <w:r w:rsidR="00D06E2C">
              <w:rPr>
                <w:rFonts w:eastAsia="Calibri" w:cs="Arial"/>
                <w:szCs w:val="20"/>
                <w:lang w:val="en-CA"/>
              </w:rPr>
              <w:t xml:space="preserve"> </w:t>
            </w:r>
            <w:r>
              <w:rPr>
                <w:rFonts w:eastAsia="Calibri" w:cs="Arial"/>
                <w:szCs w:val="20"/>
                <w:vertAlign w:val="superscript"/>
                <w:lang w:val="en-CA"/>
              </w:rPr>
              <w:t>c</w:t>
            </w:r>
          </w:p>
        </w:tc>
        <w:tc>
          <w:tcPr>
            <w:tcW w:w="1418" w:type="dxa"/>
            <w:shd w:val="clear" w:color="auto" w:fill="auto"/>
          </w:tcPr>
          <w:p w14:paraId="14A1C1DF" w14:textId="77777777" w:rsidR="00B766FE" w:rsidRDefault="00B766FE">
            <w:pPr>
              <w:jc w:val="center"/>
              <w:rPr>
                <w:rFonts w:eastAsia="Calibri" w:cs="Arial"/>
                <w:szCs w:val="20"/>
                <w:lang w:val="en-CA"/>
              </w:rPr>
            </w:pPr>
            <w:r>
              <w:rPr>
                <w:rFonts w:eastAsia="Calibri" w:cs="Arial"/>
                <w:szCs w:val="20"/>
                <w:lang w:val="en-CA"/>
              </w:rPr>
              <w:t>--</w:t>
            </w:r>
          </w:p>
        </w:tc>
        <w:tc>
          <w:tcPr>
            <w:tcW w:w="1701" w:type="dxa"/>
            <w:shd w:val="clear" w:color="auto" w:fill="auto"/>
          </w:tcPr>
          <w:p w14:paraId="1C9738A5" w14:textId="77777777" w:rsidR="00B766FE" w:rsidRDefault="00B766FE">
            <w:pPr>
              <w:jc w:val="center"/>
              <w:rPr>
                <w:rFonts w:eastAsia="Calibri" w:cs="Arial"/>
                <w:szCs w:val="20"/>
                <w:lang w:val="en-CA"/>
              </w:rPr>
            </w:pPr>
            <w:r>
              <w:rPr>
                <w:rFonts w:eastAsia="Calibri" w:cs="Arial"/>
                <w:szCs w:val="20"/>
                <w:lang w:val="en-CA"/>
              </w:rPr>
              <w:t>--</w:t>
            </w:r>
          </w:p>
        </w:tc>
        <w:tc>
          <w:tcPr>
            <w:tcW w:w="1660" w:type="dxa"/>
            <w:shd w:val="clear" w:color="auto" w:fill="auto"/>
          </w:tcPr>
          <w:p w14:paraId="7064C0FE" w14:textId="77777777" w:rsidR="00B766FE" w:rsidRDefault="00B766FE">
            <w:pPr>
              <w:jc w:val="center"/>
              <w:rPr>
                <w:rFonts w:eastAsia="Calibri" w:cs="Arial"/>
                <w:szCs w:val="20"/>
                <w:lang w:val="en-CA"/>
              </w:rPr>
            </w:pPr>
            <w:r>
              <w:rPr>
                <w:rFonts w:eastAsia="Calibri" w:cs="Arial"/>
                <w:szCs w:val="20"/>
                <w:lang w:val="en-CA"/>
              </w:rPr>
              <w:t>0.4</w:t>
            </w:r>
          </w:p>
        </w:tc>
      </w:tr>
      <w:tr w:rsidR="006C62BE" w:rsidRPr="002F5180" w14:paraId="06026D09" w14:textId="77777777" w:rsidTr="00856AB9">
        <w:tc>
          <w:tcPr>
            <w:tcW w:w="2518" w:type="dxa"/>
            <w:shd w:val="clear" w:color="auto" w:fill="auto"/>
          </w:tcPr>
          <w:p w14:paraId="724E2569" w14:textId="77777777" w:rsidR="00B766FE" w:rsidRDefault="00B766FE" w:rsidP="002079B2">
            <w:pPr>
              <w:rPr>
                <w:rFonts w:eastAsia="Calibri" w:cs="Arial"/>
                <w:szCs w:val="20"/>
                <w:lang w:val="en-CA"/>
              </w:rPr>
            </w:pPr>
            <w:r>
              <w:rPr>
                <w:rFonts w:eastAsia="Calibri" w:cs="Arial"/>
                <w:szCs w:val="20"/>
                <w:lang w:val="en-CA"/>
              </w:rPr>
              <w:t>Eating challenges (progress notes)</w:t>
            </w:r>
          </w:p>
        </w:tc>
        <w:tc>
          <w:tcPr>
            <w:tcW w:w="1559" w:type="dxa"/>
            <w:shd w:val="clear" w:color="auto" w:fill="auto"/>
          </w:tcPr>
          <w:p w14:paraId="3AFE1299" w14:textId="3359A3F9" w:rsidR="00B766FE" w:rsidRDefault="00B766FE">
            <w:pPr>
              <w:jc w:val="center"/>
              <w:rPr>
                <w:rFonts w:eastAsia="Calibri" w:cs="Arial"/>
                <w:szCs w:val="20"/>
                <w:lang w:val="en-CA"/>
              </w:rPr>
            </w:pPr>
            <w:r>
              <w:rPr>
                <w:rFonts w:eastAsia="Calibri" w:cs="Arial"/>
                <w:szCs w:val="20"/>
                <w:lang w:val="en-CA"/>
              </w:rPr>
              <w:t>22 x 4</w:t>
            </w:r>
            <w:r w:rsidR="00D06E2C">
              <w:rPr>
                <w:rFonts w:eastAsia="Calibri" w:cs="Arial"/>
                <w:szCs w:val="20"/>
                <w:lang w:val="en-CA"/>
              </w:rPr>
              <w:t xml:space="preserve"> </w:t>
            </w:r>
            <w:r>
              <w:rPr>
                <w:rFonts w:eastAsia="Calibri" w:cs="Arial"/>
                <w:szCs w:val="20"/>
                <w:vertAlign w:val="superscript"/>
                <w:lang w:val="en-CA"/>
              </w:rPr>
              <w:t>a</w:t>
            </w:r>
          </w:p>
        </w:tc>
        <w:tc>
          <w:tcPr>
            <w:tcW w:w="1418" w:type="dxa"/>
            <w:shd w:val="clear" w:color="auto" w:fill="auto"/>
          </w:tcPr>
          <w:p w14:paraId="401C4F53" w14:textId="77777777" w:rsidR="00B766FE" w:rsidRDefault="00B766FE">
            <w:pPr>
              <w:jc w:val="center"/>
              <w:rPr>
                <w:rFonts w:eastAsia="Calibri" w:cs="Arial"/>
                <w:szCs w:val="20"/>
                <w:lang w:val="en-CA"/>
              </w:rPr>
            </w:pPr>
            <w:r>
              <w:rPr>
                <w:rFonts w:eastAsia="Calibri" w:cs="Arial"/>
                <w:szCs w:val="20"/>
                <w:lang w:val="en-CA"/>
              </w:rPr>
              <w:t>0.64</w:t>
            </w:r>
          </w:p>
        </w:tc>
        <w:tc>
          <w:tcPr>
            <w:tcW w:w="1701" w:type="dxa"/>
            <w:shd w:val="clear" w:color="auto" w:fill="auto"/>
          </w:tcPr>
          <w:p w14:paraId="191BF188" w14:textId="77777777" w:rsidR="00B766FE" w:rsidRDefault="00B766FE">
            <w:pPr>
              <w:jc w:val="center"/>
              <w:rPr>
                <w:rFonts w:eastAsia="Calibri" w:cs="Arial"/>
                <w:szCs w:val="20"/>
                <w:lang w:val="en-CA"/>
              </w:rPr>
            </w:pPr>
            <w:r>
              <w:rPr>
                <w:rFonts w:eastAsia="Calibri" w:cs="Arial"/>
                <w:szCs w:val="20"/>
                <w:lang w:val="en-CA"/>
              </w:rPr>
              <w:t>0.72</w:t>
            </w:r>
          </w:p>
        </w:tc>
        <w:tc>
          <w:tcPr>
            <w:tcW w:w="1660" w:type="dxa"/>
            <w:shd w:val="clear" w:color="auto" w:fill="auto"/>
          </w:tcPr>
          <w:p w14:paraId="600DA1BB" w14:textId="77777777" w:rsidR="00B766FE" w:rsidRDefault="00B766FE">
            <w:pPr>
              <w:jc w:val="center"/>
              <w:rPr>
                <w:rFonts w:eastAsia="Calibri" w:cs="Arial"/>
                <w:szCs w:val="20"/>
                <w:lang w:val="en-CA"/>
              </w:rPr>
            </w:pPr>
            <w:r>
              <w:rPr>
                <w:rFonts w:eastAsia="Calibri" w:cs="Arial"/>
                <w:szCs w:val="20"/>
                <w:lang w:val="en-CA"/>
              </w:rPr>
              <w:t>0.88</w:t>
            </w:r>
          </w:p>
        </w:tc>
      </w:tr>
      <w:tr w:rsidR="006C62BE" w:rsidRPr="002F5180" w14:paraId="7CE3D918" w14:textId="77777777" w:rsidTr="00856AB9">
        <w:tc>
          <w:tcPr>
            <w:tcW w:w="2518" w:type="dxa"/>
            <w:shd w:val="clear" w:color="auto" w:fill="auto"/>
          </w:tcPr>
          <w:p w14:paraId="261DAD8A" w14:textId="77777777" w:rsidR="00B766FE" w:rsidRDefault="00B766FE" w:rsidP="002079B2">
            <w:pPr>
              <w:rPr>
                <w:rFonts w:eastAsia="Calibri" w:cs="Arial"/>
                <w:szCs w:val="20"/>
                <w:lang w:val="en-CA"/>
              </w:rPr>
            </w:pPr>
            <w:r>
              <w:rPr>
                <w:rFonts w:eastAsia="Calibri" w:cs="Arial"/>
                <w:szCs w:val="20"/>
                <w:lang w:val="en-CA"/>
              </w:rPr>
              <w:t>Actions taken (progress notes)</w:t>
            </w:r>
          </w:p>
        </w:tc>
        <w:tc>
          <w:tcPr>
            <w:tcW w:w="1559" w:type="dxa"/>
            <w:shd w:val="clear" w:color="auto" w:fill="auto"/>
          </w:tcPr>
          <w:p w14:paraId="5B97549B" w14:textId="10F45B9B" w:rsidR="00B766FE" w:rsidRDefault="00B766FE">
            <w:pPr>
              <w:jc w:val="center"/>
              <w:rPr>
                <w:rFonts w:eastAsia="Calibri" w:cs="Arial"/>
                <w:szCs w:val="20"/>
                <w:lang w:val="en-CA"/>
              </w:rPr>
            </w:pPr>
            <w:r>
              <w:rPr>
                <w:rFonts w:eastAsia="Calibri" w:cs="Arial"/>
                <w:szCs w:val="20"/>
                <w:lang w:val="en-CA"/>
              </w:rPr>
              <w:t>12 x 4</w:t>
            </w:r>
            <w:r w:rsidR="00D06E2C">
              <w:rPr>
                <w:rFonts w:eastAsia="Calibri" w:cs="Arial"/>
                <w:szCs w:val="20"/>
                <w:lang w:val="en-CA"/>
              </w:rPr>
              <w:t xml:space="preserve"> </w:t>
            </w:r>
            <w:r>
              <w:rPr>
                <w:rFonts w:eastAsia="Calibri" w:cs="Arial"/>
                <w:szCs w:val="20"/>
                <w:vertAlign w:val="superscript"/>
                <w:lang w:val="en-CA"/>
              </w:rPr>
              <w:t>a</w:t>
            </w:r>
          </w:p>
        </w:tc>
        <w:tc>
          <w:tcPr>
            <w:tcW w:w="1418" w:type="dxa"/>
            <w:shd w:val="clear" w:color="auto" w:fill="auto"/>
          </w:tcPr>
          <w:p w14:paraId="5795B777" w14:textId="77777777" w:rsidR="00B766FE" w:rsidRDefault="00B766FE">
            <w:pPr>
              <w:jc w:val="center"/>
              <w:rPr>
                <w:rFonts w:eastAsia="Calibri" w:cs="Arial"/>
                <w:szCs w:val="20"/>
                <w:lang w:val="en-CA"/>
              </w:rPr>
            </w:pPr>
            <w:r>
              <w:rPr>
                <w:rFonts w:eastAsia="Calibri" w:cs="Arial"/>
                <w:szCs w:val="20"/>
                <w:lang w:val="en-CA"/>
              </w:rPr>
              <w:t>0.52</w:t>
            </w:r>
          </w:p>
        </w:tc>
        <w:tc>
          <w:tcPr>
            <w:tcW w:w="1701" w:type="dxa"/>
            <w:shd w:val="clear" w:color="auto" w:fill="auto"/>
          </w:tcPr>
          <w:p w14:paraId="25AC456C" w14:textId="77777777" w:rsidR="00B766FE" w:rsidRDefault="00B766FE">
            <w:pPr>
              <w:jc w:val="center"/>
              <w:rPr>
                <w:rFonts w:eastAsia="Calibri" w:cs="Arial"/>
                <w:szCs w:val="20"/>
                <w:lang w:val="en-CA"/>
              </w:rPr>
            </w:pPr>
            <w:r>
              <w:rPr>
                <w:rFonts w:eastAsia="Calibri" w:cs="Arial"/>
                <w:szCs w:val="20"/>
                <w:lang w:val="en-CA"/>
              </w:rPr>
              <w:t>0.65</w:t>
            </w:r>
          </w:p>
        </w:tc>
        <w:tc>
          <w:tcPr>
            <w:tcW w:w="1660" w:type="dxa"/>
            <w:shd w:val="clear" w:color="auto" w:fill="auto"/>
          </w:tcPr>
          <w:p w14:paraId="5CEFF701" w14:textId="77777777" w:rsidR="00B766FE" w:rsidRDefault="00B766FE">
            <w:pPr>
              <w:jc w:val="center"/>
              <w:rPr>
                <w:rFonts w:eastAsia="Calibri" w:cs="Arial"/>
                <w:szCs w:val="20"/>
                <w:lang w:val="en-CA"/>
              </w:rPr>
            </w:pPr>
            <w:r>
              <w:rPr>
                <w:rFonts w:eastAsia="Calibri" w:cs="Arial"/>
                <w:szCs w:val="20"/>
                <w:lang w:val="en-CA"/>
              </w:rPr>
              <w:t>0.67</w:t>
            </w:r>
          </w:p>
        </w:tc>
      </w:tr>
      <w:tr w:rsidR="006C62BE" w:rsidRPr="002F5180" w14:paraId="7426E551" w14:textId="77777777" w:rsidTr="00856AB9">
        <w:tc>
          <w:tcPr>
            <w:tcW w:w="2518" w:type="dxa"/>
            <w:shd w:val="clear" w:color="auto" w:fill="auto"/>
          </w:tcPr>
          <w:p w14:paraId="4C0C77F6" w14:textId="77777777" w:rsidR="00B766FE" w:rsidRDefault="00B766FE" w:rsidP="002079B2">
            <w:pPr>
              <w:rPr>
                <w:rFonts w:eastAsia="Calibri" w:cs="Arial"/>
                <w:szCs w:val="20"/>
                <w:lang w:val="en-CA"/>
              </w:rPr>
            </w:pPr>
            <w:r>
              <w:rPr>
                <w:rFonts w:eastAsia="Calibri" w:cs="Arial"/>
                <w:szCs w:val="20"/>
                <w:lang w:val="en-CA"/>
              </w:rPr>
              <w:t>Palliative care practices</w:t>
            </w:r>
          </w:p>
        </w:tc>
        <w:tc>
          <w:tcPr>
            <w:tcW w:w="1559" w:type="dxa"/>
            <w:shd w:val="clear" w:color="auto" w:fill="auto"/>
          </w:tcPr>
          <w:p w14:paraId="1562F728" w14:textId="77777777" w:rsidR="00B766FE" w:rsidRDefault="00B766FE">
            <w:pPr>
              <w:jc w:val="center"/>
              <w:rPr>
                <w:rFonts w:eastAsia="Calibri" w:cs="Arial"/>
                <w:szCs w:val="20"/>
                <w:lang w:val="en-CA"/>
              </w:rPr>
            </w:pPr>
            <w:r>
              <w:rPr>
                <w:rFonts w:eastAsia="Calibri" w:cs="Arial"/>
                <w:szCs w:val="20"/>
                <w:lang w:val="en-CA"/>
              </w:rPr>
              <w:t>20</w:t>
            </w:r>
          </w:p>
        </w:tc>
        <w:tc>
          <w:tcPr>
            <w:tcW w:w="1418" w:type="dxa"/>
            <w:shd w:val="clear" w:color="auto" w:fill="auto"/>
          </w:tcPr>
          <w:p w14:paraId="10B06465" w14:textId="77777777" w:rsidR="00B766FE" w:rsidRDefault="00B766FE">
            <w:pPr>
              <w:jc w:val="center"/>
              <w:rPr>
                <w:rFonts w:eastAsia="Calibri" w:cs="Arial"/>
                <w:szCs w:val="20"/>
                <w:lang w:val="en-CA"/>
              </w:rPr>
            </w:pPr>
            <w:r>
              <w:rPr>
                <w:rFonts w:eastAsia="Calibri" w:cs="Arial"/>
                <w:szCs w:val="20"/>
                <w:lang w:val="en-CA"/>
              </w:rPr>
              <w:t>0.60</w:t>
            </w:r>
          </w:p>
        </w:tc>
        <w:tc>
          <w:tcPr>
            <w:tcW w:w="1701" w:type="dxa"/>
            <w:shd w:val="clear" w:color="auto" w:fill="auto"/>
          </w:tcPr>
          <w:p w14:paraId="5A082645" w14:textId="77777777" w:rsidR="00B766FE" w:rsidRDefault="00B766FE">
            <w:pPr>
              <w:jc w:val="center"/>
              <w:rPr>
                <w:rFonts w:eastAsia="Calibri" w:cs="Arial"/>
                <w:szCs w:val="20"/>
                <w:lang w:val="en-CA"/>
              </w:rPr>
            </w:pPr>
            <w:r>
              <w:rPr>
                <w:rFonts w:eastAsia="Calibri" w:cs="Arial"/>
                <w:szCs w:val="20"/>
                <w:lang w:val="en-CA"/>
              </w:rPr>
              <w:t>0.95</w:t>
            </w:r>
          </w:p>
        </w:tc>
        <w:tc>
          <w:tcPr>
            <w:tcW w:w="1660" w:type="dxa"/>
            <w:shd w:val="clear" w:color="auto" w:fill="auto"/>
          </w:tcPr>
          <w:p w14:paraId="05B10C06" w14:textId="77777777" w:rsidR="00B766FE" w:rsidRDefault="00B766FE">
            <w:pPr>
              <w:jc w:val="center"/>
              <w:rPr>
                <w:rFonts w:eastAsia="Calibri" w:cs="Arial"/>
                <w:szCs w:val="20"/>
                <w:lang w:val="en-CA"/>
              </w:rPr>
            </w:pPr>
            <w:r>
              <w:rPr>
                <w:rFonts w:eastAsia="Calibri" w:cs="Arial"/>
                <w:szCs w:val="20"/>
                <w:lang w:val="en-CA"/>
              </w:rPr>
              <w:t>0.90</w:t>
            </w:r>
          </w:p>
        </w:tc>
      </w:tr>
      <w:tr w:rsidR="006C62BE" w:rsidRPr="002F5180" w14:paraId="3862B7C3" w14:textId="77777777" w:rsidTr="00856AB9">
        <w:tc>
          <w:tcPr>
            <w:tcW w:w="2518" w:type="dxa"/>
            <w:shd w:val="clear" w:color="auto" w:fill="auto"/>
          </w:tcPr>
          <w:p w14:paraId="13385BE6" w14:textId="77777777" w:rsidR="00B766FE" w:rsidRDefault="00B766FE" w:rsidP="002079B2">
            <w:pPr>
              <w:rPr>
                <w:rFonts w:eastAsia="Calibri" w:cs="Arial"/>
                <w:szCs w:val="20"/>
                <w:lang w:val="en-CA"/>
              </w:rPr>
            </w:pPr>
            <w:r>
              <w:rPr>
                <w:rFonts w:eastAsia="Calibri" w:cs="Arial"/>
                <w:szCs w:val="20"/>
                <w:lang w:val="en-CA"/>
              </w:rPr>
              <w:t xml:space="preserve">Misc. Dates </w:t>
            </w:r>
          </w:p>
        </w:tc>
        <w:tc>
          <w:tcPr>
            <w:tcW w:w="1559" w:type="dxa"/>
            <w:shd w:val="clear" w:color="auto" w:fill="auto"/>
          </w:tcPr>
          <w:p w14:paraId="742A499D" w14:textId="77777777" w:rsidR="00B766FE" w:rsidRDefault="00B766FE">
            <w:pPr>
              <w:jc w:val="center"/>
              <w:rPr>
                <w:rFonts w:eastAsia="Calibri" w:cs="Arial"/>
                <w:szCs w:val="20"/>
                <w:lang w:val="en-CA"/>
              </w:rPr>
            </w:pPr>
            <w:r>
              <w:rPr>
                <w:rFonts w:eastAsia="Calibri" w:cs="Arial"/>
                <w:szCs w:val="20"/>
                <w:lang w:val="en-CA"/>
              </w:rPr>
              <w:t>11</w:t>
            </w:r>
          </w:p>
        </w:tc>
        <w:tc>
          <w:tcPr>
            <w:tcW w:w="1418" w:type="dxa"/>
            <w:shd w:val="clear" w:color="auto" w:fill="auto"/>
          </w:tcPr>
          <w:p w14:paraId="1556FBAE" w14:textId="77777777" w:rsidR="00B766FE" w:rsidRDefault="00B766FE">
            <w:pPr>
              <w:jc w:val="center"/>
              <w:rPr>
                <w:rFonts w:eastAsia="Calibri" w:cs="Arial"/>
                <w:szCs w:val="20"/>
                <w:lang w:val="en-CA"/>
              </w:rPr>
            </w:pPr>
            <w:r>
              <w:rPr>
                <w:rFonts w:eastAsia="Calibri" w:cs="Arial"/>
                <w:szCs w:val="20"/>
                <w:lang w:val="en-CA"/>
              </w:rPr>
              <w:t>0.64</w:t>
            </w:r>
          </w:p>
        </w:tc>
        <w:tc>
          <w:tcPr>
            <w:tcW w:w="1701" w:type="dxa"/>
            <w:shd w:val="clear" w:color="auto" w:fill="auto"/>
          </w:tcPr>
          <w:p w14:paraId="45020E90" w14:textId="77777777" w:rsidR="00B766FE" w:rsidRDefault="00B766FE">
            <w:pPr>
              <w:jc w:val="center"/>
              <w:rPr>
                <w:rFonts w:eastAsia="Calibri" w:cs="Arial"/>
                <w:szCs w:val="20"/>
                <w:lang w:val="en-CA"/>
              </w:rPr>
            </w:pPr>
            <w:r>
              <w:rPr>
                <w:rFonts w:eastAsia="Calibri" w:cs="Arial"/>
                <w:szCs w:val="20"/>
                <w:lang w:val="en-CA"/>
              </w:rPr>
              <w:t>0.73</w:t>
            </w:r>
          </w:p>
        </w:tc>
        <w:tc>
          <w:tcPr>
            <w:tcW w:w="1660" w:type="dxa"/>
            <w:shd w:val="clear" w:color="auto" w:fill="auto"/>
          </w:tcPr>
          <w:p w14:paraId="7AF587AB" w14:textId="77777777" w:rsidR="00B766FE" w:rsidRDefault="00B766FE">
            <w:pPr>
              <w:jc w:val="center"/>
              <w:rPr>
                <w:rFonts w:eastAsia="Calibri" w:cs="Arial"/>
                <w:szCs w:val="20"/>
                <w:lang w:val="en-CA"/>
              </w:rPr>
            </w:pPr>
            <w:r>
              <w:rPr>
                <w:rFonts w:eastAsia="Calibri" w:cs="Arial"/>
                <w:szCs w:val="20"/>
                <w:lang w:val="en-CA"/>
              </w:rPr>
              <w:t>0.91</w:t>
            </w:r>
          </w:p>
        </w:tc>
      </w:tr>
      <w:tr w:rsidR="006C62BE" w:rsidRPr="002F5180" w14:paraId="16A30FE6" w14:textId="77777777" w:rsidTr="00856AB9">
        <w:tc>
          <w:tcPr>
            <w:tcW w:w="2518" w:type="dxa"/>
            <w:shd w:val="clear" w:color="auto" w:fill="auto"/>
          </w:tcPr>
          <w:p w14:paraId="3E308B6E" w14:textId="77777777" w:rsidR="00B766FE" w:rsidRDefault="00B766FE" w:rsidP="002079B2">
            <w:pPr>
              <w:rPr>
                <w:rFonts w:eastAsia="Calibri" w:cs="Arial"/>
                <w:szCs w:val="20"/>
                <w:lang w:val="en-CA"/>
              </w:rPr>
            </w:pPr>
          </w:p>
        </w:tc>
        <w:tc>
          <w:tcPr>
            <w:tcW w:w="1559" w:type="dxa"/>
            <w:shd w:val="clear" w:color="auto" w:fill="auto"/>
          </w:tcPr>
          <w:p w14:paraId="6761E1C3" w14:textId="77777777" w:rsidR="00B766FE" w:rsidRDefault="00B766FE">
            <w:pPr>
              <w:jc w:val="center"/>
              <w:rPr>
                <w:rFonts w:eastAsia="Calibri" w:cs="Arial"/>
                <w:szCs w:val="20"/>
                <w:lang w:val="en-CA"/>
              </w:rPr>
            </w:pPr>
          </w:p>
        </w:tc>
        <w:tc>
          <w:tcPr>
            <w:tcW w:w="1418" w:type="dxa"/>
            <w:shd w:val="clear" w:color="auto" w:fill="auto"/>
          </w:tcPr>
          <w:p w14:paraId="311ED7C6" w14:textId="77777777" w:rsidR="00B766FE" w:rsidRDefault="00B766FE">
            <w:pPr>
              <w:jc w:val="center"/>
              <w:rPr>
                <w:rFonts w:eastAsia="Calibri" w:cs="Arial"/>
                <w:szCs w:val="20"/>
                <w:lang w:val="en-CA"/>
              </w:rPr>
            </w:pPr>
          </w:p>
        </w:tc>
        <w:tc>
          <w:tcPr>
            <w:tcW w:w="1701" w:type="dxa"/>
            <w:shd w:val="clear" w:color="auto" w:fill="auto"/>
          </w:tcPr>
          <w:p w14:paraId="074889EB" w14:textId="77777777" w:rsidR="00B766FE" w:rsidRDefault="00B766FE">
            <w:pPr>
              <w:jc w:val="center"/>
              <w:rPr>
                <w:rFonts w:eastAsia="Calibri" w:cs="Arial"/>
                <w:szCs w:val="20"/>
                <w:lang w:val="en-CA"/>
              </w:rPr>
            </w:pPr>
          </w:p>
        </w:tc>
        <w:tc>
          <w:tcPr>
            <w:tcW w:w="1660" w:type="dxa"/>
            <w:shd w:val="clear" w:color="auto" w:fill="auto"/>
          </w:tcPr>
          <w:p w14:paraId="04DFBEB0" w14:textId="77777777" w:rsidR="00B766FE" w:rsidRDefault="00B766FE">
            <w:pPr>
              <w:jc w:val="center"/>
              <w:rPr>
                <w:rFonts w:eastAsia="Calibri" w:cs="Arial"/>
                <w:szCs w:val="20"/>
                <w:lang w:val="en-CA"/>
              </w:rPr>
            </w:pPr>
          </w:p>
        </w:tc>
      </w:tr>
      <w:tr w:rsidR="006C62BE" w:rsidRPr="002F5180" w14:paraId="032D4FFC" w14:textId="77777777" w:rsidTr="00856AB9">
        <w:tc>
          <w:tcPr>
            <w:tcW w:w="2518" w:type="dxa"/>
            <w:shd w:val="clear" w:color="auto" w:fill="auto"/>
          </w:tcPr>
          <w:p w14:paraId="08A5B99C" w14:textId="506E996F" w:rsidR="00B766FE" w:rsidRDefault="00B766FE" w:rsidP="002079B2">
            <w:pPr>
              <w:rPr>
                <w:rFonts w:eastAsia="Calibri" w:cs="Arial"/>
                <w:szCs w:val="20"/>
                <w:lang w:val="en-CA"/>
              </w:rPr>
            </w:pPr>
            <w:r>
              <w:rPr>
                <w:rFonts w:eastAsia="Calibri" w:cs="Arial"/>
                <w:szCs w:val="20"/>
                <w:lang w:val="en-CA"/>
              </w:rPr>
              <w:t>Total item agreement</w:t>
            </w:r>
            <w:r w:rsidR="00D06E2C">
              <w:rPr>
                <w:rFonts w:eastAsia="Calibri" w:cs="Arial"/>
                <w:szCs w:val="20"/>
                <w:lang w:val="en-CA"/>
              </w:rPr>
              <w:t xml:space="preserve"> </w:t>
            </w:r>
            <w:r>
              <w:rPr>
                <w:rFonts w:eastAsia="Calibri" w:cs="Arial"/>
                <w:szCs w:val="20"/>
                <w:vertAlign w:val="superscript"/>
                <w:lang w:val="en-CA"/>
              </w:rPr>
              <w:t>d</w:t>
            </w:r>
          </w:p>
        </w:tc>
        <w:tc>
          <w:tcPr>
            <w:tcW w:w="1559" w:type="dxa"/>
            <w:shd w:val="clear" w:color="auto" w:fill="auto"/>
          </w:tcPr>
          <w:p w14:paraId="58CE3AFC" w14:textId="3A4E9FF5" w:rsidR="00B766FE" w:rsidRDefault="00B766FE">
            <w:pPr>
              <w:jc w:val="center"/>
              <w:rPr>
                <w:rFonts w:eastAsia="Calibri" w:cs="Arial"/>
                <w:szCs w:val="20"/>
                <w:lang w:val="en-CA"/>
              </w:rPr>
            </w:pPr>
            <w:r>
              <w:rPr>
                <w:rFonts w:eastAsia="Calibri" w:cs="Arial"/>
                <w:szCs w:val="20"/>
                <w:lang w:val="en-CA"/>
              </w:rPr>
              <w:t>293</w:t>
            </w:r>
            <w:r w:rsidR="00D06E2C">
              <w:rPr>
                <w:rFonts w:eastAsia="Calibri" w:cs="Arial"/>
                <w:szCs w:val="20"/>
                <w:lang w:val="en-CA"/>
              </w:rPr>
              <w:t xml:space="preserve"> </w:t>
            </w:r>
            <w:r>
              <w:rPr>
                <w:rFonts w:eastAsia="Calibri" w:cs="Arial"/>
                <w:szCs w:val="20"/>
                <w:vertAlign w:val="superscript"/>
                <w:lang w:val="en-CA"/>
              </w:rPr>
              <w:t>c</w:t>
            </w:r>
          </w:p>
        </w:tc>
        <w:tc>
          <w:tcPr>
            <w:tcW w:w="1418" w:type="dxa"/>
            <w:shd w:val="clear" w:color="auto" w:fill="auto"/>
          </w:tcPr>
          <w:p w14:paraId="7AB9C0EA" w14:textId="77777777" w:rsidR="00B766FE" w:rsidRDefault="00B766FE">
            <w:pPr>
              <w:jc w:val="center"/>
              <w:rPr>
                <w:rFonts w:eastAsia="Calibri" w:cs="Arial"/>
                <w:szCs w:val="20"/>
                <w:lang w:val="en-CA"/>
              </w:rPr>
            </w:pPr>
            <w:r>
              <w:rPr>
                <w:rFonts w:eastAsia="Calibri" w:cs="Arial"/>
                <w:szCs w:val="20"/>
                <w:lang w:val="en-CA"/>
              </w:rPr>
              <w:t>0.73</w:t>
            </w:r>
          </w:p>
        </w:tc>
        <w:tc>
          <w:tcPr>
            <w:tcW w:w="1701" w:type="dxa"/>
            <w:shd w:val="clear" w:color="auto" w:fill="auto"/>
          </w:tcPr>
          <w:p w14:paraId="432ADC60" w14:textId="77777777" w:rsidR="00B766FE" w:rsidRDefault="00B766FE">
            <w:pPr>
              <w:jc w:val="center"/>
              <w:rPr>
                <w:rFonts w:eastAsia="Calibri" w:cs="Arial"/>
                <w:szCs w:val="20"/>
                <w:lang w:val="en-CA"/>
              </w:rPr>
            </w:pPr>
            <w:r>
              <w:rPr>
                <w:rFonts w:eastAsia="Calibri" w:cs="Arial"/>
                <w:szCs w:val="20"/>
                <w:lang w:val="en-CA"/>
              </w:rPr>
              <w:t>0.80</w:t>
            </w:r>
          </w:p>
        </w:tc>
        <w:tc>
          <w:tcPr>
            <w:tcW w:w="1660" w:type="dxa"/>
            <w:shd w:val="clear" w:color="auto" w:fill="auto"/>
          </w:tcPr>
          <w:p w14:paraId="5E552305" w14:textId="77777777" w:rsidR="00B766FE" w:rsidRDefault="00B766FE">
            <w:pPr>
              <w:jc w:val="center"/>
              <w:rPr>
                <w:rFonts w:eastAsia="Calibri" w:cs="Arial"/>
                <w:szCs w:val="20"/>
                <w:lang w:val="en-CA"/>
              </w:rPr>
            </w:pPr>
            <w:r>
              <w:rPr>
                <w:rFonts w:eastAsia="Calibri" w:cs="Arial"/>
                <w:szCs w:val="20"/>
                <w:lang w:val="en-CA"/>
              </w:rPr>
              <w:t>0.86</w:t>
            </w:r>
          </w:p>
        </w:tc>
      </w:tr>
      <w:tr w:rsidR="006C62BE" w:rsidRPr="002F5180" w14:paraId="382625B7" w14:textId="77777777" w:rsidTr="00856AB9">
        <w:tc>
          <w:tcPr>
            <w:tcW w:w="2518" w:type="dxa"/>
            <w:shd w:val="clear" w:color="auto" w:fill="auto"/>
          </w:tcPr>
          <w:p w14:paraId="7C622FDD" w14:textId="6F52AE79" w:rsidR="00B766FE" w:rsidDel="00C64E1A" w:rsidRDefault="00B766FE" w:rsidP="002079B2">
            <w:pPr>
              <w:rPr>
                <w:rFonts w:eastAsia="Calibri" w:cs="Arial"/>
                <w:szCs w:val="20"/>
                <w:vertAlign w:val="superscript"/>
                <w:lang w:val="en-CA"/>
              </w:rPr>
            </w:pPr>
            <w:r>
              <w:rPr>
                <w:rFonts w:eastAsia="Calibri" w:cs="Arial"/>
                <w:szCs w:val="20"/>
                <w:lang w:val="en-CA"/>
              </w:rPr>
              <w:t>Overall chart agreement</w:t>
            </w:r>
            <w:r w:rsidR="00D06E2C">
              <w:rPr>
                <w:rFonts w:eastAsia="Calibri" w:cs="Arial"/>
                <w:szCs w:val="20"/>
                <w:lang w:val="en-CA"/>
              </w:rPr>
              <w:t xml:space="preserve"> </w:t>
            </w:r>
            <w:r>
              <w:rPr>
                <w:rFonts w:eastAsia="Calibri" w:cs="Arial"/>
                <w:szCs w:val="20"/>
                <w:vertAlign w:val="superscript"/>
                <w:lang w:val="en-CA"/>
              </w:rPr>
              <w:t>e</w:t>
            </w:r>
          </w:p>
        </w:tc>
        <w:tc>
          <w:tcPr>
            <w:tcW w:w="1559" w:type="dxa"/>
            <w:shd w:val="clear" w:color="auto" w:fill="auto"/>
          </w:tcPr>
          <w:p w14:paraId="5DD32FC4" w14:textId="77777777" w:rsidR="00B766FE" w:rsidRDefault="00B766FE">
            <w:pPr>
              <w:jc w:val="center"/>
              <w:rPr>
                <w:rFonts w:eastAsia="Calibri" w:cs="Arial"/>
                <w:szCs w:val="20"/>
                <w:lang w:val="en-CA"/>
              </w:rPr>
            </w:pPr>
            <w:r>
              <w:rPr>
                <w:rFonts w:eastAsia="Calibri" w:cs="Arial"/>
                <w:szCs w:val="20"/>
                <w:lang w:val="en-CA"/>
              </w:rPr>
              <w:t>5</w:t>
            </w:r>
          </w:p>
        </w:tc>
        <w:tc>
          <w:tcPr>
            <w:tcW w:w="1418" w:type="dxa"/>
            <w:shd w:val="clear" w:color="auto" w:fill="auto"/>
          </w:tcPr>
          <w:p w14:paraId="09DC5423" w14:textId="77777777" w:rsidR="00B766FE" w:rsidRDefault="00B766FE">
            <w:pPr>
              <w:jc w:val="center"/>
              <w:rPr>
                <w:rFonts w:eastAsia="Calibri" w:cs="Arial"/>
                <w:szCs w:val="20"/>
                <w:lang w:val="en-CA"/>
              </w:rPr>
            </w:pPr>
            <w:r>
              <w:rPr>
                <w:rFonts w:eastAsia="Calibri" w:cs="Arial"/>
                <w:szCs w:val="20"/>
                <w:lang w:val="en-CA"/>
              </w:rPr>
              <w:t>0.93</w:t>
            </w:r>
          </w:p>
        </w:tc>
        <w:tc>
          <w:tcPr>
            <w:tcW w:w="1701" w:type="dxa"/>
            <w:shd w:val="clear" w:color="auto" w:fill="auto"/>
          </w:tcPr>
          <w:p w14:paraId="649485B3" w14:textId="77777777" w:rsidR="00B766FE" w:rsidRDefault="00B766FE">
            <w:pPr>
              <w:jc w:val="center"/>
              <w:rPr>
                <w:rFonts w:eastAsia="Calibri" w:cs="Arial"/>
                <w:szCs w:val="20"/>
                <w:lang w:val="en-CA"/>
              </w:rPr>
            </w:pPr>
            <w:r>
              <w:rPr>
                <w:rFonts w:eastAsia="Calibri" w:cs="Arial"/>
                <w:szCs w:val="20"/>
                <w:lang w:val="en-CA"/>
              </w:rPr>
              <w:t>0.95</w:t>
            </w:r>
          </w:p>
        </w:tc>
        <w:tc>
          <w:tcPr>
            <w:tcW w:w="1660" w:type="dxa"/>
            <w:shd w:val="clear" w:color="auto" w:fill="auto"/>
          </w:tcPr>
          <w:p w14:paraId="30DA0CB4" w14:textId="77777777" w:rsidR="00B766FE" w:rsidRDefault="00B766FE">
            <w:pPr>
              <w:jc w:val="center"/>
              <w:rPr>
                <w:rFonts w:eastAsia="Calibri" w:cs="Arial"/>
                <w:szCs w:val="20"/>
                <w:lang w:val="en-CA"/>
              </w:rPr>
            </w:pPr>
            <w:r>
              <w:rPr>
                <w:rFonts w:eastAsia="Calibri" w:cs="Arial"/>
                <w:szCs w:val="20"/>
                <w:lang w:val="en-CA"/>
              </w:rPr>
              <w:t>0.97</w:t>
            </w:r>
          </w:p>
        </w:tc>
      </w:tr>
    </w:tbl>
    <w:p w14:paraId="2A81AC88" w14:textId="40768994" w:rsidR="00B766FE" w:rsidRPr="0093637B" w:rsidRDefault="00B766FE" w:rsidP="00B766FE">
      <w:pPr>
        <w:rPr>
          <w:rFonts w:cs="Arial"/>
          <w:szCs w:val="20"/>
        </w:rPr>
      </w:pPr>
      <w:proofErr w:type="gramStart"/>
      <w:r w:rsidRPr="0093637B">
        <w:rPr>
          <w:rFonts w:cs="Arial"/>
          <w:szCs w:val="20"/>
          <w:vertAlign w:val="superscript"/>
        </w:rPr>
        <w:t>a</w:t>
      </w:r>
      <w:r w:rsidR="00D06E2C">
        <w:rPr>
          <w:rFonts w:cs="Arial"/>
          <w:szCs w:val="20"/>
          <w:vertAlign w:val="superscript"/>
        </w:rPr>
        <w:t xml:space="preserve"> </w:t>
      </w:r>
      <w:r w:rsidRPr="0093637B">
        <w:rPr>
          <w:rFonts w:cs="Arial"/>
          <w:szCs w:val="20"/>
        </w:rPr>
        <w:t>Number of</w:t>
      </w:r>
      <w:proofErr w:type="gramEnd"/>
      <w:r w:rsidRPr="0093637B">
        <w:rPr>
          <w:rFonts w:cs="Arial"/>
          <w:szCs w:val="20"/>
        </w:rPr>
        <w:t xml:space="preserve"> items was multiplied by 4 because these items were collected four times, once per longitudinal wave corresponding to 6 months, 3 months, 1 month, and 2 weeks prior to death.</w:t>
      </w:r>
    </w:p>
    <w:p w14:paraId="4BC4A915" w14:textId="777A2F98" w:rsidR="00B766FE" w:rsidRPr="0093637B" w:rsidRDefault="00B766FE" w:rsidP="00B766FE">
      <w:pPr>
        <w:rPr>
          <w:rFonts w:cs="Arial"/>
          <w:szCs w:val="20"/>
        </w:rPr>
      </w:pPr>
      <w:r w:rsidRPr="0093637B">
        <w:rPr>
          <w:rFonts w:cs="Arial"/>
          <w:szCs w:val="20"/>
          <w:vertAlign w:val="superscript"/>
        </w:rPr>
        <w:t>b</w:t>
      </w:r>
      <w:r w:rsidR="00D06E2C">
        <w:rPr>
          <w:rFonts w:cs="Arial"/>
          <w:szCs w:val="20"/>
          <w:vertAlign w:val="superscript"/>
        </w:rPr>
        <w:t xml:space="preserve"> </w:t>
      </w:r>
      <w:r w:rsidRPr="0093637B">
        <w:rPr>
          <w:rFonts w:cs="Arial"/>
          <w:szCs w:val="20"/>
        </w:rPr>
        <w:t xml:space="preserve">One item “no change to care plan” was omitted from the first timepoint (i.e., only collected 3 times), accounting for one less item in the total number of items. </w:t>
      </w:r>
    </w:p>
    <w:p w14:paraId="52977600" w14:textId="59432058" w:rsidR="00B766FE" w:rsidRPr="0093637B" w:rsidRDefault="00B766FE" w:rsidP="00B766FE">
      <w:pPr>
        <w:rPr>
          <w:rFonts w:cs="Arial"/>
          <w:szCs w:val="20"/>
        </w:rPr>
      </w:pPr>
      <w:r w:rsidRPr="0093637B">
        <w:rPr>
          <w:rFonts w:cs="Arial"/>
          <w:szCs w:val="20"/>
          <w:vertAlign w:val="superscript"/>
        </w:rPr>
        <w:t>c</w:t>
      </w:r>
      <w:r w:rsidR="00D06E2C">
        <w:rPr>
          <w:rFonts w:cs="Arial"/>
          <w:szCs w:val="20"/>
          <w:vertAlign w:val="superscript"/>
        </w:rPr>
        <w:t xml:space="preserve"> </w:t>
      </w:r>
      <w:r w:rsidRPr="0093637B">
        <w:rPr>
          <w:rFonts w:cs="Arial"/>
          <w:szCs w:val="20"/>
        </w:rPr>
        <w:t xml:space="preserve">Items in the “eating challenge history” section </w:t>
      </w:r>
      <w:proofErr w:type="gramStart"/>
      <w:r w:rsidRPr="0093637B">
        <w:rPr>
          <w:rFonts w:cs="Arial"/>
          <w:szCs w:val="20"/>
        </w:rPr>
        <w:t>were</w:t>
      </w:r>
      <w:proofErr w:type="gramEnd"/>
      <w:r w:rsidRPr="0093637B">
        <w:rPr>
          <w:rFonts w:cs="Arial"/>
          <w:szCs w:val="20"/>
        </w:rPr>
        <w:t xml:space="preserve"> added in the last block of 50 charts so were only reviewed in the last block, making the total number of items 298 in that block.</w:t>
      </w:r>
    </w:p>
    <w:p w14:paraId="1796C302" w14:textId="4CEB4BE4" w:rsidR="00B766FE" w:rsidRPr="0093637B" w:rsidRDefault="00B766FE" w:rsidP="00B766FE">
      <w:pPr>
        <w:rPr>
          <w:rFonts w:cs="Arial"/>
          <w:szCs w:val="20"/>
        </w:rPr>
      </w:pPr>
      <w:r w:rsidRPr="0093637B">
        <w:rPr>
          <w:rFonts w:cs="Arial"/>
          <w:szCs w:val="20"/>
          <w:vertAlign w:val="superscript"/>
        </w:rPr>
        <w:t>d</w:t>
      </w:r>
      <w:r w:rsidR="007810CD">
        <w:rPr>
          <w:rFonts w:cs="Arial"/>
          <w:szCs w:val="20"/>
          <w:vertAlign w:val="superscript"/>
        </w:rPr>
        <w:t xml:space="preserve"> </w:t>
      </w:r>
      <w:r w:rsidRPr="0093637B">
        <w:rPr>
          <w:rFonts w:cs="Arial"/>
          <w:szCs w:val="20"/>
        </w:rPr>
        <w:t>Proportion of items that had complete agreement across the 5 re-reviewed charts within each block.</w:t>
      </w:r>
    </w:p>
    <w:p w14:paraId="2F7F642C" w14:textId="39B13454" w:rsidR="00D948D0" w:rsidRDefault="00B766FE" w:rsidP="00061B41">
      <w:pPr>
        <w:rPr>
          <w:rFonts w:cs="Arial"/>
          <w:szCs w:val="20"/>
        </w:rPr>
      </w:pPr>
      <w:r w:rsidRPr="0093637B">
        <w:rPr>
          <w:rFonts w:cs="Arial"/>
          <w:szCs w:val="20"/>
          <w:vertAlign w:val="superscript"/>
        </w:rPr>
        <w:lastRenderedPageBreak/>
        <w:t>e</w:t>
      </w:r>
      <w:r w:rsidR="007810CD">
        <w:rPr>
          <w:rFonts w:cs="Arial"/>
          <w:szCs w:val="20"/>
          <w:vertAlign w:val="superscript"/>
        </w:rPr>
        <w:t xml:space="preserve"> </w:t>
      </w:r>
      <w:r w:rsidRPr="0093637B">
        <w:rPr>
          <w:rFonts w:cs="Arial"/>
          <w:szCs w:val="20"/>
        </w:rPr>
        <w:t>Proportion of agreement per chart (# agreed / total items) averaged across the 5 charts within each block.</w:t>
      </w:r>
    </w:p>
    <w:p w14:paraId="1A786DFD" w14:textId="77777777" w:rsidR="00616F41" w:rsidRDefault="00616F41" w:rsidP="00061B41">
      <w:pPr>
        <w:rPr>
          <w:rFonts w:cs="Arial"/>
          <w:szCs w:val="20"/>
        </w:rPr>
      </w:pPr>
    </w:p>
    <w:p w14:paraId="11122D9E" w14:textId="77777777" w:rsidR="00616F41" w:rsidRDefault="00616F41" w:rsidP="00061B41">
      <w:pPr>
        <w:rPr>
          <w:rFonts w:cs="Arial"/>
          <w:szCs w:val="20"/>
        </w:rPr>
      </w:pPr>
    </w:p>
    <w:p w14:paraId="67200477" w14:textId="77777777" w:rsidR="00616F41" w:rsidRDefault="00616F41" w:rsidP="00061B41">
      <w:pPr>
        <w:rPr>
          <w:rFonts w:cs="Arial"/>
          <w:szCs w:val="20"/>
        </w:rPr>
      </w:pPr>
    </w:p>
    <w:p w14:paraId="5511E354" w14:textId="77777777" w:rsidR="00616F41" w:rsidRDefault="00616F41" w:rsidP="00061B41">
      <w:pPr>
        <w:rPr>
          <w:rFonts w:cs="Arial"/>
          <w:szCs w:val="20"/>
        </w:rPr>
      </w:pPr>
    </w:p>
    <w:p w14:paraId="0B16557E" w14:textId="77777777" w:rsidR="00616F41" w:rsidRDefault="00616F41" w:rsidP="00061B41">
      <w:pPr>
        <w:rPr>
          <w:rFonts w:cs="Arial"/>
          <w:szCs w:val="20"/>
        </w:rPr>
      </w:pPr>
    </w:p>
    <w:p w14:paraId="4BD28ABC" w14:textId="77777777" w:rsidR="00616F41" w:rsidRDefault="00616F41" w:rsidP="00061B41">
      <w:pPr>
        <w:rPr>
          <w:rFonts w:cs="Arial"/>
          <w:szCs w:val="20"/>
        </w:rPr>
      </w:pPr>
    </w:p>
    <w:p w14:paraId="51B905C9" w14:textId="77777777" w:rsidR="00616F41" w:rsidRDefault="00616F41" w:rsidP="00061B41">
      <w:pPr>
        <w:rPr>
          <w:rFonts w:cs="Arial"/>
          <w:szCs w:val="20"/>
        </w:rPr>
      </w:pPr>
    </w:p>
    <w:p w14:paraId="68EEB9E7" w14:textId="77777777" w:rsidR="00616F41" w:rsidRDefault="00616F41" w:rsidP="00061B41">
      <w:pPr>
        <w:rPr>
          <w:rFonts w:cs="Arial"/>
          <w:szCs w:val="20"/>
        </w:rPr>
      </w:pPr>
    </w:p>
    <w:p w14:paraId="636ECD9C" w14:textId="77777777" w:rsidR="00616F41" w:rsidRDefault="00616F41" w:rsidP="00061B41">
      <w:pPr>
        <w:rPr>
          <w:rFonts w:cs="Arial"/>
          <w:szCs w:val="20"/>
        </w:rPr>
      </w:pPr>
    </w:p>
    <w:p w14:paraId="2A40A4BC" w14:textId="77777777" w:rsidR="00616F41" w:rsidRDefault="00616F41" w:rsidP="00061B41">
      <w:pPr>
        <w:rPr>
          <w:rFonts w:cs="Arial"/>
          <w:szCs w:val="20"/>
        </w:rPr>
      </w:pPr>
    </w:p>
    <w:p w14:paraId="59B50A91" w14:textId="77777777" w:rsidR="00616F41" w:rsidRDefault="00616F41" w:rsidP="00061B41">
      <w:pPr>
        <w:rPr>
          <w:rFonts w:cs="Arial"/>
          <w:szCs w:val="20"/>
        </w:rPr>
      </w:pPr>
    </w:p>
    <w:p w14:paraId="6EA676D7" w14:textId="77777777" w:rsidR="00616F41" w:rsidRDefault="00616F41" w:rsidP="00061B41">
      <w:pPr>
        <w:rPr>
          <w:rFonts w:cs="Arial"/>
          <w:szCs w:val="20"/>
        </w:rPr>
      </w:pPr>
    </w:p>
    <w:p w14:paraId="139053A6" w14:textId="77777777" w:rsidR="00616F41" w:rsidRDefault="00616F41" w:rsidP="00061B41">
      <w:pPr>
        <w:rPr>
          <w:rFonts w:cs="Arial"/>
          <w:szCs w:val="20"/>
        </w:rPr>
      </w:pPr>
    </w:p>
    <w:p w14:paraId="609E99BC" w14:textId="77777777" w:rsidR="00616F41" w:rsidRDefault="00616F41" w:rsidP="00061B41">
      <w:pPr>
        <w:rPr>
          <w:rFonts w:cs="Arial"/>
          <w:szCs w:val="20"/>
        </w:rPr>
      </w:pPr>
    </w:p>
    <w:p w14:paraId="25886AD2" w14:textId="77777777" w:rsidR="00616F41" w:rsidRDefault="00616F41" w:rsidP="00061B41">
      <w:pPr>
        <w:rPr>
          <w:rFonts w:cs="Arial"/>
          <w:szCs w:val="20"/>
        </w:rPr>
      </w:pPr>
    </w:p>
    <w:p w14:paraId="255B600F" w14:textId="77777777" w:rsidR="00616F41" w:rsidRDefault="00616F41" w:rsidP="00061B41">
      <w:pPr>
        <w:rPr>
          <w:rFonts w:cs="Arial"/>
          <w:szCs w:val="20"/>
        </w:rPr>
      </w:pPr>
    </w:p>
    <w:p w14:paraId="68EED1B0" w14:textId="77777777" w:rsidR="00616F41" w:rsidRDefault="00616F41" w:rsidP="00061B41">
      <w:pPr>
        <w:rPr>
          <w:rFonts w:cs="Arial"/>
          <w:szCs w:val="20"/>
        </w:rPr>
      </w:pPr>
    </w:p>
    <w:p w14:paraId="4057B3A5" w14:textId="77777777" w:rsidR="00616F41" w:rsidRDefault="00616F41" w:rsidP="00061B41">
      <w:pPr>
        <w:rPr>
          <w:rFonts w:cs="Arial"/>
          <w:szCs w:val="20"/>
        </w:rPr>
      </w:pPr>
    </w:p>
    <w:p w14:paraId="3CC48500" w14:textId="77777777" w:rsidR="00616F41" w:rsidRDefault="00616F41" w:rsidP="00061B41">
      <w:pPr>
        <w:rPr>
          <w:rFonts w:cs="Arial"/>
          <w:szCs w:val="20"/>
        </w:rPr>
      </w:pPr>
    </w:p>
    <w:p w14:paraId="4066DF0E" w14:textId="77777777" w:rsidR="00616F41" w:rsidRDefault="00616F41" w:rsidP="00061B41">
      <w:pPr>
        <w:rPr>
          <w:rFonts w:cs="Arial"/>
          <w:szCs w:val="20"/>
        </w:rPr>
      </w:pPr>
    </w:p>
    <w:p w14:paraId="24FCB394" w14:textId="77777777" w:rsidR="00616F41" w:rsidRDefault="00616F41" w:rsidP="00061B41">
      <w:pPr>
        <w:rPr>
          <w:rFonts w:cs="Arial"/>
          <w:szCs w:val="20"/>
        </w:rPr>
      </w:pPr>
    </w:p>
    <w:p w14:paraId="68495A6F" w14:textId="77777777" w:rsidR="00616F41" w:rsidRDefault="00616F41" w:rsidP="00061B41">
      <w:pPr>
        <w:rPr>
          <w:rFonts w:cs="Arial"/>
          <w:szCs w:val="20"/>
        </w:rPr>
      </w:pPr>
    </w:p>
    <w:p w14:paraId="0D7660E7" w14:textId="005F10BC" w:rsidR="00616F41" w:rsidRPr="00431388" w:rsidRDefault="00616F41" w:rsidP="00616F41">
      <w:pPr>
        <w:pStyle w:val="Heading1"/>
      </w:pPr>
      <w:r>
        <w:lastRenderedPageBreak/>
        <w:t>Supplement</w:t>
      </w:r>
      <w:r w:rsidR="00CE0D51">
        <w:t xml:space="preserve"> </w:t>
      </w:r>
      <w:r>
        <w:t>2 – Tables describing the change in status event leading to suspected end-of-life decline</w:t>
      </w:r>
    </w:p>
    <w:p w14:paraId="11703093" w14:textId="77777777" w:rsidR="00616F41" w:rsidRPr="00BE1414" w:rsidRDefault="00616F41" w:rsidP="00616F41">
      <w:pPr>
        <w:widowControl w:val="0"/>
        <w:ind w:right="4"/>
        <w:rPr>
          <w:rFonts w:cs="Arial"/>
          <w:b/>
          <w:bCs/>
          <w:szCs w:val="20"/>
          <w:lang w:val="en-CA"/>
        </w:rPr>
      </w:pPr>
      <w:r w:rsidRPr="00BE1414">
        <w:rPr>
          <w:rFonts w:cs="Arial"/>
          <w:b/>
          <w:bCs/>
          <w:szCs w:val="20"/>
          <w:lang w:val="en-CA"/>
        </w:rPr>
        <w:t xml:space="preserve">Supplementary Table </w:t>
      </w:r>
      <w:r>
        <w:rPr>
          <w:rFonts w:cs="Arial"/>
          <w:b/>
          <w:bCs/>
          <w:szCs w:val="20"/>
          <w:lang w:val="en-CA"/>
        </w:rPr>
        <w:t>2</w:t>
      </w:r>
      <w:r w:rsidRPr="00BE1414">
        <w:rPr>
          <w:rFonts w:cs="Arial"/>
          <w:b/>
          <w:bCs/>
          <w:szCs w:val="20"/>
          <w:lang w:val="en-CA"/>
        </w:rPr>
        <w:t xml:space="preserve">.1 </w:t>
      </w:r>
      <w:r w:rsidRPr="004E5C53">
        <w:rPr>
          <w:rFonts w:cs="Arial"/>
          <w:szCs w:val="20"/>
          <w:lang w:val="en-CA"/>
        </w:rPr>
        <w:t xml:space="preserve">Process for identifying the change in status </w:t>
      </w:r>
      <w:proofErr w:type="gramStart"/>
      <w:r w:rsidRPr="004E5C53">
        <w:rPr>
          <w:rFonts w:cs="Arial"/>
          <w:szCs w:val="20"/>
          <w:lang w:val="en-CA"/>
        </w:rPr>
        <w:t>event</w:t>
      </w:r>
      <w:proofErr w:type="gramEnd"/>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394"/>
        <w:gridCol w:w="7276"/>
      </w:tblGrid>
      <w:tr w:rsidR="00616F41" w:rsidRPr="00BE1414" w14:paraId="21ECA858" w14:textId="77777777" w:rsidTr="003143C2">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80422CA" w14:textId="77777777" w:rsidR="00616F41" w:rsidRPr="00CB2DE9" w:rsidRDefault="00616F41" w:rsidP="003143C2">
            <w:pPr>
              <w:widowControl w:val="0"/>
              <w:ind w:right="4"/>
              <w:rPr>
                <w:rFonts w:cs="Arial"/>
                <w:szCs w:val="20"/>
                <w:lang w:val="en-CA"/>
              </w:rPr>
            </w:pPr>
            <w:r w:rsidRPr="00CB2DE9">
              <w:rPr>
                <w:rFonts w:cs="Arial"/>
                <w:szCs w:val="20"/>
                <w:lang w:val="en-CA"/>
              </w:rPr>
              <w:t>Step 1: Date range</w:t>
            </w:r>
          </w:p>
        </w:tc>
        <w:tc>
          <w:tcPr>
            <w:tcW w:w="793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1B75960" w14:textId="77777777" w:rsidR="00616F41" w:rsidRPr="00CB2DE9" w:rsidRDefault="00616F41" w:rsidP="003143C2">
            <w:pPr>
              <w:widowControl w:val="0"/>
              <w:ind w:right="4"/>
              <w:rPr>
                <w:rFonts w:cs="Arial"/>
                <w:szCs w:val="20"/>
                <w:lang w:val="en-CA"/>
              </w:rPr>
            </w:pPr>
            <w:r w:rsidRPr="00CB2DE9">
              <w:rPr>
                <w:rFonts w:cs="Arial"/>
                <w:szCs w:val="20"/>
                <w:lang w:val="en-CA"/>
              </w:rPr>
              <w:t xml:space="preserve">Progress Notes tab </w:t>
            </w:r>
            <w:r w:rsidRPr="00CB2DE9">
              <w:rPr>
                <w:rFonts w:cs="Arial"/>
                <w:szCs w:val="20"/>
                <w:lang w:val="en-CA"/>
              </w:rPr>
              <w:sym w:font="Wingdings" w:char="F0E0"/>
            </w:r>
            <w:r w:rsidRPr="00CB2DE9">
              <w:rPr>
                <w:rFonts w:cs="Arial"/>
                <w:szCs w:val="20"/>
                <w:lang w:val="en-CA"/>
              </w:rPr>
              <w:t xml:space="preserve"> “View All” </w:t>
            </w:r>
            <w:r w:rsidRPr="00CB2DE9">
              <w:rPr>
                <w:rFonts w:cs="Arial"/>
                <w:szCs w:val="20"/>
                <w:lang w:val="en-CA"/>
              </w:rPr>
              <w:sym w:font="Wingdings" w:char="F0E0"/>
            </w:r>
            <w:r w:rsidRPr="00CB2DE9">
              <w:rPr>
                <w:rFonts w:cs="Arial"/>
                <w:szCs w:val="20"/>
                <w:lang w:val="en-CA"/>
              </w:rPr>
              <w:t xml:space="preserve"> “Custom” </w:t>
            </w:r>
            <w:r w:rsidRPr="00CB2DE9">
              <w:rPr>
                <w:rFonts w:cs="Arial"/>
                <w:szCs w:val="20"/>
                <w:lang w:val="en-CA"/>
              </w:rPr>
              <w:sym w:font="Wingdings" w:char="F0E0"/>
            </w:r>
            <w:r w:rsidRPr="00CB2DE9">
              <w:rPr>
                <w:rFonts w:cs="Arial"/>
                <w:szCs w:val="20"/>
                <w:lang w:val="en-CA"/>
              </w:rPr>
              <w:t xml:space="preserve"> Select date range beginning at 6 </w:t>
            </w:r>
            <w:proofErr w:type="gramStart"/>
            <w:r w:rsidRPr="00CB2DE9">
              <w:rPr>
                <w:rFonts w:cs="Arial"/>
                <w:szCs w:val="20"/>
                <w:lang w:val="en-CA"/>
              </w:rPr>
              <w:t>month</w:t>
            </w:r>
            <w:proofErr w:type="gramEnd"/>
            <w:r w:rsidRPr="00CB2DE9">
              <w:rPr>
                <w:rFonts w:cs="Arial"/>
                <w:szCs w:val="20"/>
                <w:lang w:val="en-CA"/>
              </w:rPr>
              <w:t xml:space="preserve"> prior, ending on date of death</w:t>
            </w:r>
          </w:p>
        </w:tc>
      </w:tr>
      <w:tr w:rsidR="00616F41" w:rsidRPr="00BE1414" w14:paraId="51C5134D" w14:textId="77777777" w:rsidTr="003143C2">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03042D" w14:textId="77777777" w:rsidR="00616F41" w:rsidRPr="00CB2DE9" w:rsidRDefault="00616F41" w:rsidP="003143C2">
            <w:pPr>
              <w:widowControl w:val="0"/>
              <w:ind w:right="4"/>
              <w:rPr>
                <w:rFonts w:cs="Arial"/>
                <w:szCs w:val="20"/>
                <w:lang w:val="en-CA"/>
              </w:rPr>
            </w:pPr>
            <w:r w:rsidRPr="00CB2DE9">
              <w:rPr>
                <w:rFonts w:cs="Arial"/>
                <w:szCs w:val="20"/>
                <w:lang w:val="en-CA"/>
              </w:rPr>
              <w:t>Step 2: Text search (</w:t>
            </w:r>
            <w:proofErr w:type="gramStart"/>
            <w:r w:rsidRPr="00CB2DE9">
              <w:rPr>
                <w:rFonts w:cs="Arial"/>
                <w:szCs w:val="20"/>
                <w:lang w:val="en-CA"/>
              </w:rPr>
              <w:t>ctrl-F</w:t>
            </w:r>
            <w:proofErr w:type="gramEnd"/>
            <w:r w:rsidRPr="00CB2DE9">
              <w:rPr>
                <w:rFonts w:cs="Arial"/>
                <w:szCs w:val="20"/>
                <w:lang w:val="en-CA"/>
              </w:rPr>
              <w:t>) keywords</w:t>
            </w:r>
          </w:p>
        </w:tc>
        <w:tc>
          <w:tcPr>
            <w:tcW w:w="79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3DB6A" w14:textId="77777777" w:rsidR="00616F41" w:rsidRPr="00CB2DE9" w:rsidRDefault="00616F41" w:rsidP="003143C2">
            <w:pPr>
              <w:widowControl w:val="0"/>
              <w:ind w:right="4"/>
              <w:rPr>
                <w:rFonts w:cs="Arial"/>
                <w:szCs w:val="20"/>
                <w:lang w:val="en-CA"/>
              </w:rPr>
            </w:pPr>
            <w:r w:rsidRPr="00CB2DE9">
              <w:rPr>
                <w:rFonts w:cs="Arial"/>
                <w:szCs w:val="20"/>
                <w:lang w:val="en-CA"/>
              </w:rPr>
              <w:t>Text search (ctrl-F) for “end-of-life”, “end of life”, “EOL”, “end”, “palliative”, “terminal”, “</w:t>
            </w:r>
            <w:proofErr w:type="spellStart"/>
            <w:proofErr w:type="gramStart"/>
            <w:r w:rsidRPr="00CB2DE9">
              <w:rPr>
                <w:rFonts w:cs="Arial"/>
                <w:szCs w:val="20"/>
                <w:lang w:val="en-CA"/>
              </w:rPr>
              <w:t>declin</w:t>
            </w:r>
            <w:proofErr w:type="spellEnd"/>
            <w:r w:rsidRPr="00CB2DE9">
              <w:rPr>
                <w:rFonts w:cs="Arial"/>
                <w:szCs w:val="20"/>
                <w:lang w:val="en-CA"/>
              </w:rPr>
              <w:t>”*</w:t>
            </w:r>
            <w:proofErr w:type="gramEnd"/>
            <w:r w:rsidRPr="00CB2DE9">
              <w:rPr>
                <w:rFonts w:cs="Arial"/>
                <w:szCs w:val="20"/>
                <w:lang w:val="en-CA"/>
              </w:rPr>
              <w:t>, “</w:t>
            </w:r>
            <w:proofErr w:type="spellStart"/>
            <w:r w:rsidRPr="00CB2DE9">
              <w:rPr>
                <w:rFonts w:cs="Arial"/>
                <w:szCs w:val="20"/>
                <w:lang w:val="en-CA"/>
              </w:rPr>
              <w:t>deterior</w:t>
            </w:r>
            <w:proofErr w:type="spellEnd"/>
            <w:r w:rsidRPr="00CB2DE9">
              <w:rPr>
                <w:rFonts w:cs="Arial"/>
                <w:szCs w:val="20"/>
                <w:lang w:val="en-CA"/>
              </w:rPr>
              <w:t>”*, “death”, “dying”, “comfort”, “comfort measures”</w:t>
            </w:r>
          </w:p>
        </w:tc>
      </w:tr>
      <w:tr w:rsidR="00616F41" w:rsidRPr="00BE1414" w14:paraId="38B85CF8" w14:textId="77777777" w:rsidTr="003143C2">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247BF" w14:textId="77777777" w:rsidR="00616F41" w:rsidRPr="00CB2DE9" w:rsidRDefault="00616F41" w:rsidP="003143C2">
            <w:pPr>
              <w:widowControl w:val="0"/>
              <w:ind w:right="4"/>
              <w:rPr>
                <w:rFonts w:cs="Arial"/>
                <w:szCs w:val="20"/>
                <w:lang w:val="en-CA"/>
              </w:rPr>
            </w:pPr>
            <w:r w:rsidRPr="00CB2DE9">
              <w:rPr>
                <w:rFonts w:cs="Arial"/>
                <w:szCs w:val="20"/>
                <w:lang w:val="en-CA"/>
              </w:rPr>
              <w:t xml:space="preserve">Step 3: Identify consideration of end-of-life decline </w:t>
            </w:r>
          </w:p>
        </w:tc>
        <w:tc>
          <w:tcPr>
            <w:tcW w:w="79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71B89" w14:textId="77777777" w:rsidR="00616F41" w:rsidRPr="00CB2DE9" w:rsidRDefault="00616F41" w:rsidP="003143C2">
            <w:pPr>
              <w:widowControl w:val="0"/>
              <w:ind w:right="4"/>
              <w:rPr>
                <w:rFonts w:cs="Arial"/>
                <w:szCs w:val="20"/>
                <w:lang w:val="en-CA"/>
              </w:rPr>
            </w:pPr>
            <w:r w:rsidRPr="00CB2DE9">
              <w:rPr>
                <w:rFonts w:cs="Arial"/>
                <w:szCs w:val="20"/>
                <w:lang w:val="en-CA"/>
              </w:rPr>
              <w:t>Note the first date any of these are reported if it pertains directly to, or implies suspected end of life;</w:t>
            </w:r>
          </w:p>
        </w:tc>
      </w:tr>
      <w:tr w:rsidR="00616F41" w:rsidRPr="00BE1414" w14:paraId="4713F093" w14:textId="77777777" w:rsidTr="003143C2">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355DC" w14:textId="77777777" w:rsidR="00616F41" w:rsidRPr="00CB2DE9" w:rsidRDefault="00616F41" w:rsidP="003143C2">
            <w:pPr>
              <w:widowControl w:val="0"/>
              <w:ind w:right="4"/>
              <w:rPr>
                <w:rFonts w:cs="Arial"/>
                <w:szCs w:val="20"/>
                <w:lang w:val="en-CA"/>
              </w:rPr>
            </w:pPr>
            <w:r w:rsidRPr="00CB2DE9">
              <w:rPr>
                <w:rFonts w:cs="Arial"/>
                <w:szCs w:val="20"/>
                <w:lang w:val="en-CA"/>
              </w:rPr>
              <w:t>Step 4: Expand search where necessary</w:t>
            </w:r>
          </w:p>
        </w:tc>
        <w:tc>
          <w:tcPr>
            <w:tcW w:w="79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91A281" w14:textId="77777777" w:rsidR="00616F41" w:rsidRPr="00CB2DE9" w:rsidRDefault="00616F41" w:rsidP="003143C2">
            <w:pPr>
              <w:widowControl w:val="0"/>
              <w:ind w:right="4"/>
              <w:rPr>
                <w:rFonts w:cs="Arial"/>
                <w:szCs w:val="20"/>
                <w:lang w:val="en-CA"/>
              </w:rPr>
            </w:pPr>
            <w:r w:rsidRPr="00CB2DE9">
              <w:rPr>
                <w:rFonts w:cs="Arial"/>
                <w:szCs w:val="20"/>
                <w:lang w:val="en-CA"/>
              </w:rPr>
              <w:t xml:space="preserve">If no indication of end-of-life/comfort focus, or indication that management of change of status was already established at 6 months prior to death, the search was expanded by 6 month increments to identify the first mention, or absence, of anticipated end-of-life. </w:t>
            </w:r>
          </w:p>
        </w:tc>
      </w:tr>
    </w:tbl>
    <w:p w14:paraId="63011CB4" w14:textId="77777777" w:rsidR="00616F41" w:rsidRPr="00BE1414" w:rsidRDefault="00616F41" w:rsidP="00616F41">
      <w:pPr>
        <w:widowControl w:val="0"/>
        <w:ind w:right="4"/>
        <w:rPr>
          <w:rFonts w:cs="Arial"/>
          <w:szCs w:val="20"/>
          <w:lang w:val="en-CA"/>
        </w:rPr>
      </w:pPr>
      <w:r w:rsidRPr="00595F93">
        <w:rPr>
          <w:rFonts w:cs="Arial"/>
          <w:b/>
          <w:bCs/>
          <w:szCs w:val="20"/>
          <w:lang w:val="en-CA"/>
        </w:rPr>
        <w:t>*</w:t>
      </w:r>
      <w:r w:rsidRPr="00BE1414">
        <w:rPr>
          <w:rFonts w:cs="Arial"/>
          <w:szCs w:val="20"/>
          <w:lang w:val="en-CA"/>
        </w:rPr>
        <w:t>Words intentionally left incomplete to account for various suffixes</w:t>
      </w:r>
    </w:p>
    <w:p w14:paraId="3CB71569" w14:textId="77777777" w:rsidR="00616F41" w:rsidRPr="00BE1414" w:rsidRDefault="00616F41" w:rsidP="00616F41">
      <w:pPr>
        <w:widowControl w:val="0"/>
        <w:ind w:right="4"/>
        <w:rPr>
          <w:rFonts w:cs="Arial"/>
          <w:szCs w:val="20"/>
          <w:lang w:val="en-CA"/>
        </w:rPr>
      </w:pPr>
    </w:p>
    <w:p w14:paraId="56BD25D3" w14:textId="77777777" w:rsidR="00616F41" w:rsidRPr="00BE1414" w:rsidRDefault="00616F41" w:rsidP="00616F41">
      <w:pPr>
        <w:widowControl w:val="0"/>
        <w:ind w:right="4"/>
        <w:rPr>
          <w:rFonts w:cs="Arial"/>
          <w:szCs w:val="20"/>
          <w:lang w:val="en-CA"/>
        </w:rPr>
      </w:pPr>
    </w:p>
    <w:p w14:paraId="3160F0D6" w14:textId="77777777" w:rsidR="00616F41" w:rsidRPr="00BE1414" w:rsidRDefault="00616F41" w:rsidP="00616F41">
      <w:pPr>
        <w:widowControl w:val="0"/>
        <w:ind w:right="4"/>
        <w:rPr>
          <w:rFonts w:cs="Arial"/>
          <w:szCs w:val="20"/>
          <w:lang w:val="en-CA"/>
        </w:rPr>
      </w:pPr>
    </w:p>
    <w:p w14:paraId="6F040BC5" w14:textId="77777777" w:rsidR="00616F41" w:rsidRDefault="00616F41" w:rsidP="00616F41">
      <w:pPr>
        <w:widowControl w:val="0"/>
        <w:ind w:right="4"/>
        <w:rPr>
          <w:rFonts w:cs="Arial"/>
          <w:b/>
          <w:bCs/>
          <w:szCs w:val="20"/>
          <w:lang w:val="en-CA"/>
        </w:rPr>
      </w:pPr>
    </w:p>
    <w:p w14:paraId="09447018" w14:textId="77777777" w:rsidR="00616F41" w:rsidRDefault="00616F41" w:rsidP="00616F41">
      <w:pPr>
        <w:widowControl w:val="0"/>
        <w:ind w:right="4"/>
        <w:rPr>
          <w:rFonts w:cs="Arial"/>
          <w:b/>
          <w:bCs/>
          <w:szCs w:val="20"/>
          <w:lang w:val="en-CA"/>
        </w:rPr>
      </w:pPr>
    </w:p>
    <w:p w14:paraId="218CEF02" w14:textId="77777777" w:rsidR="00616F41" w:rsidRDefault="00616F41" w:rsidP="00616F41">
      <w:pPr>
        <w:widowControl w:val="0"/>
        <w:ind w:right="4"/>
        <w:rPr>
          <w:rFonts w:cs="Arial"/>
          <w:b/>
          <w:bCs/>
          <w:szCs w:val="20"/>
          <w:lang w:val="en-CA"/>
        </w:rPr>
      </w:pPr>
    </w:p>
    <w:p w14:paraId="36B9F299" w14:textId="77777777" w:rsidR="00616F41" w:rsidRDefault="00616F41" w:rsidP="00616F41">
      <w:pPr>
        <w:widowControl w:val="0"/>
        <w:ind w:right="4"/>
        <w:rPr>
          <w:rFonts w:cs="Arial"/>
          <w:b/>
          <w:bCs/>
          <w:szCs w:val="20"/>
          <w:lang w:val="en-CA"/>
        </w:rPr>
      </w:pPr>
    </w:p>
    <w:p w14:paraId="169CAD61" w14:textId="77777777" w:rsidR="00616F41" w:rsidRDefault="00616F41" w:rsidP="00616F41">
      <w:pPr>
        <w:widowControl w:val="0"/>
        <w:ind w:right="4"/>
        <w:rPr>
          <w:rFonts w:cs="Arial"/>
          <w:b/>
          <w:bCs/>
          <w:szCs w:val="20"/>
          <w:lang w:val="en-CA"/>
        </w:rPr>
      </w:pPr>
    </w:p>
    <w:p w14:paraId="13B414E5" w14:textId="77777777" w:rsidR="00616F41" w:rsidRDefault="00616F41" w:rsidP="00616F41">
      <w:pPr>
        <w:widowControl w:val="0"/>
        <w:ind w:right="4"/>
        <w:rPr>
          <w:rFonts w:cs="Arial"/>
          <w:b/>
          <w:bCs/>
          <w:szCs w:val="20"/>
          <w:lang w:val="en-CA"/>
        </w:rPr>
      </w:pPr>
    </w:p>
    <w:p w14:paraId="7E924092" w14:textId="77777777" w:rsidR="00616F41" w:rsidRPr="00BE1414" w:rsidRDefault="00616F41" w:rsidP="00616F41">
      <w:pPr>
        <w:widowControl w:val="0"/>
        <w:ind w:right="4"/>
        <w:rPr>
          <w:rFonts w:cs="Arial"/>
          <w:b/>
          <w:bCs/>
          <w:szCs w:val="20"/>
          <w:lang w:val="en-CA"/>
        </w:rPr>
      </w:pPr>
      <w:r w:rsidRPr="00BE1414">
        <w:rPr>
          <w:rFonts w:cs="Arial"/>
          <w:b/>
          <w:bCs/>
          <w:szCs w:val="20"/>
          <w:lang w:val="en-CA"/>
        </w:rPr>
        <w:lastRenderedPageBreak/>
        <w:t xml:space="preserve">Supplementary Table </w:t>
      </w:r>
      <w:r>
        <w:rPr>
          <w:rFonts w:cs="Arial"/>
          <w:b/>
          <w:bCs/>
          <w:szCs w:val="20"/>
          <w:lang w:val="en-CA"/>
        </w:rPr>
        <w:t>2</w:t>
      </w:r>
      <w:r w:rsidRPr="00BE1414">
        <w:rPr>
          <w:rFonts w:cs="Arial"/>
          <w:b/>
          <w:bCs/>
          <w:szCs w:val="20"/>
          <w:lang w:val="en-CA"/>
        </w:rPr>
        <w:t xml:space="preserve">.2 </w:t>
      </w:r>
      <w:r w:rsidRPr="004E5C53">
        <w:rPr>
          <w:rFonts w:cs="Arial"/>
          <w:szCs w:val="20"/>
          <w:lang w:val="en-CA"/>
        </w:rPr>
        <w:t xml:space="preserve">Codes of signs and symptoms noting change in status indicative of potential terminal </w:t>
      </w:r>
      <w:proofErr w:type="gramStart"/>
      <w:r w:rsidRPr="004E5C53">
        <w:rPr>
          <w:rFonts w:cs="Arial"/>
          <w:szCs w:val="20"/>
          <w:lang w:val="en-CA"/>
        </w:rPr>
        <w:t>decline</w:t>
      </w:r>
      <w:proofErr w:type="gramEnd"/>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088"/>
      </w:tblGrid>
      <w:tr w:rsidR="00616F41" w14:paraId="1C8D690B" w14:textId="77777777" w:rsidTr="003143C2">
        <w:tc>
          <w:tcPr>
            <w:tcW w:w="2263" w:type="dxa"/>
            <w:shd w:val="clear" w:color="auto" w:fill="auto"/>
          </w:tcPr>
          <w:p w14:paraId="4BC427C2" w14:textId="77777777" w:rsidR="00616F41" w:rsidRDefault="00616F41" w:rsidP="003143C2">
            <w:pPr>
              <w:widowControl w:val="0"/>
              <w:ind w:right="4"/>
              <w:rPr>
                <w:rFonts w:cs="Arial"/>
                <w:szCs w:val="20"/>
                <w:lang w:val="en-CA"/>
              </w:rPr>
            </w:pPr>
            <w:r>
              <w:rPr>
                <w:rFonts w:cs="Arial"/>
                <w:szCs w:val="20"/>
                <w:lang w:val="en-CA"/>
              </w:rPr>
              <w:t>Signs and symptoms</w:t>
            </w:r>
          </w:p>
        </w:tc>
        <w:tc>
          <w:tcPr>
            <w:tcW w:w="7088" w:type="dxa"/>
            <w:shd w:val="clear" w:color="auto" w:fill="auto"/>
          </w:tcPr>
          <w:p w14:paraId="3F362DF2" w14:textId="77777777" w:rsidR="00616F41" w:rsidRDefault="00616F41" w:rsidP="003143C2">
            <w:pPr>
              <w:widowControl w:val="0"/>
              <w:ind w:right="4"/>
              <w:rPr>
                <w:rFonts w:cs="Arial"/>
                <w:szCs w:val="20"/>
                <w:lang w:val="en-CA"/>
              </w:rPr>
            </w:pPr>
            <w:r>
              <w:rPr>
                <w:rFonts w:cs="Arial"/>
                <w:szCs w:val="20"/>
                <w:lang w:val="en-CA"/>
              </w:rPr>
              <w:t>Definition with examples extracted from the text</w:t>
            </w:r>
          </w:p>
        </w:tc>
      </w:tr>
      <w:tr w:rsidR="00616F41" w14:paraId="7B3D0043" w14:textId="77777777" w:rsidTr="003143C2">
        <w:tc>
          <w:tcPr>
            <w:tcW w:w="2263" w:type="dxa"/>
            <w:shd w:val="clear" w:color="auto" w:fill="auto"/>
          </w:tcPr>
          <w:p w14:paraId="78039373" w14:textId="77777777" w:rsidR="00616F41" w:rsidRDefault="00616F41" w:rsidP="003143C2">
            <w:pPr>
              <w:widowControl w:val="0"/>
              <w:ind w:right="4"/>
              <w:rPr>
                <w:rFonts w:cs="Arial"/>
                <w:szCs w:val="20"/>
                <w:lang w:val="en-CA"/>
              </w:rPr>
            </w:pPr>
            <w:r>
              <w:rPr>
                <w:rFonts w:cs="Arial"/>
                <w:szCs w:val="20"/>
                <w:lang w:val="en-CA"/>
              </w:rPr>
              <w:t>Nutrition related</w:t>
            </w:r>
          </w:p>
        </w:tc>
        <w:tc>
          <w:tcPr>
            <w:tcW w:w="7088" w:type="dxa"/>
            <w:shd w:val="clear" w:color="auto" w:fill="auto"/>
          </w:tcPr>
          <w:p w14:paraId="3C3C956B" w14:textId="77777777" w:rsidR="00616F41" w:rsidRDefault="00616F41" w:rsidP="003143C2">
            <w:pPr>
              <w:widowControl w:val="0"/>
              <w:ind w:right="4"/>
              <w:rPr>
                <w:rFonts w:cs="Arial"/>
                <w:szCs w:val="20"/>
                <w:lang w:val="en-CA"/>
              </w:rPr>
            </w:pPr>
          </w:p>
        </w:tc>
      </w:tr>
      <w:tr w:rsidR="00616F41" w14:paraId="689014E6" w14:textId="77777777" w:rsidTr="003143C2">
        <w:tc>
          <w:tcPr>
            <w:tcW w:w="2263" w:type="dxa"/>
            <w:shd w:val="clear" w:color="auto" w:fill="auto"/>
          </w:tcPr>
          <w:p w14:paraId="6E3FF4BC" w14:textId="77777777" w:rsidR="00616F41" w:rsidRDefault="00616F41" w:rsidP="003143C2">
            <w:pPr>
              <w:widowControl w:val="0"/>
              <w:ind w:right="4"/>
              <w:rPr>
                <w:rFonts w:cs="Arial"/>
                <w:szCs w:val="20"/>
                <w:lang w:val="en-CA"/>
              </w:rPr>
            </w:pPr>
            <w:r>
              <w:rPr>
                <w:rFonts w:cs="Arial"/>
                <w:szCs w:val="20"/>
                <w:lang w:val="en-CA"/>
              </w:rPr>
              <w:t>Low food/fluid intake</w:t>
            </w:r>
          </w:p>
        </w:tc>
        <w:tc>
          <w:tcPr>
            <w:tcW w:w="7088" w:type="dxa"/>
            <w:shd w:val="clear" w:color="auto" w:fill="auto"/>
          </w:tcPr>
          <w:p w14:paraId="269CCDCE" w14:textId="77777777" w:rsidR="00616F41" w:rsidRDefault="00616F41" w:rsidP="003143C2">
            <w:pPr>
              <w:widowControl w:val="0"/>
              <w:ind w:right="4"/>
              <w:rPr>
                <w:rFonts w:cs="Arial"/>
                <w:szCs w:val="20"/>
                <w:lang w:val="en-CA"/>
              </w:rPr>
            </w:pPr>
            <w:r>
              <w:rPr>
                <w:rFonts w:cs="Arial"/>
                <w:szCs w:val="20"/>
                <w:lang w:val="en-CA"/>
              </w:rPr>
              <w:t>Any indication that the resident’s intake has decreased, e.g., “poor food intake”, “eating has declined over past month”, “poor appetite”</w:t>
            </w:r>
          </w:p>
        </w:tc>
      </w:tr>
      <w:tr w:rsidR="00616F41" w14:paraId="22EC0E32" w14:textId="77777777" w:rsidTr="003143C2">
        <w:tc>
          <w:tcPr>
            <w:tcW w:w="2263" w:type="dxa"/>
            <w:shd w:val="clear" w:color="auto" w:fill="auto"/>
          </w:tcPr>
          <w:p w14:paraId="7A7EBD2D" w14:textId="77777777" w:rsidR="00616F41" w:rsidRDefault="00616F41" w:rsidP="003143C2">
            <w:pPr>
              <w:widowControl w:val="0"/>
              <w:ind w:right="4"/>
              <w:rPr>
                <w:rFonts w:cs="Arial"/>
                <w:szCs w:val="20"/>
                <w:lang w:val="en-CA"/>
              </w:rPr>
            </w:pPr>
            <w:r>
              <w:rPr>
                <w:rFonts w:cs="Arial"/>
                <w:szCs w:val="20"/>
                <w:lang w:val="en-CA"/>
              </w:rPr>
              <w:t>Physical assistance with eating required</w:t>
            </w:r>
          </w:p>
        </w:tc>
        <w:tc>
          <w:tcPr>
            <w:tcW w:w="7088" w:type="dxa"/>
            <w:shd w:val="clear" w:color="auto" w:fill="auto"/>
          </w:tcPr>
          <w:p w14:paraId="6B2C70B0" w14:textId="77777777" w:rsidR="00616F41" w:rsidRDefault="00616F41" w:rsidP="003143C2">
            <w:pPr>
              <w:widowControl w:val="0"/>
              <w:ind w:right="4"/>
              <w:rPr>
                <w:rFonts w:cs="Arial"/>
                <w:szCs w:val="20"/>
                <w:lang w:val="en-CA"/>
              </w:rPr>
            </w:pPr>
            <w:r>
              <w:rPr>
                <w:rFonts w:cs="Arial"/>
                <w:szCs w:val="20"/>
                <w:lang w:val="en-CA"/>
              </w:rPr>
              <w:t xml:space="preserve">Indication that the resident is no longer able to eat independently and requires </w:t>
            </w:r>
            <w:proofErr w:type="gramStart"/>
            <w:r>
              <w:rPr>
                <w:rFonts w:cs="Arial"/>
                <w:szCs w:val="20"/>
                <w:lang w:val="en-CA"/>
              </w:rPr>
              <w:t>help ,</w:t>
            </w:r>
            <w:proofErr w:type="gramEnd"/>
            <w:r>
              <w:rPr>
                <w:rFonts w:cs="Arial"/>
                <w:szCs w:val="20"/>
                <w:lang w:val="en-CA"/>
              </w:rPr>
              <w:t xml:space="preserve"> e.g., “resident is no longer able to feed himself”, “requires ++ cuing/assistance to eat”, “difficulty getting food to mouth”</w:t>
            </w:r>
          </w:p>
        </w:tc>
      </w:tr>
      <w:tr w:rsidR="00616F41" w14:paraId="0797F0ED" w14:textId="77777777" w:rsidTr="003143C2">
        <w:tc>
          <w:tcPr>
            <w:tcW w:w="2263" w:type="dxa"/>
            <w:shd w:val="clear" w:color="auto" w:fill="auto"/>
          </w:tcPr>
          <w:p w14:paraId="54E94A30" w14:textId="77777777" w:rsidR="00616F41" w:rsidRDefault="00616F41" w:rsidP="003143C2">
            <w:pPr>
              <w:widowControl w:val="0"/>
              <w:ind w:right="4"/>
              <w:rPr>
                <w:rFonts w:cs="Arial"/>
                <w:szCs w:val="20"/>
                <w:lang w:val="en-CA"/>
              </w:rPr>
            </w:pPr>
            <w:r>
              <w:rPr>
                <w:rFonts w:cs="Arial"/>
                <w:szCs w:val="20"/>
                <w:lang w:val="en-CA"/>
              </w:rPr>
              <w:t>Swallowing difficulty</w:t>
            </w:r>
          </w:p>
        </w:tc>
        <w:tc>
          <w:tcPr>
            <w:tcW w:w="7088" w:type="dxa"/>
            <w:shd w:val="clear" w:color="auto" w:fill="auto"/>
          </w:tcPr>
          <w:p w14:paraId="14CFEBDB" w14:textId="77777777" w:rsidR="00616F41" w:rsidRDefault="00616F41" w:rsidP="003143C2">
            <w:pPr>
              <w:widowControl w:val="0"/>
              <w:ind w:right="4"/>
              <w:rPr>
                <w:rFonts w:cs="Arial"/>
                <w:szCs w:val="20"/>
                <w:lang w:val="en-CA"/>
              </w:rPr>
            </w:pPr>
            <w:r>
              <w:rPr>
                <w:rFonts w:cs="Arial"/>
                <w:szCs w:val="20"/>
                <w:lang w:val="en-CA"/>
              </w:rPr>
              <w:t xml:space="preserve">Swallowing difficulty, choking when eating, or formal diagnosis of dysphagia, e.g., “difficulty swallowing”, “dysphagia” </w:t>
            </w:r>
          </w:p>
        </w:tc>
      </w:tr>
      <w:tr w:rsidR="00616F41" w14:paraId="3CFC9ABA" w14:textId="77777777" w:rsidTr="003143C2">
        <w:tc>
          <w:tcPr>
            <w:tcW w:w="2263" w:type="dxa"/>
            <w:shd w:val="clear" w:color="auto" w:fill="auto"/>
          </w:tcPr>
          <w:p w14:paraId="6B0268B2" w14:textId="77777777" w:rsidR="00616F41" w:rsidRDefault="00616F41" w:rsidP="003143C2">
            <w:pPr>
              <w:widowControl w:val="0"/>
              <w:ind w:right="4"/>
              <w:rPr>
                <w:rFonts w:cs="Arial"/>
                <w:szCs w:val="20"/>
                <w:lang w:val="en-CA"/>
              </w:rPr>
            </w:pPr>
            <w:r>
              <w:rPr>
                <w:rFonts w:cs="Arial"/>
                <w:szCs w:val="20"/>
                <w:lang w:val="en-CA"/>
              </w:rPr>
              <w:t>Food refusal</w:t>
            </w:r>
          </w:p>
        </w:tc>
        <w:tc>
          <w:tcPr>
            <w:tcW w:w="7088" w:type="dxa"/>
            <w:shd w:val="clear" w:color="auto" w:fill="auto"/>
          </w:tcPr>
          <w:p w14:paraId="56776222" w14:textId="77777777" w:rsidR="00616F41" w:rsidRDefault="00616F41" w:rsidP="003143C2">
            <w:pPr>
              <w:widowControl w:val="0"/>
              <w:ind w:right="4"/>
              <w:rPr>
                <w:rFonts w:cs="Arial"/>
                <w:szCs w:val="20"/>
                <w:lang w:val="en-CA"/>
              </w:rPr>
            </w:pPr>
            <w:r>
              <w:rPr>
                <w:rFonts w:cs="Arial"/>
                <w:szCs w:val="20"/>
                <w:lang w:val="en-CA"/>
              </w:rPr>
              <w:t>Resident refuses to eat or attend one or more meals, resistant to eating, e.g., “often refuses to eat at all”, “keeps resisting/refusing to eat”, “missing more meals”, “several meals refused”, “resistant to eating and drinking”, “routinely declining food”</w:t>
            </w:r>
          </w:p>
        </w:tc>
      </w:tr>
      <w:tr w:rsidR="00616F41" w14:paraId="2CDA07E5" w14:textId="77777777" w:rsidTr="003143C2">
        <w:tc>
          <w:tcPr>
            <w:tcW w:w="2263" w:type="dxa"/>
            <w:shd w:val="clear" w:color="auto" w:fill="auto"/>
          </w:tcPr>
          <w:p w14:paraId="41C8AC62" w14:textId="77777777" w:rsidR="00616F41" w:rsidRDefault="00616F41" w:rsidP="003143C2">
            <w:pPr>
              <w:widowControl w:val="0"/>
              <w:ind w:right="4"/>
              <w:rPr>
                <w:rFonts w:cs="Arial"/>
                <w:szCs w:val="20"/>
                <w:lang w:val="en-CA"/>
              </w:rPr>
            </w:pPr>
            <w:r>
              <w:rPr>
                <w:rFonts w:cs="Arial"/>
                <w:szCs w:val="20"/>
                <w:lang w:val="en-CA"/>
              </w:rPr>
              <w:t>GI symptoms</w:t>
            </w:r>
          </w:p>
        </w:tc>
        <w:tc>
          <w:tcPr>
            <w:tcW w:w="7088" w:type="dxa"/>
            <w:shd w:val="clear" w:color="auto" w:fill="auto"/>
          </w:tcPr>
          <w:p w14:paraId="4A8A0B23" w14:textId="77777777" w:rsidR="00616F41" w:rsidRDefault="00616F41" w:rsidP="003143C2">
            <w:pPr>
              <w:widowControl w:val="0"/>
              <w:ind w:right="4"/>
              <w:rPr>
                <w:rFonts w:cs="Arial"/>
                <w:szCs w:val="20"/>
                <w:lang w:val="en-CA"/>
              </w:rPr>
            </w:pPr>
            <w:r>
              <w:rPr>
                <w:rFonts w:cs="Arial"/>
                <w:szCs w:val="20"/>
                <w:lang w:val="en-CA"/>
              </w:rPr>
              <w:t>Any issues or irregularity with the gastrointestinal system, e.g., “sore stomach”, “coffee ground emesis”, “watery stools”, “gastric outlet obstruction”, “rectal bleeding”</w:t>
            </w:r>
          </w:p>
        </w:tc>
      </w:tr>
      <w:tr w:rsidR="00616F41" w14:paraId="799326FE" w14:textId="77777777" w:rsidTr="003143C2">
        <w:tc>
          <w:tcPr>
            <w:tcW w:w="2263" w:type="dxa"/>
            <w:shd w:val="clear" w:color="auto" w:fill="auto"/>
          </w:tcPr>
          <w:p w14:paraId="436DAF49" w14:textId="77777777" w:rsidR="00616F41" w:rsidRDefault="00616F41" w:rsidP="003143C2">
            <w:pPr>
              <w:widowControl w:val="0"/>
              <w:ind w:right="4"/>
              <w:rPr>
                <w:rFonts w:cs="Arial"/>
                <w:szCs w:val="20"/>
                <w:lang w:val="en-CA"/>
              </w:rPr>
            </w:pPr>
            <w:r>
              <w:rPr>
                <w:rFonts w:cs="Arial"/>
                <w:szCs w:val="20"/>
                <w:lang w:val="en-CA"/>
              </w:rPr>
              <w:t>Poor wound healing</w:t>
            </w:r>
          </w:p>
        </w:tc>
        <w:tc>
          <w:tcPr>
            <w:tcW w:w="7088" w:type="dxa"/>
            <w:shd w:val="clear" w:color="auto" w:fill="auto"/>
          </w:tcPr>
          <w:p w14:paraId="61EA6E37" w14:textId="77777777" w:rsidR="00616F41" w:rsidRDefault="00616F41" w:rsidP="003143C2">
            <w:pPr>
              <w:widowControl w:val="0"/>
              <w:ind w:right="4"/>
              <w:rPr>
                <w:rFonts w:cs="Arial"/>
                <w:szCs w:val="20"/>
                <w:lang w:val="en-CA"/>
              </w:rPr>
            </w:pPr>
            <w:r>
              <w:rPr>
                <w:rFonts w:cs="Arial"/>
                <w:szCs w:val="20"/>
                <w:lang w:val="en-CA"/>
              </w:rPr>
              <w:t>Abnormal and notable skin conditions, e.g., “open and rapidly progressing wound on coccyx”, “worsening skin condition”, “pressure ulcers developing”, “open cancerous wound on hand that will not heal”</w:t>
            </w:r>
          </w:p>
        </w:tc>
      </w:tr>
      <w:tr w:rsidR="00616F41" w14:paraId="2917D4D5" w14:textId="77777777" w:rsidTr="003143C2">
        <w:tc>
          <w:tcPr>
            <w:tcW w:w="2263" w:type="dxa"/>
            <w:shd w:val="clear" w:color="auto" w:fill="auto"/>
          </w:tcPr>
          <w:p w14:paraId="1D4BD783" w14:textId="77777777" w:rsidR="00616F41" w:rsidRDefault="00616F41" w:rsidP="003143C2">
            <w:pPr>
              <w:widowControl w:val="0"/>
              <w:ind w:right="4"/>
              <w:rPr>
                <w:rFonts w:cs="Arial"/>
                <w:szCs w:val="20"/>
                <w:lang w:val="en-CA"/>
              </w:rPr>
            </w:pPr>
            <w:r>
              <w:rPr>
                <w:rFonts w:cs="Arial"/>
                <w:szCs w:val="20"/>
                <w:lang w:val="en-CA"/>
              </w:rPr>
              <w:t>Weight loss</w:t>
            </w:r>
          </w:p>
        </w:tc>
        <w:tc>
          <w:tcPr>
            <w:tcW w:w="7088" w:type="dxa"/>
            <w:shd w:val="clear" w:color="auto" w:fill="auto"/>
          </w:tcPr>
          <w:p w14:paraId="01976C06" w14:textId="77777777" w:rsidR="00616F41" w:rsidRDefault="00616F41" w:rsidP="003143C2">
            <w:pPr>
              <w:widowControl w:val="0"/>
              <w:ind w:right="4"/>
              <w:rPr>
                <w:rFonts w:cs="Arial"/>
                <w:szCs w:val="20"/>
                <w:lang w:val="en-CA"/>
              </w:rPr>
            </w:pPr>
            <w:r>
              <w:rPr>
                <w:rFonts w:cs="Arial"/>
                <w:szCs w:val="20"/>
                <w:lang w:val="en-CA"/>
              </w:rPr>
              <w:t>Noted decreased weight from a previous measurement, e.g., “decreased weight”, “weight loss”, “10% weight loss in past year”</w:t>
            </w:r>
          </w:p>
        </w:tc>
      </w:tr>
      <w:tr w:rsidR="00616F41" w14:paraId="197971CD" w14:textId="77777777" w:rsidTr="003143C2">
        <w:tc>
          <w:tcPr>
            <w:tcW w:w="2263" w:type="dxa"/>
            <w:shd w:val="clear" w:color="auto" w:fill="auto"/>
          </w:tcPr>
          <w:p w14:paraId="124CC121" w14:textId="77777777" w:rsidR="00616F41" w:rsidRDefault="00616F41" w:rsidP="003143C2">
            <w:pPr>
              <w:widowControl w:val="0"/>
              <w:ind w:right="4"/>
              <w:rPr>
                <w:rFonts w:cs="Arial"/>
                <w:szCs w:val="20"/>
                <w:lang w:val="en-CA"/>
              </w:rPr>
            </w:pPr>
          </w:p>
        </w:tc>
        <w:tc>
          <w:tcPr>
            <w:tcW w:w="7088" w:type="dxa"/>
            <w:shd w:val="clear" w:color="auto" w:fill="auto"/>
          </w:tcPr>
          <w:p w14:paraId="2599D47C" w14:textId="77777777" w:rsidR="00616F41" w:rsidRDefault="00616F41" w:rsidP="003143C2">
            <w:pPr>
              <w:widowControl w:val="0"/>
              <w:ind w:right="4"/>
              <w:rPr>
                <w:rFonts w:cs="Arial"/>
                <w:szCs w:val="20"/>
                <w:lang w:val="en-CA"/>
              </w:rPr>
            </w:pPr>
          </w:p>
        </w:tc>
      </w:tr>
      <w:tr w:rsidR="00616F41" w14:paraId="1C944722" w14:textId="77777777" w:rsidTr="003143C2">
        <w:tc>
          <w:tcPr>
            <w:tcW w:w="2263" w:type="dxa"/>
            <w:shd w:val="clear" w:color="auto" w:fill="auto"/>
          </w:tcPr>
          <w:p w14:paraId="630F9203" w14:textId="77777777" w:rsidR="00616F41" w:rsidRDefault="00616F41" w:rsidP="003143C2">
            <w:pPr>
              <w:widowControl w:val="0"/>
              <w:ind w:right="4"/>
              <w:rPr>
                <w:rFonts w:cs="Arial"/>
                <w:szCs w:val="20"/>
                <w:lang w:val="en-CA"/>
              </w:rPr>
            </w:pPr>
            <w:r>
              <w:rPr>
                <w:rFonts w:cs="Arial"/>
                <w:szCs w:val="20"/>
                <w:lang w:val="en-CA"/>
              </w:rPr>
              <w:t xml:space="preserve">Non-nutrition </w:t>
            </w:r>
          </w:p>
        </w:tc>
        <w:tc>
          <w:tcPr>
            <w:tcW w:w="7088" w:type="dxa"/>
            <w:shd w:val="clear" w:color="auto" w:fill="auto"/>
          </w:tcPr>
          <w:p w14:paraId="676158B0" w14:textId="77777777" w:rsidR="00616F41" w:rsidRDefault="00616F41" w:rsidP="003143C2">
            <w:pPr>
              <w:widowControl w:val="0"/>
              <w:ind w:right="4"/>
              <w:rPr>
                <w:rFonts w:cs="Arial"/>
                <w:szCs w:val="20"/>
                <w:lang w:val="en-CA"/>
              </w:rPr>
            </w:pPr>
          </w:p>
        </w:tc>
      </w:tr>
      <w:tr w:rsidR="00616F41" w14:paraId="32EFF647" w14:textId="77777777" w:rsidTr="003143C2">
        <w:tc>
          <w:tcPr>
            <w:tcW w:w="2263" w:type="dxa"/>
            <w:shd w:val="clear" w:color="auto" w:fill="auto"/>
          </w:tcPr>
          <w:p w14:paraId="7F79AC1A" w14:textId="77777777" w:rsidR="00616F41" w:rsidRDefault="00616F41" w:rsidP="003143C2">
            <w:pPr>
              <w:widowControl w:val="0"/>
              <w:ind w:right="4"/>
              <w:rPr>
                <w:rFonts w:cs="Arial"/>
                <w:szCs w:val="20"/>
                <w:lang w:val="en-CA"/>
              </w:rPr>
            </w:pPr>
            <w:r>
              <w:rPr>
                <w:rFonts w:cs="Arial"/>
                <w:szCs w:val="20"/>
                <w:lang w:val="en-CA"/>
              </w:rPr>
              <w:t>Abnormal lab results</w:t>
            </w:r>
          </w:p>
        </w:tc>
        <w:tc>
          <w:tcPr>
            <w:tcW w:w="7088" w:type="dxa"/>
            <w:shd w:val="clear" w:color="auto" w:fill="auto"/>
          </w:tcPr>
          <w:p w14:paraId="79CC6FF5" w14:textId="77777777" w:rsidR="00616F41" w:rsidRDefault="00616F41" w:rsidP="003143C2">
            <w:pPr>
              <w:widowControl w:val="0"/>
              <w:ind w:right="4"/>
              <w:rPr>
                <w:rFonts w:cs="Arial"/>
                <w:szCs w:val="20"/>
                <w:lang w:val="en-CA"/>
              </w:rPr>
            </w:pPr>
            <w:r>
              <w:rPr>
                <w:rFonts w:cs="Arial"/>
                <w:szCs w:val="20"/>
                <w:lang w:val="en-CA"/>
              </w:rPr>
              <w:t xml:space="preserve">Irregular blood or urine samples, e.g., “profound anemia”, “low hemoglobin”, “sodium levels increased”, “hematuria”, “high blood sugars”, “recent blood </w:t>
            </w:r>
            <w:r>
              <w:rPr>
                <w:rFonts w:cs="Arial"/>
                <w:szCs w:val="20"/>
                <w:lang w:val="en-CA"/>
              </w:rPr>
              <w:lastRenderedPageBreak/>
              <w:t>work indicated malnutrition”</w:t>
            </w:r>
          </w:p>
        </w:tc>
      </w:tr>
      <w:tr w:rsidR="00616F41" w14:paraId="4380EA97" w14:textId="77777777" w:rsidTr="003143C2">
        <w:tc>
          <w:tcPr>
            <w:tcW w:w="2263" w:type="dxa"/>
            <w:shd w:val="clear" w:color="auto" w:fill="auto"/>
          </w:tcPr>
          <w:p w14:paraId="3AC7C767" w14:textId="77777777" w:rsidR="00616F41" w:rsidRDefault="00616F41" w:rsidP="003143C2">
            <w:pPr>
              <w:widowControl w:val="0"/>
              <w:ind w:right="4"/>
              <w:rPr>
                <w:rFonts w:cs="Arial"/>
                <w:szCs w:val="20"/>
                <w:lang w:val="en-CA"/>
              </w:rPr>
            </w:pPr>
            <w:r>
              <w:rPr>
                <w:rFonts w:cs="Arial"/>
                <w:szCs w:val="20"/>
                <w:lang w:val="en-CA"/>
              </w:rPr>
              <w:lastRenderedPageBreak/>
              <w:t>Edema</w:t>
            </w:r>
          </w:p>
        </w:tc>
        <w:tc>
          <w:tcPr>
            <w:tcW w:w="7088" w:type="dxa"/>
            <w:shd w:val="clear" w:color="auto" w:fill="auto"/>
          </w:tcPr>
          <w:p w14:paraId="1D398A72" w14:textId="77777777" w:rsidR="00616F41" w:rsidRDefault="00616F41" w:rsidP="003143C2">
            <w:pPr>
              <w:widowControl w:val="0"/>
              <w:ind w:right="4"/>
              <w:rPr>
                <w:rFonts w:cs="Arial"/>
                <w:szCs w:val="20"/>
                <w:lang w:val="en-CA"/>
              </w:rPr>
            </w:pPr>
            <w:r>
              <w:rPr>
                <w:rFonts w:cs="Arial"/>
                <w:szCs w:val="20"/>
                <w:lang w:val="en-CA"/>
              </w:rPr>
              <w:t>Indication of swelling or fluid retention, e.g., “swelling in face”, “fluid in abdomen”, “diagnosis of pulmonary oedema”, “assessed lower legs, remain edematous”, “fluid retention due to renal insufficiency”</w:t>
            </w:r>
          </w:p>
        </w:tc>
      </w:tr>
      <w:tr w:rsidR="00616F41" w14:paraId="1BEEB13F" w14:textId="77777777" w:rsidTr="003143C2">
        <w:tc>
          <w:tcPr>
            <w:tcW w:w="2263" w:type="dxa"/>
            <w:shd w:val="clear" w:color="auto" w:fill="auto"/>
          </w:tcPr>
          <w:p w14:paraId="43B47F04" w14:textId="77777777" w:rsidR="00616F41" w:rsidRDefault="00616F41" w:rsidP="003143C2">
            <w:pPr>
              <w:widowControl w:val="0"/>
              <w:ind w:right="4"/>
              <w:rPr>
                <w:rFonts w:cs="Arial"/>
                <w:szCs w:val="20"/>
                <w:lang w:val="en-CA"/>
              </w:rPr>
            </w:pPr>
            <w:r>
              <w:rPr>
                <w:rFonts w:cs="Arial"/>
                <w:szCs w:val="20"/>
                <w:lang w:val="en-CA"/>
              </w:rPr>
              <w:t>Lethargy</w:t>
            </w:r>
          </w:p>
        </w:tc>
        <w:tc>
          <w:tcPr>
            <w:tcW w:w="7088" w:type="dxa"/>
            <w:shd w:val="clear" w:color="auto" w:fill="auto"/>
          </w:tcPr>
          <w:p w14:paraId="7E79A653" w14:textId="77777777" w:rsidR="00616F41" w:rsidRDefault="00616F41" w:rsidP="003143C2">
            <w:pPr>
              <w:widowControl w:val="0"/>
              <w:ind w:right="4"/>
              <w:rPr>
                <w:rFonts w:cs="Arial"/>
                <w:szCs w:val="20"/>
                <w:lang w:val="en-CA"/>
              </w:rPr>
            </w:pPr>
            <w:r>
              <w:rPr>
                <w:rFonts w:cs="Arial"/>
                <w:szCs w:val="20"/>
                <w:lang w:val="en-CA"/>
              </w:rPr>
              <w:t>Indication that the resident has experienced a decrease in energy, e.g., “increasingly lethargic”, “fatigue”, “resident remains in bed”, “too tired to come to meals”, “longer periods sleeping”, “fatigues quickly”, “very sleepy”, “less energy”</w:t>
            </w:r>
          </w:p>
        </w:tc>
      </w:tr>
      <w:tr w:rsidR="00616F41" w14:paraId="4E6437E5" w14:textId="77777777" w:rsidTr="003143C2">
        <w:tc>
          <w:tcPr>
            <w:tcW w:w="2263" w:type="dxa"/>
            <w:shd w:val="clear" w:color="auto" w:fill="auto"/>
          </w:tcPr>
          <w:p w14:paraId="2F12715D" w14:textId="77777777" w:rsidR="00616F41" w:rsidRDefault="00616F41" w:rsidP="003143C2">
            <w:pPr>
              <w:widowControl w:val="0"/>
              <w:ind w:right="4"/>
              <w:rPr>
                <w:rFonts w:cs="Arial"/>
                <w:szCs w:val="20"/>
                <w:lang w:val="en-CA"/>
              </w:rPr>
            </w:pPr>
            <w:r>
              <w:rPr>
                <w:rFonts w:cs="Arial"/>
                <w:szCs w:val="20"/>
                <w:lang w:val="en-CA"/>
              </w:rPr>
              <w:t>General decline</w:t>
            </w:r>
          </w:p>
        </w:tc>
        <w:tc>
          <w:tcPr>
            <w:tcW w:w="7088" w:type="dxa"/>
            <w:shd w:val="clear" w:color="auto" w:fill="auto"/>
          </w:tcPr>
          <w:p w14:paraId="7193CE74" w14:textId="77777777" w:rsidR="00616F41" w:rsidRDefault="00616F41" w:rsidP="003143C2">
            <w:pPr>
              <w:widowControl w:val="0"/>
              <w:ind w:right="4"/>
              <w:rPr>
                <w:rFonts w:cs="Arial"/>
                <w:szCs w:val="20"/>
                <w:lang w:val="en-CA"/>
              </w:rPr>
            </w:pPr>
            <w:r>
              <w:rPr>
                <w:rFonts w:cs="Arial"/>
                <w:szCs w:val="20"/>
                <w:lang w:val="en-CA"/>
              </w:rPr>
              <w:t>Unspecified deterioration of condition e.g., “overall decline”, “overall deterioration”, “decline over past several months”, “feeling generally unwell”, “decline in condition”, “overall poor”, “frail state”, “more support required”</w:t>
            </w:r>
          </w:p>
        </w:tc>
      </w:tr>
      <w:tr w:rsidR="00616F41" w14:paraId="152B9DFF" w14:textId="77777777" w:rsidTr="003143C2">
        <w:tc>
          <w:tcPr>
            <w:tcW w:w="2263" w:type="dxa"/>
            <w:shd w:val="clear" w:color="auto" w:fill="auto"/>
          </w:tcPr>
          <w:p w14:paraId="75C11A7D" w14:textId="77777777" w:rsidR="00616F41" w:rsidRDefault="00616F41" w:rsidP="003143C2">
            <w:pPr>
              <w:widowControl w:val="0"/>
              <w:ind w:right="4"/>
              <w:rPr>
                <w:rFonts w:cs="Arial"/>
                <w:szCs w:val="20"/>
                <w:lang w:val="en-CA"/>
              </w:rPr>
            </w:pPr>
            <w:r>
              <w:rPr>
                <w:rFonts w:cs="Arial"/>
                <w:szCs w:val="20"/>
                <w:lang w:val="en-CA"/>
              </w:rPr>
              <w:t>Cognitive decline</w:t>
            </w:r>
          </w:p>
        </w:tc>
        <w:tc>
          <w:tcPr>
            <w:tcW w:w="7088" w:type="dxa"/>
            <w:shd w:val="clear" w:color="auto" w:fill="auto"/>
          </w:tcPr>
          <w:p w14:paraId="0C22267F" w14:textId="77777777" w:rsidR="00616F41" w:rsidRDefault="00616F41" w:rsidP="003143C2">
            <w:pPr>
              <w:widowControl w:val="0"/>
              <w:ind w:right="4"/>
              <w:rPr>
                <w:rFonts w:cs="Arial"/>
                <w:szCs w:val="20"/>
                <w:lang w:val="en-CA"/>
              </w:rPr>
            </w:pPr>
            <w:r>
              <w:rPr>
                <w:rFonts w:cs="Arial"/>
                <w:szCs w:val="20"/>
                <w:lang w:val="en-CA"/>
              </w:rPr>
              <w:t>Any report of change in cognition, e.g., “cognitive deterioration”, “experiencing confusion”, “increased CPS [cognitive performance scale] score”, “difficulties appropriately responding to environment”, “complications given cognitive state”, “diagnosis of dementia”, “continued decline in mentation”,</w:t>
            </w:r>
          </w:p>
        </w:tc>
      </w:tr>
      <w:tr w:rsidR="00616F41" w14:paraId="0D05CAD3" w14:textId="77777777" w:rsidTr="003143C2">
        <w:tc>
          <w:tcPr>
            <w:tcW w:w="2263" w:type="dxa"/>
            <w:shd w:val="clear" w:color="auto" w:fill="auto"/>
          </w:tcPr>
          <w:p w14:paraId="4558FA88" w14:textId="77777777" w:rsidR="00616F41" w:rsidRDefault="00616F41" w:rsidP="003143C2">
            <w:pPr>
              <w:widowControl w:val="0"/>
              <w:ind w:right="4"/>
              <w:rPr>
                <w:rFonts w:cs="Arial"/>
                <w:szCs w:val="20"/>
                <w:lang w:val="en-CA"/>
              </w:rPr>
            </w:pPr>
            <w:r>
              <w:rPr>
                <w:rFonts w:cs="Arial"/>
                <w:szCs w:val="20"/>
                <w:lang w:val="en-CA"/>
              </w:rPr>
              <w:t>Delirium</w:t>
            </w:r>
          </w:p>
        </w:tc>
        <w:tc>
          <w:tcPr>
            <w:tcW w:w="7088" w:type="dxa"/>
            <w:shd w:val="clear" w:color="auto" w:fill="auto"/>
          </w:tcPr>
          <w:p w14:paraId="01900468" w14:textId="77777777" w:rsidR="00616F41" w:rsidRDefault="00616F41" w:rsidP="003143C2">
            <w:pPr>
              <w:widowControl w:val="0"/>
              <w:ind w:right="4"/>
              <w:rPr>
                <w:rFonts w:cs="Arial"/>
                <w:szCs w:val="20"/>
                <w:lang w:val="en-CA"/>
              </w:rPr>
            </w:pPr>
            <w:r>
              <w:rPr>
                <w:rFonts w:cs="Arial"/>
                <w:szCs w:val="20"/>
                <w:lang w:val="en-CA"/>
              </w:rPr>
              <w:t>Report of delirium specifically, e.g., “possible palliative delirium”, “delirious”</w:t>
            </w:r>
          </w:p>
        </w:tc>
      </w:tr>
      <w:tr w:rsidR="00616F41" w14:paraId="7F396EBC" w14:textId="77777777" w:rsidTr="003143C2">
        <w:tc>
          <w:tcPr>
            <w:tcW w:w="2263" w:type="dxa"/>
            <w:shd w:val="clear" w:color="auto" w:fill="auto"/>
          </w:tcPr>
          <w:p w14:paraId="3242A73E" w14:textId="77777777" w:rsidR="00616F41" w:rsidRDefault="00616F41" w:rsidP="003143C2">
            <w:pPr>
              <w:widowControl w:val="0"/>
              <w:ind w:right="4"/>
              <w:rPr>
                <w:rFonts w:cs="Arial"/>
                <w:szCs w:val="20"/>
                <w:lang w:val="en-CA"/>
              </w:rPr>
            </w:pPr>
            <w:r>
              <w:rPr>
                <w:rFonts w:cs="Arial"/>
                <w:szCs w:val="20"/>
                <w:lang w:val="en-CA"/>
              </w:rPr>
              <w:t>Mental health issue</w:t>
            </w:r>
          </w:p>
        </w:tc>
        <w:tc>
          <w:tcPr>
            <w:tcW w:w="7088" w:type="dxa"/>
            <w:shd w:val="clear" w:color="auto" w:fill="auto"/>
          </w:tcPr>
          <w:p w14:paraId="4216C968" w14:textId="77777777" w:rsidR="00616F41" w:rsidRDefault="00616F41" w:rsidP="003143C2">
            <w:pPr>
              <w:widowControl w:val="0"/>
              <w:ind w:right="4"/>
              <w:rPr>
                <w:rFonts w:cs="Arial"/>
                <w:szCs w:val="20"/>
                <w:lang w:val="en-CA"/>
              </w:rPr>
            </w:pPr>
            <w:r>
              <w:rPr>
                <w:rFonts w:cs="Arial"/>
                <w:szCs w:val="20"/>
                <w:lang w:val="en-CA"/>
              </w:rPr>
              <w:t>Any issues with mental health, e.g., “anxiety”, “restless”, “agitated behaviours”, “resistive to care, wandering, insomnia”, “depressed”</w:t>
            </w:r>
          </w:p>
        </w:tc>
      </w:tr>
      <w:tr w:rsidR="00616F41" w14:paraId="3CB257BC" w14:textId="77777777" w:rsidTr="003143C2">
        <w:tc>
          <w:tcPr>
            <w:tcW w:w="2263" w:type="dxa"/>
            <w:shd w:val="clear" w:color="auto" w:fill="auto"/>
          </w:tcPr>
          <w:p w14:paraId="595A239F" w14:textId="77777777" w:rsidR="00616F41" w:rsidRDefault="00616F41" w:rsidP="003143C2">
            <w:pPr>
              <w:widowControl w:val="0"/>
              <w:ind w:right="4"/>
              <w:rPr>
                <w:rFonts w:cs="Arial"/>
                <w:szCs w:val="20"/>
                <w:lang w:val="en-CA"/>
              </w:rPr>
            </w:pPr>
            <w:r>
              <w:rPr>
                <w:rFonts w:cs="Arial"/>
                <w:szCs w:val="20"/>
                <w:lang w:val="en-CA"/>
              </w:rPr>
              <w:t>Pain</w:t>
            </w:r>
          </w:p>
        </w:tc>
        <w:tc>
          <w:tcPr>
            <w:tcW w:w="7088" w:type="dxa"/>
            <w:shd w:val="clear" w:color="auto" w:fill="auto"/>
          </w:tcPr>
          <w:p w14:paraId="7215783B" w14:textId="76E435DC" w:rsidR="00616F41" w:rsidRDefault="00616F41" w:rsidP="003143C2">
            <w:pPr>
              <w:widowControl w:val="0"/>
              <w:ind w:right="4"/>
              <w:rPr>
                <w:rFonts w:cs="Arial"/>
                <w:szCs w:val="20"/>
                <w:lang w:val="en-CA"/>
              </w:rPr>
            </w:pPr>
            <w:r>
              <w:rPr>
                <w:rFonts w:cs="Arial"/>
                <w:szCs w:val="20"/>
                <w:lang w:val="en-CA"/>
              </w:rPr>
              <w:t xml:space="preserve">Any signs, complaint, or management of pain, e.g., “family informed of increased </w:t>
            </w:r>
            <w:proofErr w:type="spellStart"/>
            <w:r w:rsidR="00595F93">
              <w:rPr>
                <w:rFonts w:cs="Arial"/>
                <w:szCs w:val="20"/>
                <w:lang w:val="en-CA"/>
              </w:rPr>
              <w:t>D</w:t>
            </w:r>
            <w:r>
              <w:rPr>
                <w:rFonts w:cs="Arial"/>
                <w:szCs w:val="20"/>
                <w:lang w:val="en-CA"/>
              </w:rPr>
              <w:t>ilaudid</w:t>
            </w:r>
            <w:proofErr w:type="spellEnd"/>
            <w:r>
              <w:rPr>
                <w:rFonts w:cs="Arial"/>
                <w:szCs w:val="20"/>
                <w:lang w:val="en-CA"/>
              </w:rPr>
              <w:t xml:space="preserve"> for pain”, “mouth/face/jaw pain”, “experiencing more pain”, “signs of pain”, “pain meds initiated for resident moaning” </w:t>
            </w:r>
          </w:p>
        </w:tc>
      </w:tr>
      <w:tr w:rsidR="00616F41" w14:paraId="7821D119" w14:textId="77777777" w:rsidTr="003143C2">
        <w:tc>
          <w:tcPr>
            <w:tcW w:w="2263" w:type="dxa"/>
            <w:shd w:val="clear" w:color="auto" w:fill="auto"/>
          </w:tcPr>
          <w:p w14:paraId="20DC9B25" w14:textId="77777777" w:rsidR="00616F41" w:rsidRDefault="00616F41" w:rsidP="003143C2">
            <w:pPr>
              <w:widowControl w:val="0"/>
              <w:ind w:right="4"/>
              <w:rPr>
                <w:rFonts w:cs="Arial"/>
                <w:szCs w:val="20"/>
                <w:lang w:val="en-CA"/>
              </w:rPr>
            </w:pPr>
            <w:r>
              <w:rPr>
                <w:rFonts w:cs="Arial"/>
                <w:szCs w:val="20"/>
                <w:lang w:val="en-CA"/>
              </w:rPr>
              <w:t>Social withdrawal</w:t>
            </w:r>
          </w:p>
        </w:tc>
        <w:tc>
          <w:tcPr>
            <w:tcW w:w="7088" w:type="dxa"/>
            <w:shd w:val="clear" w:color="auto" w:fill="auto"/>
          </w:tcPr>
          <w:p w14:paraId="4A3897BC" w14:textId="77777777" w:rsidR="00616F41" w:rsidRDefault="00616F41" w:rsidP="003143C2">
            <w:pPr>
              <w:widowControl w:val="0"/>
              <w:ind w:right="4"/>
              <w:rPr>
                <w:rFonts w:cs="Arial"/>
                <w:szCs w:val="20"/>
                <w:lang w:val="en-CA"/>
              </w:rPr>
            </w:pPr>
            <w:r>
              <w:rPr>
                <w:rFonts w:cs="Arial"/>
                <w:szCs w:val="20"/>
                <w:lang w:val="en-CA"/>
              </w:rPr>
              <w:t xml:space="preserve">Note that resident is less engaged in the social life of the home, e.g., “little conversing”, “less engaged in environment”, “not as bright or communicative”, “withdrawn from social life, rarely participates in activities or 1:1 </w:t>
            </w:r>
            <w:proofErr w:type="gramStart"/>
            <w:r>
              <w:rPr>
                <w:rFonts w:cs="Arial"/>
                <w:szCs w:val="20"/>
                <w:lang w:val="en-CA"/>
              </w:rPr>
              <w:t>visits</w:t>
            </w:r>
            <w:proofErr w:type="gramEnd"/>
            <w:r>
              <w:rPr>
                <w:rFonts w:cs="Arial"/>
                <w:szCs w:val="20"/>
                <w:lang w:val="en-CA"/>
              </w:rPr>
              <w:t>”, “seems resident has given up”</w:t>
            </w:r>
          </w:p>
        </w:tc>
      </w:tr>
      <w:tr w:rsidR="00616F41" w14:paraId="18C7EDE5" w14:textId="77777777" w:rsidTr="003143C2">
        <w:tc>
          <w:tcPr>
            <w:tcW w:w="2263" w:type="dxa"/>
            <w:shd w:val="clear" w:color="auto" w:fill="auto"/>
          </w:tcPr>
          <w:p w14:paraId="445FA910" w14:textId="77777777" w:rsidR="00616F41" w:rsidRDefault="00616F41" w:rsidP="003143C2">
            <w:pPr>
              <w:widowControl w:val="0"/>
              <w:ind w:right="4"/>
              <w:rPr>
                <w:rFonts w:cs="Arial"/>
                <w:szCs w:val="20"/>
                <w:lang w:val="en-CA"/>
              </w:rPr>
            </w:pPr>
            <w:r>
              <w:rPr>
                <w:rFonts w:cs="Arial"/>
                <w:szCs w:val="20"/>
                <w:lang w:val="en-CA"/>
              </w:rPr>
              <w:t xml:space="preserve">Resident declined </w:t>
            </w:r>
            <w:r>
              <w:rPr>
                <w:rFonts w:cs="Arial"/>
                <w:szCs w:val="20"/>
                <w:lang w:val="en-CA"/>
              </w:rPr>
              <w:lastRenderedPageBreak/>
              <w:t>treatment/care</w:t>
            </w:r>
          </w:p>
        </w:tc>
        <w:tc>
          <w:tcPr>
            <w:tcW w:w="7088" w:type="dxa"/>
            <w:shd w:val="clear" w:color="auto" w:fill="auto"/>
          </w:tcPr>
          <w:p w14:paraId="24E5A3C1" w14:textId="0E5215F5" w:rsidR="00616F41" w:rsidRDefault="00616F41" w:rsidP="003143C2">
            <w:pPr>
              <w:widowControl w:val="0"/>
              <w:ind w:right="4"/>
              <w:rPr>
                <w:rFonts w:cs="Arial"/>
                <w:szCs w:val="20"/>
                <w:lang w:val="en-CA"/>
              </w:rPr>
            </w:pPr>
            <w:r>
              <w:rPr>
                <w:rFonts w:cs="Arial"/>
                <w:szCs w:val="20"/>
                <w:lang w:val="en-CA"/>
              </w:rPr>
              <w:lastRenderedPageBreak/>
              <w:t>Verbal or non-verbal refusal of offered support, care</w:t>
            </w:r>
            <w:r w:rsidR="00595F93">
              <w:rPr>
                <w:rFonts w:cs="Arial"/>
                <w:szCs w:val="20"/>
                <w:lang w:val="en-CA"/>
              </w:rPr>
              <w:t>,</w:t>
            </w:r>
            <w:r>
              <w:rPr>
                <w:rFonts w:cs="Arial"/>
                <w:szCs w:val="20"/>
                <w:lang w:val="en-CA"/>
              </w:rPr>
              <w:t xml:space="preserve"> or treatment, e.g., </w:t>
            </w:r>
            <w:r>
              <w:rPr>
                <w:rFonts w:cs="Arial"/>
                <w:szCs w:val="20"/>
                <w:lang w:val="en-CA"/>
              </w:rPr>
              <w:lastRenderedPageBreak/>
              <w:t xml:space="preserve">“refuses meds”, “resident stated they did not want to go to hospital”, “resistive to care”, “refuses eating assistance” (note: this was not interpreted as food refusal because it was the act of assistance that was noted and not the food itself). </w:t>
            </w:r>
          </w:p>
        </w:tc>
      </w:tr>
      <w:tr w:rsidR="00616F41" w14:paraId="65E4D39C" w14:textId="77777777" w:rsidTr="003143C2">
        <w:tc>
          <w:tcPr>
            <w:tcW w:w="2263" w:type="dxa"/>
            <w:shd w:val="clear" w:color="auto" w:fill="auto"/>
          </w:tcPr>
          <w:p w14:paraId="48FE284F" w14:textId="77777777" w:rsidR="00616F41" w:rsidRDefault="00616F41" w:rsidP="003143C2">
            <w:pPr>
              <w:widowControl w:val="0"/>
              <w:ind w:right="4"/>
              <w:rPr>
                <w:rFonts w:cs="Arial"/>
                <w:szCs w:val="20"/>
                <w:lang w:val="en-CA"/>
              </w:rPr>
            </w:pPr>
            <w:r>
              <w:rPr>
                <w:rFonts w:cs="Arial"/>
                <w:szCs w:val="20"/>
                <w:lang w:val="en-CA"/>
              </w:rPr>
              <w:lastRenderedPageBreak/>
              <w:t>Infection</w:t>
            </w:r>
          </w:p>
        </w:tc>
        <w:tc>
          <w:tcPr>
            <w:tcW w:w="7088" w:type="dxa"/>
            <w:shd w:val="clear" w:color="auto" w:fill="auto"/>
          </w:tcPr>
          <w:p w14:paraId="595D286D" w14:textId="77777777" w:rsidR="00616F41" w:rsidRDefault="00616F41" w:rsidP="003143C2">
            <w:pPr>
              <w:widowControl w:val="0"/>
              <w:ind w:right="4"/>
              <w:rPr>
                <w:rFonts w:cs="Arial"/>
                <w:szCs w:val="20"/>
                <w:lang w:val="en-CA"/>
              </w:rPr>
            </w:pPr>
            <w:r>
              <w:rPr>
                <w:rFonts w:cs="Arial"/>
                <w:szCs w:val="20"/>
                <w:lang w:val="en-CA"/>
              </w:rPr>
              <w:t>Any indication of an infection, e.g., “UTI”, “sepsis”, “pneumonia”, “meningitis”, “eye infection”, “cellulitis”, “osteomyelitis”, “infected wound”</w:t>
            </w:r>
          </w:p>
        </w:tc>
      </w:tr>
      <w:tr w:rsidR="00616F41" w14:paraId="4C5A1D07" w14:textId="77777777" w:rsidTr="003143C2">
        <w:tc>
          <w:tcPr>
            <w:tcW w:w="2263" w:type="dxa"/>
            <w:shd w:val="clear" w:color="auto" w:fill="auto"/>
          </w:tcPr>
          <w:p w14:paraId="1696E4BC" w14:textId="77777777" w:rsidR="00616F41" w:rsidRDefault="00616F41" w:rsidP="003143C2">
            <w:pPr>
              <w:widowControl w:val="0"/>
              <w:ind w:right="4"/>
              <w:rPr>
                <w:rFonts w:cs="Arial"/>
                <w:szCs w:val="20"/>
                <w:lang w:val="en-CA"/>
              </w:rPr>
            </w:pPr>
            <w:r>
              <w:rPr>
                <w:rFonts w:cs="Arial"/>
                <w:szCs w:val="20"/>
                <w:lang w:val="en-CA"/>
              </w:rPr>
              <w:t>Falls</w:t>
            </w:r>
          </w:p>
        </w:tc>
        <w:tc>
          <w:tcPr>
            <w:tcW w:w="7088" w:type="dxa"/>
            <w:shd w:val="clear" w:color="auto" w:fill="auto"/>
          </w:tcPr>
          <w:p w14:paraId="35D1CAB4" w14:textId="77777777" w:rsidR="00616F41" w:rsidRDefault="00616F41" w:rsidP="003143C2">
            <w:pPr>
              <w:widowControl w:val="0"/>
              <w:ind w:right="4"/>
              <w:rPr>
                <w:rFonts w:cs="Arial"/>
                <w:szCs w:val="20"/>
                <w:lang w:val="en-CA"/>
              </w:rPr>
            </w:pPr>
            <w:r>
              <w:rPr>
                <w:rFonts w:cs="Arial"/>
                <w:szCs w:val="20"/>
                <w:lang w:val="en-CA"/>
              </w:rPr>
              <w:t>Reported falls, not necessarily resulting in injury, “noted several recent falls”, “symptoms started with 2 falls”, “increase in falls with poor balance”, “had fall and hit head”, “admitted to hospital due to fall”</w:t>
            </w:r>
          </w:p>
        </w:tc>
      </w:tr>
      <w:tr w:rsidR="00616F41" w14:paraId="47DE2C42" w14:textId="77777777" w:rsidTr="003143C2">
        <w:tc>
          <w:tcPr>
            <w:tcW w:w="2263" w:type="dxa"/>
            <w:shd w:val="clear" w:color="auto" w:fill="auto"/>
          </w:tcPr>
          <w:p w14:paraId="381873E1" w14:textId="77777777" w:rsidR="00616F41" w:rsidRDefault="00616F41" w:rsidP="003143C2">
            <w:pPr>
              <w:widowControl w:val="0"/>
              <w:ind w:right="4"/>
              <w:rPr>
                <w:rFonts w:cs="Arial"/>
                <w:szCs w:val="20"/>
                <w:lang w:val="en-CA"/>
              </w:rPr>
            </w:pPr>
            <w:r>
              <w:rPr>
                <w:rFonts w:cs="Arial"/>
                <w:szCs w:val="20"/>
                <w:lang w:val="en-CA"/>
              </w:rPr>
              <w:t>Injury</w:t>
            </w:r>
          </w:p>
        </w:tc>
        <w:tc>
          <w:tcPr>
            <w:tcW w:w="7088" w:type="dxa"/>
            <w:shd w:val="clear" w:color="auto" w:fill="auto"/>
          </w:tcPr>
          <w:p w14:paraId="1D224C84" w14:textId="77777777" w:rsidR="00616F41" w:rsidRDefault="00616F41" w:rsidP="003143C2">
            <w:pPr>
              <w:widowControl w:val="0"/>
              <w:ind w:right="4"/>
              <w:rPr>
                <w:rFonts w:cs="Arial"/>
                <w:szCs w:val="20"/>
                <w:lang w:val="en-CA"/>
              </w:rPr>
            </w:pPr>
            <w:r>
              <w:rPr>
                <w:rFonts w:cs="Arial"/>
                <w:szCs w:val="20"/>
                <w:lang w:val="en-CA"/>
              </w:rPr>
              <w:t xml:space="preserve">Any trauma or damage to bodily tissue, e.g., “fracture”, “recent shin injury”, “had fall and hit head with visible trauma (hematoma and wound)”, </w:t>
            </w:r>
          </w:p>
        </w:tc>
      </w:tr>
      <w:tr w:rsidR="00616F41" w14:paraId="4C5AB91E" w14:textId="77777777" w:rsidTr="003143C2">
        <w:tc>
          <w:tcPr>
            <w:tcW w:w="2263" w:type="dxa"/>
            <w:shd w:val="clear" w:color="auto" w:fill="auto"/>
          </w:tcPr>
          <w:p w14:paraId="3154C4AE" w14:textId="77777777" w:rsidR="00616F41" w:rsidRDefault="00616F41" w:rsidP="003143C2">
            <w:pPr>
              <w:widowControl w:val="0"/>
              <w:ind w:right="4"/>
              <w:rPr>
                <w:rFonts w:cs="Arial"/>
                <w:szCs w:val="20"/>
                <w:lang w:val="en-CA"/>
              </w:rPr>
            </w:pPr>
            <w:r>
              <w:rPr>
                <w:rFonts w:cs="Arial"/>
                <w:szCs w:val="20"/>
                <w:lang w:val="en-CA"/>
              </w:rPr>
              <w:t xml:space="preserve">Unstable/irregular vitals </w:t>
            </w:r>
          </w:p>
        </w:tc>
        <w:tc>
          <w:tcPr>
            <w:tcW w:w="7088" w:type="dxa"/>
            <w:shd w:val="clear" w:color="auto" w:fill="auto"/>
          </w:tcPr>
          <w:p w14:paraId="1C0A25D9" w14:textId="77777777" w:rsidR="00616F41" w:rsidRDefault="00616F41" w:rsidP="003143C2">
            <w:pPr>
              <w:widowControl w:val="0"/>
              <w:ind w:right="4"/>
              <w:rPr>
                <w:rFonts w:cs="Arial"/>
                <w:szCs w:val="20"/>
                <w:lang w:val="en-CA"/>
              </w:rPr>
            </w:pPr>
            <w:r>
              <w:rPr>
                <w:rFonts w:cs="Arial"/>
                <w:szCs w:val="20"/>
                <w:lang w:val="en-CA"/>
              </w:rPr>
              <w:t>Vital signs, including blood pressure, respiratory rate, heart rate, O</w:t>
            </w:r>
            <w:r>
              <w:rPr>
                <w:rFonts w:cs="Arial"/>
                <w:szCs w:val="20"/>
                <w:vertAlign w:val="subscript"/>
                <w:lang w:val="en-CA"/>
              </w:rPr>
              <w:t>2</w:t>
            </w:r>
            <w:r>
              <w:rPr>
                <w:rFonts w:cs="Arial"/>
                <w:szCs w:val="20"/>
                <w:lang w:val="en-CA"/>
              </w:rPr>
              <w:t xml:space="preserve"> saturation, temperature, outside of normal limits, e.g., “respiratory distress”, “fever”, “low oxygen levels”, “declining lung function”, “low blood pressure”, “irregular heart rate”</w:t>
            </w:r>
          </w:p>
        </w:tc>
      </w:tr>
      <w:tr w:rsidR="00616F41" w14:paraId="203B5CEE" w14:textId="77777777" w:rsidTr="003143C2">
        <w:tc>
          <w:tcPr>
            <w:tcW w:w="2263" w:type="dxa"/>
            <w:shd w:val="clear" w:color="auto" w:fill="auto"/>
          </w:tcPr>
          <w:p w14:paraId="4F7C9215" w14:textId="77777777" w:rsidR="00616F41" w:rsidRDefault="00616F41" w:rsidP="003143C2">
            <w:pPr>
              <w:widowControl w:val="0"/>
              <w:ind w:right="4"/>
              <w:rPr>
                <w:rFonts w:cs="Arial"/>
                <w:szCs w:val="20"/>
                <w:lang w:val="en-CA"/>
              </w:rPr>
            </w:pPr>
            <w:r>
              <w:rPr>
                <w:rFonts w:cs="Arial"/>
                <w:szCs w:val="20"/>
                <w:lang w:val="en-CA"/>
              </w:rPr>
              <w:t>Cancer</w:t>
            </w:r>
          </w:p>
        </w:tc>
        <w:tc>
          <w:tcPr>
            <w:tcW w:w="7088" w:type="dxa"/>
            <w:shd w:val="clear" w:color="auto" w:fill="auto"/>
          </w:tcPr>
          <w:p w14:paraId="78FD15D4" w14:textId="581A42B0" w:rsidR="00616F41" w:rsidRDefault="00616F41" w:rsidP="003143C2">
            <w:pPr>
              <w:widowControl w:val="0"/>
              <w:ind w:right="4"/>
              <w:rPr>
                <w:rFonts w:cs="Arial"/>
                <w:szCs w:val="20"/>
                <w:lang w:val="en-CA"/>
              </w:rPr>
            </w:pPr>
            <w:r>
              <w:rPr>
                <w:rFonts w:cs="Arial"/>
                <w:szCs w:val="20"/>
                <w:lang w:val="en-CA"/>
              </w:rPr>
              <w:t>Any mention of cancer, metastases, tumour etc., “cancer”, “metastatic prostate cancer”, “cancerous lumps on ears”, “cancerous lesions”, “metastatic liver disease”</w:t>
            </w:r>
          </w:p>
        </w:tc>
      </w:tr>
      <w:tr w:rsidR="00616F41" w14:paraId="14A98B72" w14:textId="77777777" w:rsidTr="003143C2">
        <w:tc>
          <w:tcPr>
            <w:tcW w:w="2263" w:type="dxa"/>
            <w:shd w:val="clear" w:color="auto" w:fill="auto"/>
          </w:tcPr>
          <w:p w14:paraId="2068D421" w14:textId="77777777" w:rsidR="00616F41" w:rsidRDefault="00616F41" w:rsidP="003143C2">
            <w:pPr>
              <w:widowControl w:val="0"/>
              <w:ind w:right="4"/>
              <w:rPr>
                <w:rFonts w:cs="Arial"/>
                <w:szCs w:val="20"/>
                <w:lang w:val="en-CA"/>
              </w:rPr>
            </w:pPr>
            <w:r>
              <w:rPr>
                <w:rFonts w:cs="Arial"/>
                <w:szCs w:val="20"/>
                <w:lang w:val="en-CA"/>
              </w:rPr>
              <w:t>Progressive condition</w:t>
            </w:r>
          </w:p>
        </w:tc>
        <w:tc>
          <w:tcPr>
            <w:tcW w:w="7088" w:type="dxa"/>
            <w:shd w:val="clear" w:color="auto" w:fill="auto"/>
          </w:tcPr>
          <w:p w14:paraId="709EBC45" w14:textId="1F9D2016" w:rsidR="00616F41" w:rsidRDefault="00616F41" w:rsidP="003143C2">
            <w:pPr>
              <w:widowControl w:val="0"/>
              <w:ind w:right="4"/>
              <w:rPr>
                <w:rFonts w:cs="Arial"/>
                <w:szCs w:val="20"/>
                <w:lang w:val="en-CA"/>
              </w:rPr>
            </w:pPr>
            <w:r>
              <w:rPr>
                <w:rFonts w:cs="Arial"/>
                <w:szCs w:val="20"/>
                <w:lang w:val="en-CA"/>
              </w:rPr>
              <w:t>Note of a non-cancer progressive condition that has progressed over a long term, e.g., “COPD”, “</w:t>
            </w:r>
            <w:r w:rsidR="00EF3554">
              <w:rPr>
                <w:rFonts w:cs="Arial"/>
                <w:szCs w:val="20"/>
                <w:lang w:val="en-CA"/>
              </w:rPr>
              <w:t>r</w:t>
            </w:r>
            <w:r>
              <w:rPr>
                <w:rFonts w:cs="Arial"/>
                <w:szCs w:val="20"/>
                <w:lang w:val="en-CA"/>
              </w:rPr>
              <w:t>enal disease”, “cardiac condition”, “terminal decline due to dementia”, “decreased kidney function”, “advanced Parkinson’s”, “progression of medical conditions”</w:t>
            </w:r>
          </w:p>
        </w:tc>
      </w:tr>
      <w:tr w:rsidR="00616F41" w14:paraId="68651D5B" w14:textId="77777777" w:rsidTr="003143C2">
        <w:tc>
          <w:tcPr>
            <w:tcW w:w="2263" w:type="dxa"/>
            <w:shd w:val="clear" w:color="auto" w:fill="auto"/>
          </w:tcPr>
          <w:p w14:paraId="475748F0" w14:textId="77777777" w:rsidR="00616F41" w:rsidRDefault="00616F41" w:rsidP="003143C2">
            <w:pPr>
              <w:widowControl w:val="0"/>
              <w:ind w:right="4"/>
              <w:rPr>
                <w:rFonts w:cs="Arial"/>
                <w:szCs w:val="20"/>
                <w:lang w:val="en-CA"/>
              </w:rPr>
            </w:pPr>
            <w:r>
              <w:rPr>
                <w:rFonts w:cs="Arial"/>
                <w:szCs w:val="20"/>
                <w:lang w:val="en-CA"/>
              </w:rPr>
              <w:t>Organ failure</w:t>
            </w:r>
          </w:p>
        </w:tc>
        <w:tc>
          <w:tcPr>
            <w:tcW w:w="7088" w:type="dxa"/>
            <w:shd w:val="clear" w:color="auto" w:fill="auto"/>
          </w:tcPr>
          <w:p w14:paraId="7A9605B0" w14:textId="77777777" w:rsidR="00616F41" w:rsidRDefault="00616F41" w:rsidP="003143C2">
            <w:pPr>
              <w:widowControl w:val="0"/>
              <w:ind w:right="4"/>
              <w:rPr>
                <w:rFonts w:cs="Arial"/>
                <w:szCs w:val="20"/>
                <w:lang w:val="en-CA"/>
              </w:rPr>
            </w:pPr>
            <w:r>
              <w:rPr>
                <w:rFonts w:cs="Arial"/>
                <w:szCs w:val="20"/>
                <w:lang w:val="en-CA"/>
              </w:rPr>
              <w:t>Indication of organ (e.g., heart, kidneys, liver, lungs) failure that may or may not be progressive, e.g., “renal disease”, “complication as result of liver”, “acute renal failure”, “CHF”</w:t>
            </w:r>
          </w:p>
        </w:tc>
      </w:tr>
      <w:tr w:rsidR="00616F41" w14:paraId="26CB05AA" w14:textId="77777777" w:rsidTr="003143C2">
        <w:tc>
          <w:tcPr>
            <w:tcW w:w="2263" w:type="dxa"/>
            <w:shd w:val="clear" w:color="auto" w:fill="auto"/>
          </w:tcPr>
          <w:p w14:paraId="0A2425F8" w14:textId="77777777" w:rsidR="00616F41" w:rsidRDefault="00616F41" w:rsidP="003143C2">
            <w:pPr>
              <w:widowControl w:val="0"/>
              <w:ind w:right="4"/>
              <w:rPr>
                <w:rFonts w:cs="Arial"/>
                <w:szCs w:val="20"/>
                <w:lang w:val="en-CA"/>
              </w:rPr>
            </w:pPr>
            <w:r>
              <w:rPr>
                <w:rFonts w:cs="Arial"/>
                <w:szCs w:val="20"/>
                <w:lang w:val="en-CA"/>
              </w:rPr>
              <w:t>Sudden decline</w:t>
            </w:r>
          </w:p>
        </w:tc>
        <w:tc>
          <w:tcPr>
            <w:tcW w:w="7088" w:type="dxa"/>
            <w:shd w:val="clear" w:color="auto" w:fill="auto"/>
          </w:tcPr>
          <w:p w14:paraId="27D162E0" w14:textId="77777777" w:rsidR="00616F41" w:rsidRDefault="00616F41" w:rsidP="003143C2">
            <w:pPr>
              <w:widowControl w:val="0"/>
              <w:ind w:right="4"/>
              <w:rPr>
                <w:rFonts w:cs="Arial"/>
                <w:szCs w:val="20"/>
                <w:lang w:val="en-CA"/>
              </w:rPr>
            </w:pPr>
            <w:r>
              <w:rPr>
                <w:rFonts w:cs="Arial"/>
                <w:szCs w:val="20"/>
                <w:lang w:val="en-CA"/>
              </w:rPr>
              <w:t xml:space="preserve">Sudden change in status, occurring over several hours or severe decline over one or two days, e.g., “change in condition and severe deterioration in prior </w:t>
            </w:r>
            <w:r>
              <w:rPr>
                <w:rFonts w:cs="Arial"/>
                <w:szCs w:val="20"/>
                <w:lang w:val="en-CA"/>
              </w:rPr>
              <w:lastRenderedPageBreak/>
              <w:t>day”, “significant decline… possible TIAs”, “rapid decline”, “up and well … checked a short time later he was mostly unresponsive… probably CVA”</w:t>
            </w:r>
          </w:p>
        </w:tc>
      </w:tr>
    </w:tbl>
    <w:p w14:paraId="55A51FE0" w14:textId="77777777" w:rsidR="00616F41" w:rsidRPr="00BE1414" w:rsidRDefault="00616F41" w:rsidP="00616F41">
      <w:pPr>
        <w:widowControl w:val="0"/>
        <w:ind w:right="4"/>
        <w:rPr>
          <w:rFonts w:cs="Arial"/>
          <w:szCs w:val="20"/>
          <w:lang w:val="en-CA"/>
        </w:rPr>
      </w:pPr>
    </w:p>
    <w:p w14:paraId="3AC4BB67" w14:textId="77777777" w:rsidR="00616F41" w:rsidRPr="00BE1414" w:rsidRDefault="00616F41" w:rsidP="00616F41">
      <w:pPr>
        <w:widowControl w:val="0"/>
        <w:ind w:right="4"/>
        <w:rPr>
          <w:rFonts w:cs="Arial"/>
          <w:szCs w:val="20"/>
          <w:lang w:val="en-CA"/>
        </w:rPr>
      </w:pPr>
    </w:p>
    <w:p w14:paraId="28562EE5" w14:textId="77777777" w:rsidR="00616F41" w:rsidRPr="00BE1414" w:rsidRDefault="00616F41" w:rsidP="00616F41">
      <w:pPr>
        <w:widowControl w:val="0"/>
        <w:ind w:right="4"/>
        <w:rPr>
          <w:rFonts w:cs="Arial"/>
          <w:szCs w:val="20"/>
          <w:lang w:val="en-CA"/>
        </w:rPr>
      </w:pPr>
    </w:p>
    <w:p w14:paraId="0D51BDD1" w14:textId="77777777" w:rsidR="00616F41" w:rsidRPr="00BE1414" w:rsidRDefault="00616F41" w:rsidP="00616F41">
      <w:pPr>
        <w:widowControl w:val="0"/>
        <w:ind w:right="4"/>
        <w:rPr>
          <w:rFonts w:cs="Arial"/>
          <w:szCs w:val="20"/>
          <w:lang w:val="en-CA"/>
        </w:rPr>
      </w:pPr>
    </w:p>
    <w:p w14:paraId="13EBBE5D" w14:textId="77777777" w:rsidR="00616F41" w:rsidRPr="00BE1414" w:rsidRDefault="00616F41" w:rsidP="00616F41">
      <w:pPr>
        <w:widowControl w:val="0"/>
        <w:ind w:right="4"/>
        <w:rPr>
          <w:rFonts w:cs="Arial"/>
          <w:szCs w:val="20"/>
          <w:lang w:val="en-CA"/>
        </w:rPr>
      </w:pPr>
    </w:p>
    <w:p w14:paraId="55F2BB8B" w14:textId="77777777" w:rsidR="00616F41" w:rsidRPr="00BE1414" w:rsidRDefault="00616F41" w:rsidP="00616F41">
      <w:pPr>
        <w:widowControl w:val="0"/>
        <w:ind w:right="4"/>
        <w:rPr>
          <w:rFonts w:cs="Arial"/>
          <w:szCs w:val="20"/>
          <w:lang w:val="en-CA"/>
        </w:rPr>
      </w:pPr>
    </w:p>
    <w:p w14:paraId="5C11A174" w14:textId="77777777" w:rsidR="00616F41" w:rsidRPr="00BE1414" w:rsidRDefault="00616F41" w:rsidP="00616F41">
      <w:pPr>
        <w:widowControl w:val="0"/>
        <w:ind w:right="4"/>
        <w:rPr>
          <w:rFonts w:cs="Arial"/>
          <w:szCs w:val="20"/>
          <w:lang w:val="en-CA"/>
        </w:rPr>
      </w:pPr>
    </w:p>
    <w:p w14:paraId="2B6BD6CD" w14:textId="77777777" w:rsidR="00616F41" w:rsidRDefault="00616F41" w:rsidP="00616F41">
      <w:pPr>
        <w:widowControl w:val="0"/>
        <w:ind w:right="4"/>
        <w:rPr>
          <w:rFonts w:cs="Arial"/>
          <w:b/>
          <w:bCs/>
          <w:szCs w:val="20"/>
          <w:lang w:val="en-CA"/>
        </w:rPr>
      </w:pPr>
    </w:p>
    <w:p w14:paraId="631C5362" w14:textId="77777777" w:rsidR="00616F41" w:rsidRDefault="00616F41" w:rsidP="00616F41">
      <w:pPr>
        <w:widowControl w:val="0"/>
        <w:ind w:right="4"/>
        <w:rPr>
          <w:rFonts w:cs="Arial"/>
          <w:b/>
          <w:bCs/>
          <w:szCs w:val="20"/>
          <w:lang w:val="en-CA"/>
        </w:rPr>
      </w:pPr>
    </w:p>
    <w:p w14:paraId="50B7B96E" w14:textId="77777777" w:rsidR="00616F41" w:rsidRDefault="00616F41" w:rsidP="00616F41">
      <w:pPr>
        <w:widowControl w:val="0"/>
        <w:ind w:right="4"/>
        <w:rPr>
          <w:rFonts w:cs="Arial"/>
          <w:b/>
          <w:bCs/>
          <w:szCs w:val="20"/>
          <w:lang w:val="en-CA"/>
        </w:rPr>
      </w:pPr>
    </w:p>
    <w:p w14:paraId="3351A134" w14:textId="77777777" w:rsidR="00616F41" w:rsidRDefault="00616F41" w:rsidP="00616F41">
      <w:pPr>
        <w:widowControl w:val="0"/>
        <w:ind w:right="4"/>
        <w:rPr>
          <w:rFonts w:cs="Arial"/>
          <w:b/>
          <w:bCs/>
          <w:szCs w:val="20"/>
          <w:lang w:val="en-CA"/>
        </w:rPr>
      </w:pPr>
    </w:p>
    <w:p w14:paraId="5DA22579" w14:textId="77777777" w:rsidR="00616F41" w:rsidRDefault="00616F41" w:rsidP="00616F41">
      <w:pPr>
        <w:widowControl w:val="0"/>
        <w:ind w:right="4"/>
        <w:rPr>
          <w:rFonts w:cs="Arial"/>
          <w:b/>
          <w:bCs/>
          <w:szCs w:val="20"/>
          <w:lang w:val="en-CA"/>
        </w:rPr>
      </w:pPr>
    </w:p>
    <w:p w14:paraId="30848E24" w14:textId="77777777" w:rsidR="00616F41" w:rsidRDefault="00616F41" w:rsidP="00616F41">
      <w:pPr>
        <w:widowControl w:val="0"/>
        <w:ind w:right="4"/>
        <w:rPr>
          <w:rFonts w:cs="Arial"/>
          <w:b/>
          <w:bCs/>
          <w:szCs w:val="20"/>
          <w:lang w:val="en-CA"/>
        </w:rPr>
      </w:pPr>
    </w:p>
    <w:p w14:paraId="684DC63B" w14:textId="77777777" w:rsidR="00616F41" w:rsidRDefault="00616F41" w:rsidP="00616F41">
      <w:pPr>
        <w:widowControl w:val="0"/>
        <w:ind w:right="4"/>
        <w:rPr>
          <w:rFonts w:cs="Arial"/>
          <w:b/>
          <w:bCs/>
          <w:szCs w:val="20"/>
          <w:lang w:val="en-CA"/>
        </w:rPr>
      </w:pPr>
    </w:p>
    <w:p w14:paraId="0ABAA665" w14:textId="77777777" w:rsidR="00616F41" w:rsidRDefault="00616F41" w:rsidP="00616F41">
      <w:pPr>
        <w:widowControl w:val="0"/>
        <w:ind w:right="4"/>
        <w:rPr>
          <w:rFonts w:cs="Arial"/>
          <w:b/>
          <w:bCs/>
          <w:szCs w:val="20"/>
          <w:lang w:val="en-CA"/>
        </w:rPr>
      </w:pPr>
    </w:p>
    <w:p w14:paraId="358E25D1" w14:textId="77777777" w:rsidR="00616F41" w:rsidRDefault="00616F41" w:rsidP="00616F41">
      <w:pPr>
        <w:widowControl w:val="0"/>
        <w:ind w:right="4"/>
        <w:rPr>
          <w:rFonts w:cs="Arial"/>
          <w:b/>
          <w:bCs/>
          <w:szCs w:val="20"/>
          <w:lang w:val="en-CA"/>
        </w:rPr>
      </w:pPr>
    </w:p>
    <w:p w14:paraId="294D9473" w14:textId="77777777" w:rsidR="00616F41" w:rsidRDefault="00616F41" w:rsidP="00616F41">
      <w:pPr>
        <w:widowControl w:val="0"/>
        <w:ind w:right="4"/>
        <w:rPr>
          <w:rFonts w:cs="Arial"/>
          <w:b/>
          <w:bCs/>
          <w:szCs w:val="20"/>
          <w:lang w:val="en-CA"/>
        </w:rPr>
      </w:pPr>
    </w:p>
    <w:p w14:paraId="2044CB3B" w14:textId="77777777" w:rsidR="00616F41" w:rsidRDefault="00616F41" w:rsidP="00616F41">
      <w:pPr>
        <w:widowControl w:val="0"/>
        <w:ind w:right="4"/>
        <w:rPr>
          <w:rFonts w:cs="Arial"/>
          <w:b/>
          <w:bCs/>
          <w:szCs w:val="20"/>
          <w:lang w:val="en-CA"/>
        </w:rPr>
      </w:pPr>
    </w:p>
    <w:p w14:paraId="0A356CE8" w14:textId="77777777" w:rsidR="00616F41" w:rsidRDefault="00616F41" w:rsidP="00616F41">
      <w:pPr>
        <w:widowControl w:val="0"/>
        <w:ind w:right="4"/>
        <w:rPr>
          <w:rFonts w:cs="Arial"/>
          <w:b/>
          <w:bCs/>
          <w:szCs w:val="20"/>
          <w:lang w:val="en-CA"/>
        </w:rPr>
      </w:pPr>
    </w:p>
    <w:p w14:paraId="3E9FA4EC" w14:textId="77777777" w:rsidR="00616F41" w:rsidRDefault="00616F41" w:rsidP="00616F41">
      <w:pPr>
        <w:widowControl w:val="0"/>
        <w:ind w:right="4"/>
        <w:rPr>
          <w:rFonts w:cs="Arial"/>
          <w:b/>
          <w:bCs/>
          <w:szCs w:val="20"/>
          <w:lang w:val="en-CA"/>
        </w:rPr>
      </w:pPr>
    </w:p>
    <w:p w14:paraId="0D86C4C2" w14:textId="77777777" w:rsidR="00616F41" w:rsidRDefault="00616F41" w:rsidP="00616F41">
      <w:pPr>
        <w:widowControl w:val="0"/>
        <w:ind w:right="4"/>
        <w:rPr>
          <w:rFonts w:cs="Arial"/>
          <w:b/>
          <w:bCs/>
          <w:szCs w:val="20"/>
          <w:lang w:val="en-CA"/>
        </w:rPr>
      </w:pPr>
    </w:p>
    <w:p w14:paraId="063703D9" w14:textId="77777777" w:rsidR="00616F41" w:rsidRDefault="00616F41" w:rsidP="00616F41">
      <w:pPr>
        <w:widowControl w:val="0"/>
        <w:ind w:right="4"/>
        <w:rPr>
          <w:rFonts w:cs="Arial"/>
          <w:b/>
          <w:bCs/>
          <w:szCs w:val="20"/>
          <w:lang w:val="en-CA"/>
        </w:rPr>
      </w:pPr>
    </w:p>
    <w:p w14:paraId="079B463F" w14:textId="77777777" w:rsidR="00616F41" w:rsidRDefault="00616F41" w:rsidP="00616F41">
      <w:pPr>
        <w:widowControl w:val="0"/>
        <w:ind w:right="4"/>
        <w:rPr>
          <w:rFonts w:cs="Arial"/>
          <w:b/>
          <w:bCs/>
          <w:szCs w:val="20"/>
          <w:lang w:val="en-CA"/>
        </w:rPr>
      </w:pPr>
    </w:p>
    <w:p w14:paraId="6AE28B04" w14:textId="77777777" w:rsidR="00616F41" w:rsidRDefault="00616F41" w:rsidP="00616F41">
      <w:pPr>
        <w:widowControl w:val="0"/>
        <w:ind w:right="4"/>
        <w:rPr>
          <w:rFonts w:cs="Arial"/>
          <w:b/>
          <w:bCs/>
          <w:szCs w:val="20"/>
          <w:lang w:val="en-CA"/>
        </w:rPr>
      </w:pPr>
    </w:p>
    <w:p w14:paraId="0FFC1822" w14:textId="77777777" w:rsidR="00616F41" w:rsidRDefault="00616F41" w:rsidP="00616F41">
      <w:pPr>
        <w:widowControl w:val="0"/>
        <w:ind w:right="4"/>
        <w:rPr>
          <w:rFonts w:cs="Arial"/>
          <w:b/>
          <w:bCs/>
          <w:szCs w:val="20"/>
          <w:lang w:val="en-CA"/>
        </w:rPr>
      </w:pPr>
    </w:p>
    <w:p w14:paraId="5536979B" w14:textId="77777777" w:rsidR="00616F41" w:rsidRDefault="00616F41" w:rsidP="00616F41">
      <w:pPr>
        <w:widowControl w:val="0"/>
        <w:ind w:right="4"/>
        <w:rPr>
          <w:rFonts w:cs="Arial"/>
          <w:b/>
          <w:bCs/>
          <w:szCs w:val="20"/>
          <w:lang w:val="en-CA"/>
        </w:rPr>
      </w:pPr>
    </w:p>
    <w:p w14:paraId="2A630B8C" w14:textId="77777777" w:rsidR="00616F41" w:rsidRPr="004E5C53" w:rsidRDefault="00616F41" w:rsidP="00616F41">
      <w:pPr>
        <w:widowControl w:val="0"/>
        <w:ind w:right="4"/>
        <w:rPr>
          <w:rFonts w:cs="Arial"/>
          <w:szCs w:val="20"/>
          <w:lang w:val="en-CA"/>
        </w:rPr>
      </w:pPr>
      <w:r w:rsidRPr="005A3EF4">
        <w:rPr>
          <w:rFonts w:cs="Arial"/>
          <w:b/>
          <w:bCs/>
          <w:szCs w:val="20"/>
          <w:lang w:val="en-CA"/>
        </w:rPr>
        <w:lastRenderedPageBreak/>
        <w:t xml:space="preserve">Supplementary Table </w:t>
      </w:r>
      <w:r>
        <w:rPr>
          <w:rFonts w:cs="Arial"/>
          <w:b/>
          <w:bCs/>
          <w:szCs w:val="20"/>
          <w:lang w:val="en-CA"/>
        </w:rPr>
        <w:t>2.</w:t>
      </w:r>
      <w:r w:rsidRPr="005A3EF4">
        <w:rPr>
          <w:rFonts w:cs="Arial"/>
          <w:b/>
          <w:bCs/>
          <w:szCs w:val="20"/>
          <w:lang w:val="en-CA"/>
        </w:rPr>
        <w:t xml:space="preserve">3 </w:t>
      </w:r>
      <w:r w:rsidRPr="004E5C53">
        <w:rPr>
          <w:rFonts w:cs="Arial"/>
          <w:szCs w:val="20"/>
          <w:lang w:val="en-CA"/>
        </w:rPr>
        <w:t>Frequency of total nutrition-related, non-nutrition, and overall signs and symptoms noted, n=76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2225"/>
        <w:gridCol w:w="2217"/>
        <w:gridCol w:w="2199"/>
      </w:tblGrid>
      <w:tr w:rsidR="00616F41" w14:paraId="23CC50BA" w14:textId="77777777" w:rsidTr="003143C2">
        <w:tc>
          <w:tcPr>
            <w:tcW w:w="2337" w:type="dxa"/>
            <w:shd w:val="clear" w:color="auto" w:fill="auto"/>
          </w:tcPr>
          <w:p w14:paraId="34BEC577" w14:textId="77777777" w:rsidR="00616F41" w:rsidRDefault="00616F41" w:rsidP="003143C2">
            <w:pPr>
              <w:widowControl w:val="0"/>
              <w:ind w:right="4"/>
              <w:rPr>
                <w:rFonts w:cs="Arial"/>
                <w:szCs w:val="20"/>
                <w:lang w:val="en-CA"/>
              </w:rPr>
            </w:pPr>
          </w:p>
        </w:tc>
        <w:tc>
          <w:tcPr>
            <w:tcW w:w="2337" w:type="dxa"/>
            <w:shd w:val="clear" w:color="auto" w:fill="auto"/>
          </w:tcPr>
          <w:p w14:paraId="15AA2446" w14:textId="77777777" w:rsidR="00616F41" w:rsidRDefault="00616F41" w:rsidP="003143C2">
            <w:pPr>
              <w:widowControl w:val="0"/>
              <w:ind w:right="4"/>
              <w:rPr>
                <w:rFonts w:cs="Arial"/>
                <w:szCs w:val="20"/>
                <w:lang w:val="en-CA"/>
              </w:rPr>
            </w:pPr>
            <w:r>
              <w:rPr>
                <w:rFonts w:cs="Arial"/>
                <w:szCs w:val="20"/>
                <w:lang w:val="en-CA"/>
              </w:rPr>
              <w:t>Nutrition-related (max. 7)</w:t>
            </w:r>
          </w:p>
        </w:tc>
        <w:tc>
          <w:tcPr>
            <w:tcW w:w="2338" w:type="dxa"/>
            <w:shd w:val="clear" w:color="auto" w:fill="auto"/>
          </w:tcPr>
          <w:p w14:paraId="3B3E5431" w14:textId="77777777" w:rsidR="00616F41" w:rsidRDefault="00616F41" w:rsidP="003143C2">
            <w:pPr>
              <w:widowControl w:val="0"/>
              <w:ind w:right="4"/>
              <w:rPr>
                <w:rFonts w:cs="Arial"/>
                <w:szCs w:val="20"/>
                <w:lang w:val="en-CA"/>
              </w:rPr>
            </w:pPr>
            <w:r>
              <w:rPr>
                <w:rFonts w:cs="Arial"/>
                <w:szCs w:val="20"/>
                <w:lang w:val="en-CA"/>
              </w:rPr>
              <w:t>Non-nutrition related (max. 18)</w:t>
            </w:r>
          </w:p>
        </w:tc>
        <w:tc>
          <w:tcPr>
            <w:tcW w:w="2338" w:type="dxa"/>
            <w:shd w:val="clear" w:color="auto" w:fill="auto"/>
          </w:tcPr>
          <w:p w14:paraId="6130AF92" w14:textId="77777777" w:rsidR="00616F41" w:rsidRDefault="00616F41" w:rsidP="003143C2">
            <w:pPr>
              <w:widowControl w:val="0"/>
              <w:ind w:right="4"/>
              <w:rPr>
                <w:rFonts w:cs="Arial"/>
                <w:szCs w:val="20"/>
                <w:lang w:val="en-CA"/>
              </w:rPr>
            </w:pPr>
            <w:r>
              <w:rPr>
                <w:rFonts w:cs="Arial"/>
                <w:szCs w:val="20"/>
                <w:lang w:val="en-CA"/>
              </w:rPr>
              <w:t>Total (max. 25)</w:t>
            </w:r>
          </w:p>
        </w:tc>
      </w:tr>
      <w:tr w:rsidR="00616F41" w14:paraId="4813A2A4" w14:textId="77777777" w:rsidTr="003143C2">
        <w:tc>
          <w:tcPr>
            <w:tcW w:w="2337" w:type="dxa"/>
            <w:shd w:val="clear" w:color="auto" w:fill="auto"/>
          </w:tcPr>
          <w:p w14:paraId="7041BD7E" w14:textId="77777777" w:rsidR="00616F41" w:rsidRDefault="00616F41" w:rsidP="003143C2">
            <w:pPr>
              <w:widowControl w:val="0"/>
              <w:ind w:right="4"/>
              <w:rPr>
                <w:rFonts w:cs="Arial"/>
                <w:szCs w:val="20"/>
                <w:lang w:val="en-CA"/>
              </w:rPr>
            </w:pPr>
            <w:r>
              <w:rPr>
                <w:rFonts w:cs="Arial"/>
                <w:szCs w:val="20"/>
                <w:lang w:val="en-CA"/>
              </w:rPr>
              <w:t>Number of reasons cited</w:t>
            </w:r>
          </w:p>
        </w:tc>
        <w:tc>
          <w:tcPr>
            <w:tcW w:w="2337" w:type="dxa"/>
            <w:shd w:val="clear" w:color="auto" w:fill="auto"/>
          </w:tcPr>
          <w:p w14:paraId="250F8762" w14:textId="77777777" w:rsidR="00616F41" w:rsidRDefault="00616F41" w:rsidP="003143C2">
            <w:pPr>
              <w:widowControl w:val="0"/>
              <w:ind w:right="4"/>
              <w:rPr>
                <w:rFonts w:cs="Arial"/>
                <w:szCs w:val="20"/>
                <w:lang w:val="en-CA"/>
              </w:rPr>
            </w:pPr>
            <w:r>
              <w:rPr>
                <w:rFonts w:cs="Arial"/>
                <w:szCs w:val="20"/>
                <w:lang w:val="en-CA"/>
              </w:rPr>
              <w:t>% (n)</w:t>
            </w:r>
          </w:p>
        </w:tc>
        <w:tc>
          <w:tcPr>
            <w:tcW w:w="2338" w:type="dxa"/>
            <w:shd w:val="clear" w:color="auto" w:fill="auto"/>
          </w:tcPr>
          <w:p w14:paraId="5FC970C6" w14:textId="77777777" w:rsidR="00616F41" w:rsidRDefault="00616F41" w:rsidP="003143C2">
            <w:pPr>
              <w:widowControl w:val="0"/>
              <w:ind w:right="4"/>
              <w:rPr>
                <w:rFonts w:cs="Arial"/>
                <w:szCs w:val="20"/>
                <w:lang w:val="en-CA"/>
              </w:rPr>
            </w:pPr>
            <w:r>
              <w:rPr>
                <w:rFonts w:cs="Arial"/>
                <w:szCs w:val="20"/>
                <w:lang w:val="en-CA"/>
              </w:rPr>
              <w:t>% (n)</w:t>
            </w:r>
          </w:p>
        </w:tc>
        <w:tc>
          <w:tcPr>
            <w:tcW w:w="2338" w:type="dxa"/>
            <w:shd w:val="clear" w:color="auto" w:fill="auto"/>
          </w:tcPr>
          <w:p w14:paraId="4DF84248" w14:textId="77777777" w:rsidR="00616F41" w:rsidRDefault="00616F41" w:rsidP="003143C2">
            <w:pPr>
              <w:widowControl w:val="0"/>
              <w:ind w:right="4"/>
              <w:rPr>
                <w:rFonts w:cs="Arial"/>
                <w:szCs w:val="20"/>
                <w:lang w:val="en-CA"/>
              </w:rPr>
            </w:pPr>
            <w:r>
              <w:rPr>
                <w:rFonts w:cs="Arial"/>
                <w:szCs w:val="20"/>
                <w:lang w:val="en-CA"/>
              </w:rPr>
              <w:t>% (n)</w:t>
            </w:r>
          </w:p>
        </w:tc>
      </w:tr>
      <w:tr w:rsidR="00616F41" w14:paraId="2AA2B248" w14:textId="77777777" w:rsidTr="003143C2">
        <w:tc>
          <w:tcPr>
            <w:tcW w:w="2337" w:type="dxa"/>
            <w:shd w:val="clear" w:color="auto" w:fill="auto"/>
          </w:tcPr>
          <w:p w14:paraId="3453494B" w14:textId="77777777" w:rsidR="00616F41" w:rsidRDefault="00616F41" w:rsidP="003143C2">
            <w:pPr>
              <w:widowControl w:val="0"/>
              <w:ind w:right="4"/>
              <w:rPr>
                <w:rFonts w:cs="Arial"/>
                <w:szCs w:val="20"/>
                <w:lang w:val="en-CA"/>
              </w:rPr>
            </w:pPr>
            <w:r>
              <w:rPr>
                <w:rFonts w:cs="Arial"/>
                <w:szCs w:val="20"/>
                <w:lang w:val="en-CA"/>
              </w:rPr>
              <w:t>0</w:t>
            </w:r>
          </w:p>
        </w:tc>
        <w:tc>
          <w:tcPr>
            <w:tcW w:w="2337" w:type="dxa"/>
            <w:shd w:val="clear" w:color="auto" w:fill="auto"/>
          </w:tcPr>
          <w:p w14:paraId="7A2F824E" w14:textId="77777777" w:rsidR="00616F41" w:rsidRDefault="00616F41" w:rsidP="003143C2">
            <w:pPr>
              <w:widowControl w:val="0"/>
              <w:ind w:right="4"/>
              <w:rPr>
                <w:rFonts w:cs="Arial"/>
                <w:szCs w:val="20"/>
                <w:lang w:val="en-CA"/>
              </w:rPr>
            </w:pPr>
            <w:r>
              <w:rPr>
                <w:rFonts w:cs="Arial"/>
                <w:szCs w:val="20"/>
                <w:lang w:val="en-CA"/>
              </w:rPr>
              <w:t>23.7 (18)</w:t>
            </w:r>
          </w:p>
        </w:tc>
        <w:tc>
          <w:tcPr>
            <w:tcW w:w="2338" w:type="dxa"/>
            <w:shd w:val="clear" w:color="auto" w:fill="auto"/>
          </w:tcPr>
          <w:p w14:paraId="0BA6F628" w14:textId="77777777" w:rsidR="00616F41" w:rsidRDefault="00616F41" w:rsidP="003143C2">
            <w:pPr>
              <w:widowControl w:val="0"/>
              <w:ind w:right="4"/>
              <w:rPr>
                <w:rFonts w:cs="Arial"/>
                <w:szCs w:val="20"/>
                <w:lang w:val="en-CA"/>
              </w:rPr>
            </w:pPr>
            <w:r>
              <w:rPr>
                <w:rFonts w:cs="Arial"/>
                <w:szCs w:val="20"/>
                <w:lang w:val="en-CA"/>
              </w:rPr>
              <w:t>2.6 (2)</w:t>
            </w:r>
          </w:p>
        </w:tc>
        <w:tc>
          <w:tcPr>
            <w:tcW w:w="2338" w:type="dxa"/>
            <w:shd w:val="clear" w:color="auto" w:fill="auto"/>
          </w:tcPr>
          <w:p w14:paraId="1F3E0DC3" w14:textId="77777777" w:rsidR="00616F41" w:rsidRDefault="00616F41" w:rsidP="003143C2">
            <w:pPr>
              <w:widowControl w:val="0"/>
              <w:ind w:right="4"/>
              <w:rPr>
                <w:rFonts w:cs="Arial"/>
                <w:szCs w:val="20"/>
                <w:lang w:val="en-CA"/>
              </w:rPr>
            </w:pPr>
            <w:r>
              <w:rPr>
                <w:rFonts w:cs="Arial"/>
                <w:szCs w:val="20"/>
                <w:lang w:val="en-CA"/>
              </w:rPr>
              <w:t>0.0 (0)</w:t>
            </w:r>
          </w:p>
        </w:tc>
      </w:tr>
      <w:tr w:rsidR="00616F41" w14:paraId="227FB3CF" w14:textId="77777777" w:rsidTr="003143C2">
        <w:tc>
          <w:tcPr>
            <w:tcW w:w="2337" w:type="dxa"/>
            <w:shd w:val="clear" w:color="auto" w:fill="auto"/>
          </w:tcPr>
          <w:p w14:paraId="3E9E2FBA" w14:textId="77777777" w:rsidR="00616F41" w:rsidRDefault="00616F41" w:rsidP="003143C2">
            <w:pPr>
              <w:widowControl w:val="0"/>
              <w:ind w:right="4"/>
              <w:rPr>
                <w:rFonts w:cs="Arial"/>
                <w:szCs w:val="20"/>
                <w:lang w:val="en-CA"/>
              </w:rPr>
            </w:pPr>
            <w:r>
              <w:rPr>
                <w:rFonts w:cs="Arial"/>
                <w:szCs w:val="20"/>
                <w:lang w:val="en-CA"/>
              </w:rPr>
              <w:t>1</w:t>
            </w:r>
          </w:p>
        </w:tc>
        <w:tc>
          <w:tcPr>
            <w:tcW w:w="2337" w:type="dxa"/>
            <w:shd w:val="clear" w:color="auto" w:fill="auto"/>
          </w:tcPr>
          <w:p w14:paraId="5599B58E" w14:textId="77777777" w:rsidR="00616F41" w:rsidRDefault="00616F41" w:rsidP="003143C2">
            <w:pPr>
              <w:widowControl w:val="0"/>
              <w:ind w:right="4"/>
              <w:rPr>
                <w:rFonts w:cs="Arial"/>
                <w:szCs w:val="20"/>
                <w:lang w:val="en-CA"/>
              </w:rPr>
            </w:pPr>
            <w:r>
              <w:rPr>
                <w:rFonts w:cs="Arial"/>
                <w:szCs w:val="20"/>
                <w:lang w:val="en-CA"/>
              </w:rPr>
              <w:t>39.5 (30)</w:t>
            </w:r>
          </w:p>
        </w:tc>
        <w:tc>
          <w:tcPr>
            <w:tcW w:w="2338" w:type="dxa"/>
            <w:shd w:val="clear" w:color="auto" w:fill="auto"/>
          </w:tcPr>
          <w:p w14:paraId="04D6F144" w14:textId="77777777" w:rsidR="00616F41" w:rsidRDefault="00616F41" w:rsidP="003143C2">
            <w:pPr>
              <w:widowControl w:val="0"/>
              <w:ind w:right="4"/>
              <w:rPr>
                <w:rFonts w:cs="Arial"/>
                <w:szCs w:val="20"/>
                <w:lang w:val="en-CA"/>
              </w:rPr>
            </w:pPr>
            <w:r>
              <w:rPr>
                <w:rFonts w:cs="Arial"/>
                <w:szCs w:val="20"/>
                <w:lang w:val="en-CA"/>
              </w:rPr>
              <w:t>19.7 (15)</w:t>
            </w:r>
          </w:p>
        </w:tc>
        <w:tc>
          <w:tcPr>
            <w:tcW w:w="2338" w:type="dxa"/>
            <w:shd w:val="clear" w:color="auto" w:fill="auto"/>
          </w:tcPr>
          <w:p w14:paraId="44F267AA" w14:textId="77777777" w:rsidR="00616F41" w:rsidRDefault="00616F41" w:rsidP="003143C2">
            <w:pPr>
              <w:widowControl w:val="0"/>
              <w:ind w:right="4"/>
              <w:rPr>
                <w:rFonts w:cs="Arial"/>
                <w:szCs w:val="20"/>
                <w:lang w:val="en-CA"/>
              </w:rPr>
            </w:pPr>
            <w:r>
              <w:rPr>
                <w:rFonts w:cs="Arial"/>
                <w:szCs w:val="20"/>
                <w:lang w:val="en-CA"/>
              </w:rPr>
              <w:t>6.6 (5)</w:t>
            </w:r>
          </w:p>
        </w:tc>
      </w:tr>
      <w:tr w:rsidR="00616F41" w14:paraId="4910221F" w14:textId="77777777" w:rsidTr="003143C2">
        <w:tc>
          <w:tcPr>
            <w:tcW w:w="2337" w:type="dxa"/>
            <w:shd w:val="clear" w:color="auto" w:fill="auto"/>
          </w:tcPr>
          <w:p w14:paraId="1821D7E1" w14:textId="77777777" w:rsidR="00616F41" w:rsidRDefault="00616F41" w:rsidP="003143C2">
            <w:pPr>
              <w:widowControl w:val="0"/>
              <w:ind w:right="4"/>
              <w:rPr>
                <w:rFonts w:cs="Arial"/>
                <w:szCs w:val="20"/>
                <w:lang w:val="en-CA"/>
              </w:rPr>
            </w:pPr>
            <w:r>
              <w:rPr>
                <w:rFonts w:cs="Arial"/>
                <w:szCs w:val="20"/>
                <w:lang w:val="en-CA"/>
              </w:rPr>
              <w:t>2</w:t>
            </w:r>
          </w:p>
        </w:tc>
        <w:tc>
          <w:tcPr>
            <w:tcW w:w="2337" w:type="dxa"/>
            <w:shd w:val="clear" w:color="auto" w:fill="auto"/>
          </w:tcPr>
          <w:p w14:paraId="656397BF" w14:textId="77777777" w:rsidR="00616F41" w:rsidRDefault="00616F41" w:rsidP="003143C2">
            <w:pPr>
              <w:widowControl w:val="0"/>
              <w:ind w:right="4"/>
              <w:rPr>
                <w:rFonts w:cs="Arial"/>
                <w:szCs w:val="20"/>
                <w:lang w:val="en-CA"/>
              </w:rPr>
            </w:pPr>
            <w:r>
              <w:rPr>
                <w:rFonts w:cs="Arial"/>
                <w:szCs w:val="20"/>
                <w:lang w:val="en-CA"/>
              </w:rPr>
              <w:t>25.0 (19)</w:t>
            </w:r>
          </w:p>
        </w:tc>
        <w:tc>
          <w:tcPr>
            <w:tcW w:w="2338" w:type="dxa"/>
            <w:shd w:val="clear" w:color="auto" w:fill="auto"/>
          </w:tcPr>
          <w:p w14:paraId="38C15F64" w14:textId="77777777" w:rsidR="00616F41" w:rsidRDefault="00616F41" w:rsidP="003143C2">
            <w:pPr>
              <w:widowControl w:val="0"/>
              <w:ind w:right="4"/>
              <w:rPr>
                <w:rFonts w:cs="Arial"/>
                <w:szCs w:val="20"/>
                <w:lang w:val="en-CA"/>
              </w:rPr>
            </w:pPr>
            <w:r>
              <w:rPr>
                <w:rFonts w:cs="Arial"/>
                <w:szCs w:val="20"/>
                <w:lang w:val="en-CA"/>
              </w:rPr>
              <w:t>30.3 (23)</w:t>
            </w:r>
          </w:p>
        </w:tc>
        <w:tc>
          <w:tcPr>
            <w:tcW w:w="2338" w:type="dxa"/>
            <w:shd w:val="clear" w:color="auto" w:fill="auto"/>
          </w:tcPr>
          <w:p w14:paraId="6D755378" w14:textId="77777777" w:rsidR="00616F41" w:rsidRDefault="00616F41" w:rsidP="003143C2">
            <w:pPr>
              <w:widowControl w:val="0"/>
              <w:ind w:right="4"/>
              <w:rPr>
                <w:rFonts w:cs="Arial"/>
                <w:szCs w:val="20"/>
                <w:lang w:val="en-CA"/>
              </w:rPr>
            </w:pPr>
            <w:r>
              <w:rPr>
                <w:rFonts w:cs="Arial"/>
                <w:szCs w:val="20"/>
                <w:lang w:val="en-CA"/>
              </w:rPr>
              <w:t>18.4 (14)</w:t>
            </w:r>
          </w:p>
        </w:tc>
      </w:tr>
      <w:tr w:rsidR="00616F41" w14:paraId="41E9A1B5" w14:textId="77777777" w:rsidTr="003143C2">
        <w:tc>
          <w:tcPr>
            <w:tcW w:w="2337" w:type="dxa"/>
            <w:shd w:val="clear" w:color="auto" w:fill="auto"/>
          </w:tcPr>
          <w:p w14:paraId="0AF9DEF3" w14:textId="77777777" w:rsidR="00616F41" w:rsidRDefault="00616F41" w:rsidP="003143C2">
            <w:pPr>
              <w:widowControl w:val="0"/>
              <w:ind w:right="4"/>
              <w:rPr>
                <w:rFonts w:cs="Arial"/>
                <w:szCs w:val="20"/>
                <w:lang w:val="en-CA"/>
              </w:rPr>
            </w:pPr>
            <w:r>
              <w:rPr>
                <w:rFonts w:cs="Arial"/>
                <w:szCs w:val="20"/>
                <w:lang w:val="en-CA"/>
              </w:rPr>
              <w:t>3</w:t>
            </w:r>
          </w:p>
        </w:tc>
        <w:tc>
          <w:tcPr>
            <w:tcW w:w="2337" w:type="dxa"/>
            <w:shd w:val="clear" w:color="auto" w:fill="auto"/>
          </w:tcPr>
          <w:p w14:paraId="2EEAC208" w14:textId="77777777" w:rsidR="00616F41" w:rsidRDefault="00616F41" w:rsidP="003143C2">
            <w:pPr>
              <w:widowControl w:val="0"/>
              <w:ind w:right="4"/>
              <w:rPr>
                <w:rFonts w:cs="Arial"/>
                <w:szCs w:val="20"/>
                <w:lang w:val="en-CA"/>
              </w:rPr>
            </w:pPr>
            <w:r>
              <w:rPr>
                <w:rFonts w:cs="Arial"/>
                <w:szCs w:val="20"/>
                <w:lang w:val="en-CA"/>
              </w:rPr>
              <w:t>9.2 (7)</w:t>
            </w:r>
          </w:p>
        </w:tc>
        <w:tc>
          <w:tcPr>
            <w:tcW w:w="2338" w:type="dxa"/>
            <w:shd w:val="clear" w:color="auto" w:fill="auto"/>
          </w:tcPr>
          <w:p w14:paraId="7F2277C2" w14:textId="77777777" w:rsidR="00616F41" w:rsidRDefault="00616F41" w:rsidP="003143C2">
            <w:pPr>
              <w:widowControl w:val="0"/>
              <w:ind w:right="4"/>
              <w:rPr>
                <w:rFonts w:cs="Arial"/>
                <w:szCs w:val="20"/>
                <w:lang w:val="en-CA"/>
              </w:rPr>
            </w:pPr>
            <w:r>
              <w:rPr>
                <w:rFonts w:cs="Arial"/>
                <w:szCs w:val="20"/>
                <w:lang w:val="en-CA"/>
              </w:rPr>
              <w:t>22.4 (17)</w:t>
            </w:r>
          </w:p>
        </w:tc>
        <w:tc>
          <w:tcPr>
            <w:tcW w:w="2338" w:type="dxa"/>
            <w:shd w:val="clear" w:color="auto" w:fill="auto"/>
          </w:tcPr>
          <w:p w14:paraId="685938EC" w14:textId="77777777" w:rsidR="00616F41" w:rsidRDefault="00616F41" w:rsidP="003143C2">
            <w:pPr>
              <w:widowControl w:val="0"/>
              <w:ind w:right="4"/>
              <w:rPr>
                <w:rFonts w:cs="Arial"/>
                <w:szCs w:val="20"/>
                <w:lang w:val="en-CA"/>
              </w:rPr>
            </w:pPr>
            <w:r>
              <w:rPr>
                <w:rFonts w:cs="Arial"/>
                <w:szCs w:val="20"/>
                <w:lang w:val="en-CA"/>
              </w:rPr>
              <w:t>21.0 (16)</w:t>
            </w:r>
          </w:p>
        </w:tc>
      </w:tr>
      <w:tr w:rsidR="00616F41" w14:paraId="419B1387" w14:textId="77777777" w:rsidTr="003143C2">
        <w:tc>
          <w:tcPr>
            <w:tcW w:w="2337" w:type="dxa"/>
            <w:shd w:val="clear" w:color="auto" w:fill="auto"/>
          </w:tcPr>
          <w:p w14:paraId="3AED6CC7" w14:textId="77777777" w:rsidR="00616F41" w:rsidRDefault="00616F41" w:rsidP="003143C2">
            <w:pPr>
              <w:widowControl w:val="0"/>
              <w:ind w:right="4"/>
              <w:rPr>
                <w:rFonts w:cs="Arial"/>
                <w:szCs w:val="20"/>
                <w:lang w:val="en-CA"/>
              </w:rPr>
            </w:pPr>
            <w:r>
              <w:rPr>
                <w:rFonts w:cs="Arial"/>
                <w:szCs w:val="20"/>
                <w:lang w:val="en-CA"/>
              </w:rPr>
              <w:t>4</w:t>
            </w:r>
          </w:p>
        </w:tc>
        <w:tc>
          <w:tcPr>
            <w:tcW w:w="2337" w:type="dxa"/>
            <w:shd w:val="clear" w:color="auto" w:fill="auto"/>
          </w:tcPr>
          <w:p w14:paraId="4172E7D5" w14:textId="77777777" w:rsidR="00616F41" w:rsidRDefault="00616F41" w:rsidP="003143C2">
            <w:pPr>
              <w:widowControl w:val="0"/>
              <w:ind w:right="4"/>
              <w:rPr>
                <w:rFonts w:cs="Arial"/>
                <w:szCs w:val="20"/>
                <w:lang w:val="en-CA"/>
              </w:rPr>
            </w:pPr>
            <w:r>
              <w:rPr>
                <w:rFonts w:cs="Arial"/>
                <w:szCs w:val="20"/>
                <w:lang w:val="en-CA"/>
              </w:rPr>
              <w:t>2.6 (2)</w:t>
            </w:r>
          </w:p>
        </w:tc>
        <w:tc>
          <w:tcPr>
            <w:tcW w:w="2338" w:type="dxa"/>
            <w:shd w:val="clear" w:color="auto" w:fill="auto"/>
          </w:tcPr>
          <w:p w14:paraId="7034B28A" w14:textId="77777777" w:rsidR="00616F41" w:rsidRDefault="00616F41" w:rsidP="003143C2">
            <w:pPr>
              <w:widowControl w:val="0"/>
              <w:ind w:right="4"/>
              <w:rPr>
                <w:rFonts w:cs="Arial"/>
                <w:szCs w:val="20"/>
                <w:lang w:val="en-CA"/>
              </w:rPr>
            </w:pPr>
            <w:r>
              <w:rPr>
                <w:rFonts w:cs="Arial"/>
                <w:szCs w:val="20"/>
                <w:lang w:val="en-CA"/>
              </w:rPr>
              <w:t>15.8 (12)</w:t>
            </w:r>
          </w:p>
        </w:tc>
        <w:tc>
          <w:tcPr>
            <w:tcW w:w="2338" w:type="dxa"/>
            <w:shd w:val="clear" w:color="auto" w:fill="auto"/>
          </w:tcPr>
          <w:p w14:paraId="30B24202" w14:textId="77777777" w:rsidR="00616F41" w:rsidRDefault="00616F41" w:rsidP="003143C2">
            <w:pPr>
              <w:widowControl w:val="0"/>
              <w:ind w:right="4"/>
              <w:rPr>
                <w:rFonts w:cs="Arial"/>
                <w:szCs w:val="20"/>
                <w:lang w:val="en-CA"/>
              </w:rPr>
            </w:pPr>
            <w:r>
              <w:rPr>
                <w:rFonts w:cs="Arial"/>
                <w:szCs w:val="20"/>
                <w:lang w:val="en-CA"/>
              </w:rPr>
              <w:t>18.4 (14)</w:t>
            </w:r>
          </w:p>
        </w:tc>
      </w:tr>
      <w:tr w:rsidR="00616F41" w14:paraId="3236876A" w14:textId="77777777" w:rsidTr="003143C2">
        <w:tc>
          <w:tcPr>
            <w:tcW w:w="2337" w:type="dxa"/>
            <w:shd w:val="clear" w:color="auto" w:fill="auto"/>
          </w:tcPr>
          <w:p w14:paraId="754902D9" w14:textId="77777777" w:rsidR="00616F41" w:rsidRDefault="00616F41" w:rsidP="003143C2">
            <w:pPr>
              <w:widowControl w:val="0"/>
              <w:ind w:right="4"/>
              <w:rPr>
                <w:rFonts w:cs="Arial"/>
                <w:szCs w:val="20"/>
                <w:lang w:val="en-CA"/>
              </w:rPr>
            </w:pPr>
            <w:r>
              <w:rPr>
                <w:rFonts w:cs="Arial"/>
                <w:szCs w:val="20"/>
                <w:lang w:val="en-CA"/>
              </w:rPr>
              <w:t>5</w:t>
            </w:r>
          </w:p>
        </w:tc>
        <w:tc>
          <w:tcPr>
            <w:tcW w:w="2337" w:type="dxa"/>
            <w:shd w:val="clear" w:color="auto" w:fill="auto"/>
          </w:tcPr>
          <w:p w14:paraId="0CFF32C0" w14:textId="77777777" w:rsidR="00616F41" w:rsidRDefault="00616F41" w:rsidP="003143C2">
            <w:pPr>
              <w:widowControl w:val="0"/>
              <w:ind w:right="4"/>
              <w:rPr>
                <w:rFonts w:cs="Arial"/>
                <w:szCs w:val="20"/>
                <w:lang w:val="en-CA"/>
              </w:rPr>
            </w:pPr>
          </w:p>
        </w:tc>
        <w:tc>
          <w:tcPr>
            <w:tcW w:w="2338" w:type="dxa"/>
            <w:shd w:val="clear" w:color="auto" w:fill="auto"/>
          </w:tcPr>
          <w:p w14:paraId="354AA33A" w14:textId="77777777" w:rsidR="00616F41" w:rsidRDefault="00616F41" w:rsidP="003143C2">
            <w:pPr>
              <w:widowControl w:val="0"/>
              <w:ind w:right="4"/>
              <w:rPr>
                <w:rFonts w:cs="Arial"/>
                <w:szCs w:val="20"/>
                <w:lang w:val="en-CA"/>
              </w:rPr>
            </w:pPr>
            <w:r>
              <w:rPr>
                <w:rFonts w:cs="Arial"/>
                <w:szCs w:val="20"/>
                <w:lang w:val="en-CA"/>
              </w:rPr>
              <w:t>4.0 (3)</w:t>
            </w:r>
          </w:p>
        </w:tc>
        <w:tc>
          <w:tcPr>
            <w:tcW w:w="2338" w:type="dxa"/>
            <w:shd w:val="clear" w:color="auto" w:fill="auto"/>
          </w:tcPr>
          <w:p w14:paraId="0B64B9BF" w14:textId="77777777" w:rsidR="00616F41" w:rsidRDefault="00616F41" w:rsidP="003143C2">
            <w:pPr>
              <w:widowControl w:val="0"/>
              <w:ind w:right="4"/>
              <w:rPr>
                <w:rFonts w:cs="Arial"/>
                <w:szCs w:val="20"/>
                <w:lang w:val="en-CA"/>
              </w:rPr>
            </w:pPr>
            <w:r>
              <w:rPr>
                <w:rFonts w:cs="Arial"/>
                <w:szCs w:val="20"/>
                <w:lang w:val="en-CA"/>
              </w:rPr>
              <w:t>17.1 (13)</w:t>
            </w:r>
          </w:p>
        </w:tc>
      </w:tr>
      <w:tr w:rsidR="00616F41" w14:paraId="16B4E10F" w14:textId="77777777" w:rsidTr="003143C2">
        <w:tc>
          <w:tcPr>
            <w:tcW w:w="2337" w:type="dxa"/>
            <w:shd w:val="clear" w:color="auto" w:fill="auto"/>
          </w:tcPr>
          <w:p w14:paraId="70F5BBBB" w14:textId="77777777" w:rsidR="00616F41" w:rsidRDefault="00616F41" w:rsidP="003143C2">
            <w:pPr>
              <w:widowControl w:val="0"/>
              <w:ind w:right="4"/>
              <w:rPr>
                <w:rFonts w:cs="Arial"/>
                <w:szCs w:val="20"/>
                <w:lang w:val="en-CA"/>
              </w:rPr>
            </w:pPr>
            <w:r>
              <w:rPr>
                <w:rFonts w:cs="Arial"/>
                <w:szCs w:val="20"/>
                <w:lang w:val="en-CA"/>
              </w:rPr>
              <w:t>6</w:t>
            </w:r>
          </w:p>
        </w:tc>
        <w:tc>
          <w:tcPr>
            <w:tcW w:w="2337" w:type="dxa"/>
            <w:shd w:val="clear" w:color="auto" w:fill="auto"/>
          </w:tcPr>
          <w:p w14:paraId="1E2FE70D" w14:textId="77777777" w:rsidR="00616F41" w:rsidRDefault="00616F41" w:rsidP="003143C2">
            <w:pPr>
              <w:widowControl w:val="0"/>
              <w:ind w:right="4"/>
              <w:rPr>
                <w:rFonts w:cs="Arial"/>
                <w:szCs w:val="20"/>
                <w:lang w:val="en-CA"/>
              </w:rPr>
            </w:pPr>
          </w:p>
        </w:tc>
        <w:tc>
          <w:tcPr>
            <w:tcW w:w="2338" w:type="dxa"/>
            <w:shd w:val="clear" w:color="auto" w:fill="auto"/>
          </w:tcPr>
          <w:p w14:paraId="2EBFA9C7" w14:textId="77777777" w:rsidR="00616F41" w:rsidRDefault="00616F41" w:rsidP="003143C2">
            <w:pPr>
              <w:widowControl w:val="0"/>
              <w:ind w:right="4"/>
              <w:rPr>
                <w:rFonts w:cs="Arial"/>
                <w:szCs w:val="20"/>
                <w:lang w:val="en-CA"/>
              </w:rPr>
            </w:pPr>
            <w:r>
              <w:rPr>
                <w:rFonts w:cs="Arial"/>
                <w:szCs w:val="20"/>
                <w:lang w:val="en-CA"/>
              </w:rPr>
              <w:t>2.6 (2)</w:t>
            </w:r>
          </w:p>
        </w:tc>
        <w:tc>
          <w:tcPr>
            <w:tcW w:w="2338" w:type="dxa"/>
            <w:shd w:val="clear" w:color="auto" w:fill="auto"/>
          </w:tcPr>
          <w:p w14:paraId="09E0F8C9" w14:textId="77777777" w:rsidR="00616F41" w:rsidRDefault="00616F41" w:rsidP="003143C2">
            <w:pPr>
              <w:widowControl w:val="0"/>
              <w:ind w:right="4"/>
              <w:rPr>
                <w:rFonts w:cs="Arial"/>
                <w:szCs w:val="20"/>
                <w:lang w:val="en-CA"/>
              </w:rPr>
            </w:pPr>
            <w:r>
              <w:rPr>
                <w:rFonts w:cs="Arial"/>
                <w:szCs w:val="20"/>
                <w:lang w:val="en-CA"/>
              </w:rPr>
              <w:t>10.5 (8)</w:t>
            </w:r>
          </w:p>
        </w:tc>
      </w:tr>
      <w:tr w:rsidR="00616F41" w14:paraId="3E0B625E" w14:textId="77777777" w:rsidTr="003143C2">
        <w:tc>
          <w:tcPr>
            <w:tcW w:w="2337" w:type="dxa"/>
            <w:shd w:val="clear" w:color="auto" w:fill="auto"/>
          </w:tcPr>
          <w:p w14:paraId="342AAC1B" w14:textId="77777777" w:rsidR="00616F41" w:rsidRDefault="00616F41" w:rsidP="003143C2">
            <w:pPr>
              <w:widowControl w:val="0"/>
              <w:ind w:right="4"/>
              <w:rPr>
                <w:rFonts w:cs="Arial"/>
                <w:szCs w:val="20"/>
                <w:lang w:val="en-CA"/>
              </w:rPr>
            </w:pPr>
            <w:r>
              <w:rPr>
                <w:rFonts w:cs="Arial"/>
                <w:szCs w:val="20"/>
                <w:lang w:val="en-CA"/>
              </w:rPr>
              <w:t>7</w:t>
            </w:r>
          </w:p>
        </w:tc>
        <w:tc>
          <w:tcPr>
            <w:tcW w:w="2337" w:type="dxa"/>
            <w:shd w:val="clear" w:color="auto" w:fill="auto"/>
          </w:tcPr>
          <w:p w14:paraId="64194F5D" w14:textId="77777777" w:rsidR="00616F41" w:rsidRDefault="00616F41" w:rsidP="003143C2">
            <w:pPr>
              <w:widowControl w:val="0"/>
              <w:ind w:right="4"/>
              <w:rPr>
                <w:rFonts w:cs="Arial"/>
                <w:szCs w:val="20"/>
                <w:lang w:val="en-CA"/>
              </w:rPr>
            </w:pPr>
          </w:p>
        </w:tc>
        <w:tc>
          <w:tcPr>
            <w:tcW w:w="2338" w:type="dxa"/>
            <w:shd w:val="clear" w:color="auto" w:fill="auto"/>
          </w:tcPr>
          <w:p w14:paraId="3A068E88" w14:textId="77777777" w:rsidR="00616F41" w:rsidRDefault="00616F41" w:rsidP="003143C2">
            <w:pPr>
              <w:widowControl w:val="0"/>
              <w:ind w:right="4"/>
              <w:rPr>
                <w:rFonts w:cs="Arial"/>
                <w:szCs w:val="20"/>
                <w:lang w:val="en-CA"/>
              </w:rPr>
            </w:pPr>
            <w:r>
              <w:rPr>
                <w:rFonts w:cs="Arial"/>
                <w:szCs w:val="20"/>
                <w:lang w:val="en-CA"/>
              </w:rPr>
              <w:t>2.6 (2)</w:t>
            </w:r>
          </w:p>
        </w:tc>
        <w:tc>
          <w:tcPr>
            <w:tcW w:w="2338" w:type="dxa"/>
            <w:shd w:val="clear" w:color="auto" w:fill="auto"/>
          </w:tcPr>
          <w:p w14:paraId="2896D8E4" w14:textId="77777777" w:rsidR="00616F41" w:rsidRDefault="00616F41" w:rsidP="003143C2">
            <w:pPr>
              <w:widowControl w:val="0"/>
              <w:ind w:right="4"/>
              <w:rPr>
                <w:rFonts w:cs="Arial"/>
                <w:szCs w:val="20"/>
                <w:lang w:val="en-CA"/>
              </w:rPr>
            </w:pPr>
            <w:r>
              <w:rPr>
                <w:rFonts w:cs="Arial"/>
                <w:szCs w:val="20"/>
                <w:lang w:val="en-CA"/>
              </w:rPr>
              <w:t>4.0 (3)</w:t>
            </w:r>
          </w:p>
        </w:tc>
      </w:tr>
      <w:tr w:rsidR="00616F41" w14:paraId="20903728" w14:textId="77777777" w:rsidTr="003143C2">
        <w:tc>
          <w:tcPr>
            <w:tcW w:w="2337" w:type="dxa"/>
            <w:shd w:val="clear" w:color="auto" w:fill="auto"/>
          </w:tcPr>
          <w:p w14:paraId="55C98B2F" w14:textId="77777777" w:rsidR="00616F41" w:rsidRDefault="00616F41" w:rsidP="003143C2">
            <w:pPr>
              <w:widowControl w:val="0"/>
              <w:ind w:right="4"/>
              <w:rPr>
                <w:rFonts w:cs="Arial"/>
                <w:szCs w:val="20"/>
                <w:lang w:val="en-CA"/>
              </w:rPr>
            </w:pPr>
            <w:r>
              <w:rPr>
                <w:rFonts w:cs="Arial"/>
                <w:szCs w:val="20"/>
                <w:lang w:val="en-CA"/>
              </w:rPr>
              <w:t>8</w:t>
            </w:r>
          </w:p>
        </w:tc>
        <w:tc>
          <w:tcPr>
            <w:tcW w:w="2337" w:type="dxa"/>
            <w:shd w:val="clear" w:color="auto" w:fill="auto"/>
          </w:tcPr>
          <w:p w14:paraId="2FED7E84" w14:textId="77777777" w:rsidR="00616F41" w:rsidRDefault="00616F41" w:rsidP="003143C2">
            <w:pPr>
              <w:widowControl w:val="0"/>
              <w:ind w:right="4"/>
              <w:rPr>
                <w:rFonts w:cs="Arial"/>
                <w:szCs w:val="20"/>
                <w:lang w:val="en-CA"/>
              </w:rPr>
            </w:pPr>
          </w:p>
        </w:tc>
        <w:tc>
          <w:tcPr>
            <w:tcW w:w="2338" w:type="dxa"/>
            <w:shd w:val="clear" w:color="auto" w:fill="auto"/>
          </w:tcPr>
          <w:p w14:paraId="451B4BC5" w14:textId="77777777" w:rsidR="00616F41" w:rsidRDefault="00616F41" w:rsidP="003143C2">
            <w:pPr>
              <w:widowControl w:val="0"/>
              <w:ind w:right="4"/>
              <w:rPr>
                <w:rFonts w:cs="Arial"/>
                <w:szCs w:val="20"/>
                <w:lang w:val="en-CA"/>
              </w:rPr>
            </w:pPr>
          </w:p>
        </w:tc>
        <w:tc>
          <w:tcPr>
            <w:tcW w:w="2338" w:type="dxa"/>
            <w:shd w:val="clear" w:color="auto" w:fill="auto"/>
          </w:tcPr>
          <w:p w14:paraId="433698C9" w14:textId="77777777" w:rsidR="00616F41" w:rsidRDefault="00616F41" w:rsidP="003143C2">
            <w:pPr>
              <w:widowControl w:val="0"/>
              <w:ind w:right="4"/>
              <w:rPr>
                <w:rFonts w:cs="Arial"/>
                <w:szCs w:val="20"/>
                <w:lang w:val="en-CA"/>
              </w:rPr>
            </w:pPr>
            <w:r>
              <w:rPr>
                <w:rFonts w:cs="Arial"/>
                <w:szCs w:val="20"/>
                <w:lang w:val="en-CA"/>
              </w:rPr>
              <w:t>1.3 (1)</w:t>
            </w:r>
          </w:p>
        </w:tc>
      </w:tr>
      <w:tr w:rsidR="00616F41" w14:paraId="39D0B4D1" w14:textId="77777777" w:rsidTr="003143C2">
        <w:tc>
          <w:tcPr>
            <w:tcW w:w="2337" w:type="dxa"/>
            <w:shd w:val="clear" w:color="auto" w:fill="auto"/>
          </w:tcPr>
          <w:p w14:paraId="57A0AEBB" w14:textId="77777777" w:rsidR="00616F41" w:rsidRDefault="00616F41" w:rsidP="003143C2">
            <w:pPr>
              <w:widowControl w:val="0"/>
              <w:ind w:right="4"/>
              <w:rPr>
                <w:rFonts w:cs="Arial"/>
                <w:szCs w:val="20"/>
                <w:lang w:val="en-CA"/>
              </w:rPr>
            </w:pPr>
            <w:r>
              <w:rPr>
                <w:rFonts w:cs="Arial"/>
                <w:szCs w:val="20"/>
                <w:lang w:val="en-CA"/>
              </w:rPr>
              <w:t>9</w:t>
            </w:r>
          </w:p>
        </w:tc>
        <w:tc>
          <w:tcPr>
            <w:tcW w:w="2337" w:type="dxa"/>
            <w:shd w:val="clear" w:color="auto" w:fill="auto"/>
          </w:tcPr>
          <w:p w14:paraId="4A5C146C" w14:textId="77777777" w:rsidR="00616F41" w:rsidRDefault="00616F41" w:rsidP="003143C2">
            <w:pPr>
              <w:widowControl w:val="0"/>
              <w:ind w:right="4"/>
              <w:rPr>
                <w:rFonts w:cs="Arial"/>
                <w:szCs w:val="20"/>
                <w:lang w:val="en-CA"/>
              </w:rPr>
            </w:pPr>
          </w:p>
        </w:tc>
        <w:tc>
          <w:tcPr>
            <w:tcW w:w="2338" w:type="dxa"/>
            <w:shd w:val="clear" w:color="auto" w:fill="auto"/>
          </w:tcPr>
          <w:p w14:paraId="498860EE" w14:textId="77777777" w:rsidR="00616F41" w:rsidRDefault="00616F41" w:rsidP="003143C2">
            <w:pPr>
              <w:widowControl w:val="0"/>
              <w:ind w:right="4"/>
              <w:rPr>
                <w:rFonts w:cs="Arial"/>
                <w:szCs w:val="20"/>
                <w:lang w:val="en-CA"/>
              </w:rPr>
            </w:pPr>
          </w:p>
        </w:tc>
        <w:tc>
          <w:tcPr>
            <w:tcW w:w="2338" w:type="dxa"/>
            <w:shd w:val="clear" w:color="auto" w:fill="auto"/>
          </w:tcPr>
          <w:p w14:paraId="0FFB614E" w14:textId="77777777" w:rsidR="00616F41" w:rsidRDefault="00616F41" w:rsidP="003143C2">
            <w:pPr>
              <w:widowControl w:val="0"/>
              <w:ind w:right="4"/>
              <w:rPr>
                <w:rFonts w:cs="Arial"/>
                <w:szCs w:val="20"/>
                <w:lang w:val="en-CA"/>
              </w:rPr>
            </w:pPr>
            <w:r>
              <w:rPr>
                <w:rFonts w:cs="Arial"/>
                <w:szCs w:val="20"/>
                <w:lang w:val="en-CA"/>
              </w:rPr>
              <w:t>1.3 (1)</w:t>
            </w:r>
          </w:p>
        </w:tc>
      </w:tr>
      <w:tr w:rsidR="00616F41" w14:paraId="39A15D96" w14:textId="77777777" w:rsidTr="003143C2">
        <w:tc>
          <w:tcPr>
            <w:tcW w:w="2337" w:type="dxa"/>
            <w:shd w:val="clear" w:color="auto" w:fill="auto"/>
          </w:tcPr>
          <w:p w14:paraId="16B59AB5" w14:textId="77777777" w:rsidR="00616F41" w:rsidRDefault="00616F41" w:rsidP="003143C2">
            <w:pPr>
              <w:widowControl w:val="0"/>
              <w:ind w:right="4"/>
              <w:rPr>
                <w:rFonts w:cs="Arial"/>
                <w:szCs w:val="20"/>
                <w:lang w:val="en-CA"/>
              </w:rPr>
            </w:pPr>
            <w:r>
              <w:rPr>
                <w:rFonts w:cs="Arial"/>
                <w:szCs w:val="20"/>
                <w:lang w:val="en-CA"/>
              </w:rPr>
              <w:t>10</w:t>
            </w:r>
          </w:p>
        </w:tc>
        <w:tc>
          <w:tcPr>
            <w:tcW w:w="2337" w:type="dxa"/>
            <w:shd w:val="clear" w:color="auto" w:fill="auto"/>
          </w:tcPr>
          <w:p w14:paraId="4FFCD0FE" w14:textId="77777777" w:rsidR="00616F41" w:rsidRDefault="00616F41" w:rsidP="003143C2">
            <w:pPr>
              <w:widowControl w:val="0"/>
              <w:ind w:right="4"/>
              <w:rPr>
                <w:rFonts w:cs="Arial"/>
                <w:szCs w:val="20"/>
                <w:lang w:val="en-CA"/>
              </w:rPr>
            </w:pPr>
          </w:p>
        </w:tc>
        <w:tc>
          <w:tcPr>
            <w:tcW w:w="2338" w:type="dxa"/>
            <w:shd w:val="clear" w:color="auto" w:fill="auto"/>
          </w:tcPr>
          <w:p w14:paraId="30EA85CD" w14:textId="77777777" w:rsidR="00616F41" w:rsidRDefault="00616F41" w:rsidP="003143C2">
            <w:pPr>
              <w:widowControl w:val="0"/>
              <w:ind w:right="4"/>
              <w:rPr>
                <w:rFonts w:cs="Arial"/>
                <w:szCs w:val="20"/>
                <w:lang w:val="en-CA"/>
              </w:rPr>
            </w:pPr>
          </w:p>
        </w:tc>
        <w:tc>
          <w:tcPr>
            <w:tcW w:w="2338" w:type="dxa"/>
            <w:shd w:val="clear" w:color="auto" w:fill="auto"/>
          </w:tcPr>
          <w:p w14:paraId="301BE809" w14:textId="77777777" w:rsidR="00616F41" w:rsidRDefault="00616F41" w:rsidP="003143C2">
            <w:pPr>
              <w:widowControl w:val="0"/>
              <w:ind w:right="4"/>
              <w:rPr>
                <w:rFonts w:cs="Arial"/>
                <w:szCs w:val="20"/>
                <w:lang w:val="en-CA"/>
              </w:rPr>
            </w:pPr>
            <w:r>
              <w:rPr>
                <w:rFonts w:cs="Arial"/>
                <w:szCs w:val="20"/>
                <w:lang w:val="en-CA"/>
              </w:rPr>
              <w:t>1.3 (1)</w:t>
            </w:r>
          </w:p>
        </w:tc>
      </w:tr>
    </w:tbl>
    <w:p w14:paraId="7E9025CB" w14:textId="77777777" w:rsidR="00616F41" w:rsidRPr="00BE1414" w:rsidRDefault="00616F41" w:rsidP="00616F41">
      <w:pPr>
        <w:widowControl w:val="0"/>
        <w:ind w:right="4"/>
        <w:rPr>
          <w:rFonts w:cs="Arial"/>
          <w:szCs w:val="20"/>
          <w:lang w:val="en-CA"/>
        </w:rPr>
      </w:pPr>
      <w:r w:rsidRPr="00D948D0">
        <w:rPr>
          <w:rFonts w:cs="Arial"/>
          <w:b/>
          <w:bCs/>
          <w:szCs w:val="20"/>
          <w:lang w:val="en-CA"/>
        </w:rPr>
        <w:t>Note:</w:t>
      </w:r>
      <w:r w:rsidRPr="00BE1414">
        <w:rPr>
          <w:rFonts w:cs="Arial"/>
          <w:szCs w:val="20"/>
          <w:lang w:val="en-CA"/>
        </w:rPr>
        <w:t xml:space="preserve"> blank cells indicate a count of zero (0)</w:t>
      </w:r>
    </w:p>
    <w:p w14:paraId="7B06E8EF" w14:textId="77777777" w:rsidR="00616F41" w:rsidRPr="00BE1414" w:rsidRDefault="00616F41" w:rsidP="00616F41">
      <w:pPr>
        <w:widowControl w:val="0"/>
        <w:ind w:right="4"/>
        <w:rPr>
          <w:rFonts w:cs="Arial"/>
          <w:szCs w:val="20"/>
          <w:lang w:val="en-CA"/>
        </w:rPr>
      </w:pPr>
    </w:p>
    <w:p w14:paraId="53231355" w14:textId="77777777" w:rsidR="00616F41" w:rsidRPr="00BE1414" w:rsidRDefault="00616F41" w:rsidP="00616F41">
      <w:pPr>
        <w:widowControl w:val="0"/>
        <w:ind w:right="4"/>
        <w:rPr>
          <w:rFonts w:cs="Arial"/>
          <w:szCs w:val="20"/>
          <w:lang w:val="en-CA"/>
        </w:rPr>
      </w:pPr>
    </w:p>
    <w:p w14:paraId="03A97D1F" w14:textId="77777777" w:rsidR="00616F41" w:rsidRPr="00BE1414" w:rsidRDefault="00616F41" w:rsidP="00616F41">
      <w:pPr>
        <w:widowControl w:val="0"/>
        <w:ind w:right="4"/>
        <w:rPr>
          <w:rFonts w:cs="Arial"/>
          <w:szCs w:val="20"/>
          <w:lang w:val="en-CA"/>
        </w:rPr>
      </w:pPr>
    </w:p>
    <w:p w14:paraId="1831CE8E" w14:textId="77777777" w:rsidR="00616F41" w:rsidRPr="00BE1414" w:rsidRDefault="00616F41" w:rsidP="00616F41">
      <w:pPr>
        <w:widowControl w:val="0"/>
        <w:ind w:right="4"/>
        <w:rPr>
          <w:rFonts w:cs="Arial"/>
          <w:szCs w:val="20"/>
        </w:rPr>
      </w:pPr>
    </w:p>
    <w:p w14:paraId="2E00152A" w14:textId="77777777" w:rsidR="00616F41" w:rsidRPr="00061B41" w:rsidRDefault="00616F41" w:rsidP="00061B41">
      <w:pPr>
        <w:rPr>
          <w:rFonts w:cs="Arial"/>
          <w:szCs w:val="20"/>
        </w:rPr>
      </w:pPr>
    </w:p>
    <w:sectPr w:rsidR="00616F41" w:rsidRPr="00061B41" w:rsidSect="00C94612">
      <w:footerReference w:type="even" r:id="rId8"/>
      <w:footerReference w:type="default" r:id="rId9"/>
      <w:footerReference w:type="first" r:id="rId10"/>
      <w:pgSz w:w="12240" w:h="15840"/>
      <w:pgMar w:top="1440" w:right="1800" w:bottom="1440" w:left="180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55004" w14:textId="77777777" w:rsidR="00E46A9E" w:rsidRDefault="00E46A9E">
      <w:r>
        <w:separator/>
      </w:r>
    </w:p>
  </w:endnote>
  <w:endnote w:type="continuationSeparator" w:id="0">
    <w:p w14:paraId="6A7B9044" w14:textId="77777777" w:rsidR="00E46A9E" w:rsidRDefault="00E46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89816" w14:textId="77777777" w:rsidR="006C5368" w:rsidRDefault="006C5368" w:rsidP="00FF26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AF2E2E" w14:textId="77777777" w:rsidR="006C5368" w:rsidRDefault="006C5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767A7" w14:textId="59E9D5B8" w:rsidR="006C5368" w:rsidRDefault="00D06E2C" w:rsidP="00FF2660">
    <w:pPr>
      <w:pStyle w:val="Footer"/>
      <w:framePr w:wrap="around" w:vAnchor="text" w:hAnchor="margin" w:xAlign="center" w:y="1"/>
      <w:rPr>
        <w:rStyle w:val="PageNumber"/>
      </w:rPr>
    </w:pPr>
    <w:r>
      <w:rPr>
        <w:noProof/>
      </w:rPr>
    </w:r>
    <w:r w:rsidR="00D06E2C">
      <w:rPr>
        <w:noProof/>
      </w:rPr>
      <w:pict w14:anchorId="7AB8E50F">
        <v:shapetype id="_x0000_t202" coordsize="21600,21600" o:spt="202" path="m,l,21600r21600,l21600,xe">
          <v:stroke joinstyle="miter"/>
          <v:path gradientshapeok="t" o:connecttype="rect"/>
        </v:shapetype>
        <v:shape id="MSIPCM8ef54de2a7a4d03c423a990a" o:spid="_x0000_s1026" type="#_x0000_t202" alt="{&quot;HashCode&quot;:-1348403003,&quot;Height&quot;:792.0,&quot;Width&quot;:612.0,&quot;Placement&quot;:&quot;Footer&quot;,&quot;Index&quot;:&quot;Primary&quot;,&quot;Section&quot;:1,&quot;Top&quot;:0.0,&quot;Left&quot;:0.0}" style="position:absolute;margin-left:0;margin-top:756.2pt;width:612pt;height:20.8pt;z-index:251657216;mso-wrap-style:square;mso-wrap-edited:f;mso-width-percent:0;mso-height-percent:0;mso-position-horizontal:absolute;mso-position-horizontal-relative:page;mso-position-vertical:absolute;mso-position-vertical-relative:page;mso-width-percent:0;mso-height-percent:0;v-text-anchor:bottom" o:allowincell="f" filled="f" stroked="f">
          <v:textbox inset="20pt,0,,0">
            <w:txbxContent>
              <w:p w14:paraId="5CBE7705" w14:textId="11E8F27B" w:rsidR="00740F67" w:rsidRPr="00740F67" w:rsidRDefault="00740F67" w:rsidP="00740F67">
                <w:pPr>
                  <w:rPr>
                    <w:rFonts w:ascii="Rockwell" w:hAnsi="Rockwell"/>
                    <w:color w:val="0078D7"/>
                    <w:sz w:val="18"/>
                  </w:rPr>
                </w:pPr>
                <w:r w:rsidRPr="00740F67">
                  <w:rPr>
                    <w:rFonts w:ascii="Rockwell" w:hAnsi="Rockwell"/>
                    <w:color w:val="0078D7"/>
                    <w:sz w:val="18"/>
                  </w:rPr>
                  <w:t>Information Classification: General</w:t>
                </w:r>
              </w:p>
            </w:txbxContent>
          </v:textbox>
          <w10:wrap anchorx="page" anchory="page"/>
        </v:shape>
      </w:pict>
    </w:r>
    <w:r w:rsidR="006C5368">
      <w:rPr>
        <w:rStyle w:val="PageNumber"/>
      </w:rPr>
      <w:fldChar w:fldCharType="begin"/>
    </w:r>
    <w:r w:rsidR="006C5368">
      <w:rPr>
        <w:rStyle w:val="PageNumber"/>
      </w:rPr>
      <w:instrText xml:space="preserve">PAGE  </w:instrText>
    </w:r>
    <w:r w:rsidR="006C5368">
      <w:rPr>
        <w:rStyle w:val="PageNumber"/>
      </w:rPr>
      <w:fldChar w:fldCharType="separate"/>
    </w:r>
    <w:r w:rsidR="00C94612">
      <w:rPr>
        <w:rStyle w:val="PageNumber"/>
        <w:noProof/>
      </w:rPr>
      <w:t>5</w:t>
    </w:r>
    <w:r w:rsidR="006C5368">
      <w:rPr>
        <w:rStyle w:val="PageNumber"/>
      </w:rPr>
      <w:fldChar w:fldCharType="end"/>
    </w:r>
  </w:p>
  <w:p w14:paraId="57E037CD" w14:textId="77777777" w:rsidR="006C5368" w:rsidRDefault="006C53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E9367" w14:textId="30AB0F3C" w:rsidR="00740F67" w:rsidRDefault="00D06E2C">
    <w:pPr>
      <w:pStyle w:val="Footer"/>
    </w:pPr>
    <w:r>
      <w:rPr>
        <w:noProof/>
      </w:rPr>
    </w:r>
    <w:r w:rsidR="00D06E2C">
      <w:rPr>
        <w:noProof/>
      </w:rPr>
      <w:pict w14:anchorId="2D742D44">
        <v:shapetype id="_x0000_t202" coordsize="21600,21600" o:spt="202" path="m,l,21600r21600,l21600,xe">
          <v:stroke joinstyle="miter"/>
          <v:path gradientshapeok="t" o:connecttype="rect"/>
        </v:shapetype>
        <v:shape id="MSIPCM71df4afb82ef22201046dfa6" o:spid="_x0000_s1025" type="#_x0000_t202" alt="{&quot;HashCode&quot;:-1348403003,&quot;Height&quot;:792.0,&quot;Width&quot;:612.0,&quot;Placement&quot;:&quot;Footer&quot;,&quot;Index&quot;:&quot;FirstPage&quot;,&quot;Section&quot;:1,&quot;Top&quot;:0.0,&quot;Left&quot;:0.0}" style="position:absolute;margin-left:0;margin-top:756.2pt;width:612pt;height:20.8pt;z-index:251658240;mso-wrap-style:square;mso-wrap-edited:f;mso-width-percent:0;mso-height-percent:0;mso-position-horizontal:absolute;mso-position-horizontal-relative:page;mso-position-vertical:absolute;mso-position-vertical-relative:page;mso-width-percent:0;mso-height-percent:0;v-text-anchor:bottom" o:allowincell="f" filled="f" stroked="f">
          <v:textbox inset="20pt,0,,0">
            <w:txbxContent>
              <w:p w14:paraId="640858B6" w14:textId="2F40394D" w:rsidR="00740F67" w:rsidRDefault="00740F67" w:rsidP="00740F67">
                <w:pPr>
                  <w:rPr>
                    <w:rFonts w:ascii="Rockwell" w:hAnsi="Rockwell"/>
                    <w:color w:val="0078D7"/>
                    <w:sz w:val="18"/>
                  </w:rPr>
                </w:pPr>
                <w:r w:rsidRPr="00740F67">
                  <w:rPr>
                    <w:rFonts w:ascii="Rockwell" w:hAnsi="Rockwell"/>
                    <w:color w:val="0078D7"/>
                    <w:sz w:val="18"/>
                  </w:rPr>
                  <w:t>Information Classification: General</w:t>
                </w:r>
              </w:p>
              <w:p w14:paraId="443EF2B2" w14:textId="77777777" w:rsidR="00181E44" w:rsidRPr="00740F67" w:rsidRDefault="00181E44" w:rsidP="00740F67">
                <w:pPr>
                  <w:rPr>
                    <w:rFonts w:ascii="Rockwell" w:hAnsi="Rockwell"/>
                    <w:color w:val="0078D7"/>
                    <w:sz w:val="18"/>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94E84" w14:textId="77777777" w:rsidR="00E46A9E" w:rsidRDefault="00E46A9E">
      <w:r>
        <w:separator/>
      </w:r>
    </w:p>
  </w:footnote>
  <w:footnote w:type="continuationSeparator" w:id="0">
    <w:p w14:paraId="1184E833" w14:textId="77777777" w:rsidR="00E46A9E" w:rsidRDefault="00E46A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E03DA"/>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8876EBB"/>
    <w:multiLevelType w:val="hybridMultilevel"/>
    <w:tmpl w:val="82C417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C6603A"/>
    <w:multiLevelType w:val="hybridMultilevel"/>
    <w:tmpl w:val="A1A4A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D96842"/>
    <w:multiLevelType w:val="hybridMultilevel"/>
    <w:tmpl w:val="37B8F894"/>
    <w:lvl w:ilvl="0" w:tplc="DEAC30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EB6176"/>
    <w:multiLevelType w:val="hybridMultilevel"/>
    <w:tmpl w:val="8B8E4E3C"/>
    <w:lvl w:ilvl="0" w:tplc="151E8610">
      <w:start w:val="1"/>
      <w:numFmt w:val="bullet"/>
      <w:lvlText w:val="-"/>
      <w:lvlJc w:val="left"/>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440B8E"/>
    <w:multiLevelType w:val="multilevel"/>
    <w:tmpl w:val="5F303E7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9617AF9"/>
    <w:multiLevelType w:val="hybridMultilevel"/>
    <w:tmpl w:val="DF0C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521476"/>
    <w:multiLevelType w:val="hybridMultilevel"/>
    <w:tmpl w:val="3F6C727A"/>
    <w:lvl w:ilvl="0" w:tplc="2F30AAA6">
      <w:start w:val="1"/>
      <w:numFmt w:val="decimal"/>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39235517">
    <w:abstractNumId w:val="2"/>
  </w:num>
  <w:num w:numId="2" w16cid:durableId="1323503343">
    <w:abstractNumId w:val="3"/>
  </w:num>
  <w:num w:numId="3" w16cid:durableId="881290172">
    <w:abstractNumId w:val="7"/>
  </w:num>
  <w:num w:numId="4" w16cid:durableId="2016881894">
    <w:abstractNumId w:val="5"/>
  </w:num>
  <w:num w:numId="5" w16cid:durableId="482478068">
    <w:abstractNumId w:val="0"/>
  </w:num>
  <w:num w:numId="6" w16cid:durableId="1999261659">
    <w:abstractNumId w:val="6"/>
  </w:num>
  <w:num w:numId="7" w16cid:durableId="2006980644">
    <w:abstractNumId w:val="1"/>
  </w:num>
  <w:num w:numId="8" w16cid:durableId="718210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ibraries" w:val="&lt;ENLibraries&gt;&lt;Libraries&gt;&lt;item&gt;Contraceptives Implantable-Converted.enl&lt;/item&gt;&lt;/Libraries&gt;&lt;/ENLibraries&gt;"/>
  </w:docVars>
  <w:rsids>
    <w:rsidRoot w:val="00B30BC3"/>
    <w:rsid w:val="00006E2A"/>
    <w:rsid w:val="00010403"/>
    <w:rsid w:val="000160D7"/>
    <w:rsid w:val="00033695"/>
    <w:rsid w:val="000342A0"/>
    <w:rsid w:val="00035CCC"/>
    <w:rsid w:val="00043C1E"/>
    <w:rsid w:val="0005257A"/>
    <w:rsid w:val="00054361"/>
    <w:rsid w:val="00061B41"/>
    <w:rsid w:val="00062025"/>
    <w:rsid w:val="000666AF"/>
    <w:rsid w:val="0007252D"/>
    <w:rsid w:val="0008401B"/>
    <w:rsid w:val="00087F9B"/>
    <w:rsid w:val="0009220D"/>
    <w:rsid w:val="000A4388"/>
    <w:rsid w:val="000B2BC9"/>
    <w:rsid w:val="000C59ED"/>
    <w:rsid w:val="000D3E37"/>
    <w:rsid w:val="000E6B48"/>
    <w:rsid w:val="000E7758"/>
    <w:rsid w:val="000F3C41"/>
    <w:rsid w:val="000F400A"/>
    <w:rsid w:val="000F52BD"/>
    <w:rsid w:val="00117777"/>
    <w:rsid w:val="00127CD5"/>
    <w:rsid w:val="00140DA3"/>
    <w:rsid w:val="0017004E"/>
    <w:rsid w:val="00170F20"/>
    <w:rsid w:val="00173279"/>
    <w:rsid w:val="00181E44"/>
    <w:rsid w:val="00184C78"/>
    <w:rsid w:val="00191F49"/>
    <w:rsid w:val="001E7479"/>
    <w:rsid w:val="00203209"/>
    <w:rsid w:val="00217D65"/>
    <w:rsid w:val="0022632E"/>
    <w:rsid w:val="0023210A"/>
    <w:rsid w:val="00240E76"/>
    <w:rsid w:val="00246A32"/>
    <w:rsid w:val="00265640"/>
    <w:rsid w:val="00270A96"/>
    <w:rsid w:val="00272487"/>
    <w:rsid w:val="00272FF8"/>
    <w:rsid w:val="00285503"/>
    <w:rsid w:val="00286E82"/>
    <w:rsid w:val="00294CB0"/>
    <w:rsid w:val="002A2D9E"/>
    <w:rsid w:val="002D1A3E"/>
    <w:rsid w:val="002F4012"/>
    <w:rsid w:val="00307CCD"/>
    <w:rsid w:val="003155A1"/>
    <w:rsid w:val="00320521"/>
    <w:rsid w:val="00324666"/>
    <w:rsid w:val="003466B1"/>
    <w:rsid w:val="00350979"/>
    <w:rsid w:val="00354D70"/>
    <w:rsid w:val="0037212B"/>
    <w:rsid w:val="0038573C"/>
    <w:rsid w:val="0038598C"/>
    <w:rsid w:val="0039041E"/>
    <w:rsid w:val="003948EC"/>
    <w:rsid w:val="003A6F39"/>
    <w:rsid w:val="003B4083"/>
    <w:rsid w:val="003D69BD"/>
    <w:rsid w:val="003F4FB2"/>
    <w:rsid w:val="00410570"/>
    <w:rsid w:val="00411796"/>
    <w:rsid w:val="004229E0"/>
    <w:rsid w:val="00431388"/>
    <w:rsid w:val="0044546F"/>
    <w:rsid w:val="00473BF1"/>
    <w:rsid w:val="004754C9"/>
    <w:rsid w:val="00494B14"/>
    <w:rsid w:val="004B52C5"/>
    <w:rsid w:val="004B7DBB"/>
    <w:rsid w:val="004C5313"/>
    <w:rsid w:val="004C5DB2"/>
    <w:rsid w:val="004E0368"/>
    <w:rsid w:val="004E2F6D"/>
    <w:rsid w:val="004E782D"/>
    <w:rsid w:val="00511DB2"/>
    <w:rsid w:val="00553800"/>
    <w:rsid w:val="00556F09"/>
    <w:rsid w:val="005646D7"/>
    <w:rsid w:val="00565970"/>
    <w:rsid w:val="00574A0C"/>
    <w:rsid w:val="00594AC9"/>
    <w:rsid w:val="00595F93"/>
    <w:rsid w:val="005A3EF4"/>
    <w:rsid w:val="005A5DAD"/>
    <w:rsid w:val="005A6431"/>
    <w:rsid w:val="005E1ECB"/>
    <w:rsid w:val="00600B5C"/>
    <w:rsid w:val="0060400B"/>
    <w:rsid w:val="00611C5F"/>
    <w:rsid w:val="00616A5D"/>
    <w:rsid w:val="00616F41"/>
    <w:rsid w:val="0062140C"/>
    <w:rsid w:val="00646CF0"/>
    <w:rsid w:val="00661C2D"/>
    <w:rsid w:val="00662E52"/>
    <w:rsid w:val="00664525"/>
    <w:rsid w:val="00667BDF"/>
    <w:rsid w:val="006776FE"/>
    <w:rsid w:val="00680193"/>
    <w:rsid w:val="006A26A4"/>
    <w:rsid w:val="006C5368"/>
    <w:rsid w:val="006C58F2"/>
    <w:rsid w:val="006C62BE"/>
    <w:rsid w:val="006C6E88"/>
    <w:rsid w:val="006D0474"/>
    <w:rsid w:val="006D142F"/>
    <w:rsid w:val="006D4AC5"/>
    <w:rsid w:val="006E7713"/>
    <w:rsid w:val="00711171"/>
    <w:rsid w:val="007117B3"/>
    <w:rsid w:val="00723455"/>
    <w:rsid w:val="00726049"/>
    <w:rsid w:val="007265D3"/>
    <w:rsid w:val="0074068E"/>
    <w:rsid w:val="00740F67"/>
    <w:rsid w:val="00745C2A"/>
    <w:rsid w:val="00753E6B"/>
    <w:rsid w:val="00755FA8"/>
    <w:rsid w:val="00776A7C"/>
    <w:rsid w:val="00780A29"/>
    <w:rsid w:val="007810CD"/>
    <w:rsid w:val="007900DA"/>
    <w:rsid w:val="007A1BDB"/>
    <w:rsid w:val="007A2AB8"/>
    <w:rsid w:val="007A3BEE"/>
    <w:rsid w:val="007B30AD"/>
    <w:rsid w:val="007C30BC"/>
    <w:rsid w:val="007E39E1"/>
    <w:rsid w:val="007E5D6F"/>
    <w:rsid w:val="007F32DA"/>
    <w:rsid w:val="007F3E8B"/>
    <w:rsid w:val="00826044"/>
    <w:rsid w:val="00826A87"/>
    <w:rsid w:val="00827FC5"/>
    <w:rsid w:val="00852799"/>
    <w:rsid w:val="00856AB9"/>
    <w:rsid w:val="0088598F"/>
    <w:rsid w:val="00887016"/>
    <w:rsid w:val="008A08C0"/>
    <w:rsid w:val="008A4036"/>
    <w:rsid w:val="008A52A5"/>
    <w:rsid w:val="008B697C"/>
    <w:rsid w:val="008B7AD5"/>
    <w:rsid w:val="008C361E"/>
    <w:rsid w:val="008E3EA8"/>
    <w:rsid w:val="00900663"/>
    <w:rsid w:val="00901244"/>
    <w:rsid w:val="0091401F"/>
    <w:rsid w:val="009147B3"/>
    <w:rsid w:val="0092188A"/>
    <w:rsid w:val="00927DE6"/>
    <w:rsid w:val="009345FC"/>
    <w:rsid w:val="0093637B"/>
    <w:rsid w:val="00937F3D"/>
    <w:rsid w:val="00944B8F"/>
    <w:rsid w:val="00946800"/>
    <w:rsid w:val="009563F4"/>
    <w:rsid w:val="00956C4D"/>
    <w:rsid w:val="009828D3"/>
    <w:rsid w:val="00992CB9"/>
    <w:rsid w:val="009A1F5A"/>
    <w:rsid w:val="009B1D49"/>
    <w:rsid w:val="009D3AD0"/>
    <w:rsid w:val="009F3AFA"/>
    <w:rsid w:val="00A10913"/>
    <w:rsid w:val="00A20FFB"/>
    <w:rsid w:val="00A3756A"/>
    <w:rsid w:val="00A400D2"/>
    <w:rsid w:val="00A445D7"/>
    <w:rsid w:val="00A6170F"/>
    <w:rsid w:val="00A63CD7"/>
    <w:rsid w:val="00A70251"/>
    <w:rsid w:val="00AB389E"/>
    <w:rsid w:val="00AB47E4"/>
    <w:rsid w:val="00AC1F93"/>
    <w:rsid w:val="00AC5480"/>
    <w:rsid w:val="00AD76B0"/>
    <w:rsid w:val="00AE2F10"/>
    <w:rsid w:val="00AE5062"/>
    <w:rsid w:val="00B26A6E"/>
    <w:rsid w:val="00B30BC3"/>
    <w:rsid w:val="00B61A31"/>
    <w:rsid w:val="00B71B58"/>
    <w:rsid w:val="00B7570E"/>
    <w:rsid w:val="00B766FE"/>
    <w:rsid w:val="00B82724"/>
    <w:rsid w:val="00B86FEB"/>
    <w:rsid w:val="00B96017"/>
    <w:rsid w:val="00BB027B"/>
    <w:rsid w:val="00BB0BFE"/>
    <w:rsid w:val="00BD685B"/>
    <w:rsid w:val="00BE1414"/>
    <w:rsid w:val="00C0046C"/>
    <w:rsid w:val="00C11988"/>
    <w:rsid w:val="00C43B3D"/>
    <w:rsid w:val="00C548FC"/>
    <w:rsid w:val="00C640EF"/>
    <w:rsid w:val="00C664D6"/>
    <w:rsid w:val="00C701F9"/>
    <w:rsid w:val="00C94612"/>
    <w:rsid w:val="00CB0023"/>
    <w:rsid w:val="00CB2DE9"/>
    <w:rsid w:val="00CB6315"/>
    <w:rsid w:val="00CC1ADF"/>
    <w:rsid w:val="00CD758F"/>
    <w:rsid w:val="00CE0D51"/>
    <w:rsid w:val="00CE79D7"/>
    <w:rsid w:val="00CE7DDC"/>
    <w:rsid w:val="00D00B4B"/>
    <w:rsid w:val="00D06E2C"/>
    <w:rsid w:val="00D10823"/>
    <w:rsid w:val="00D20F53"/>
    <w:rsid w:val="00D50641"/>
    <w:rsid w:val="00D51863"/>
    <w:rsid w:val="00D520AC"/>
    <w:rsid w:val="00D578A6"/>
    <w:rsid w:val="00D700C3"/>
    <w:rsid w:val="00D7204D"/>
    <w:rsid w:val="00D81B3E"/>
    <w:rsid w:val="00D948D0"/>
    <w:rsid w:val="00D94F22"/>
    <w:rsid w:val="00DB0A0D"/>
    <w:rsid w:val="00DE5F42"/>
    <w:rsid w:val="00DF4C7F"/>
    <w:rsid w:val="00DF6A1F"/>
    <w:rsid w:val="00E031E1"/>
    <w:rsid w:val="00E1216B"/>
    <w:rsid w:val="00E45ED2"/>
    <w:rsid w:val="00E46A9E"/>
    <w:rsid w:val="00E96D45"/>
    <w:rsid w:val="00EC0D75"/>
    <w:rsid w:val="00ED4D96"/>
    <w:rsid w:val="00EE0017"/>
    <w:rsid w:val="00EE2FBA"/>
    <w:rsid w:val="00EF3554"/>
    <w:rsid w:val="00F03012"/>
    <w:rsid w:val="00F033C5"/>
    <w:rsid w:val="00F05A9C"/>
    <w:rsid w:val="00F05E46"/>
    <w:rsid w:val="00F16121"/>
    <w:rsid w:val="00F210A1"/>
    <w:rsid w:val="00F24210"/>
    <w:rsid w:val="00F4158D"/>
    <w:rsid w:val="00F41860"/>
    <w:rsid w:val="00F424C5"/>
    <w:rsid w:val="00F56A5E"/>
    <w:rsid w:val="00F67733"/>
    <w:rsid w:val="00F82795"/>
    <w:rsid w:val="00F91124"/>
    <w:rsid w:val="00F9503E"/>
    <w:rsid w:val="00FA2EA1"/>
    <w:rsid w:val="00FA4CBB"/>
    <w:rsid w:val="00FB5A89"/>
    <w:rsid w:val="00FC05F2"/>
    <w:rsid w:val="00FD4807"/>
    <w:rsid w:val="00FF2660"/>
    <w:rsid w:val="00FF6E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ED5FFCA"/>
  <w15:chartTrackingRefBased/>
  <w15:docId w15:val="{9CEDA437-AE40-4573-B884-AF953DA6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00B"/>
    <w:pPr>
      <w:spacing w:line="480" w:lineRule="auto"/>
    </w:pPr>
    <w:rPr>
      <w:rFonts w:ascii="Arial" w:hAnsi="Arial"/>
      <w:szCs w:val="24"/>
      <w:lang w:val="en-US"/>
    </w:rPr>
  </w:style>
  <w:style w:type="paragraph" w:styleId="Heading1">
    <w:name w:val="heading 1"/>
    <w:basedOn w:val="Normal"/>
    <w:next w:val="Normal"/>
    <w:qFormat/>
    <w:rsid w:val="0060400B"/>
    <w:pPr>
      <w:keepNext/>
      <w:spacing w:before="240" w:after="60"/>
      <w:outlineLvl w:val="0"/>
    </w:pPr>
    <w:rPr>
      <w:rFonts w:cs="Arial"/>
      <w:b/>
      <w:bCs/>
      <w:kern w:val="32"/>
      <w:sz w:val="32"/>
      <w:szCs w:val="32"/>
    </w:rPr>
  </w:style>
  <w:style w:type="paragraph" w:styleId="Heading2">
    <w:name w:val="heading 2"/>
    <w:basedOn w:val="Normal"/>
    <w:next w:val="Normal"/>
    <w:qFormat/>
    <w:rsid w:val="0060400B"/>
    <w:pPr>
      <w:keepNext/>
      <w:spacing w:before="240" w:after="60"/>
      <w:outlineLvl w:val="1"/>
    </w:pPr>
    <w:rPr>
      <w:rFonts w:cs="Arial"/>
      <w:b/>
      <w:bCs/>
      <w:i/>
      <w:iCs/>
      <w:sz w:val="28"/>
      <w:szCs w:val="28"/>
    </w:rPr>
  </w:style>
  <w:style w:type="paragraph" w:styleId="Heading3">
    <w:name w:val="heading 3"/>
    <w:basedOn w:val="Normal"/>
    <w:next w:val="Normal"/>
    <w:qFormat/>
    <w:rsid w:val="0060400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82795"/>
    <w:pPr>
      <w:tabs>
        <w:tab w:val="center" w:pos="4320"/>
        <w:tab w:val="right" w:pos="8640"/>
      </w:tabs>
    </w:pPr>
  </w:style>
  <w:style w:type="character" w:styleId="PageNumber">
    <w:name w:val="page number"/>
    <w:basedOn w:val="DefaultParagraphFont"/>
    <w:rsid w:val="00F82795"/>
  </w:style>
  <w:style w:type="character" w:styleId="Emphasis">
    <w:name w:val="Emphasis"/>
    <w:qFormat/>
    <w:rsid w:val="00FF6EA8"/>
    <w:rPr>
      <w:b/>
      <w:bCs/>
      <w:i w:val="0"/>
      <w:iCs w:val="0"/>
    </w:rPr>
  </w:style>
  <w:style w:type="character" w:styleId="Hyperlink">
    <w:name w:val="Hyperlink"/>
    <w:rsid w:val="00887016"/>
    <w:rPr>
      <w:color w:val="0000FF"/>
      <w:u w:val="single"/>
    </w:rPr>
  </w:style>
  <w:style w:type="character" w:styleId="CommentReference">
    <w:name w:val="annotation reference"/>
    <w:semiHidden/>
    <w:rsid w:val="00D00B4B"/>
    <w:rPr>
      <w:sz w:val="16"/>
      <w:szCs w:val="16"/>
    </w:rPr>
  </w:style>
  <w:style w:type="paragraph" w:styleId="CommentText">
    <w:name w:val="annotation text"/>
    <w:basedOn w:val="Normal"/>
    <w:semiHidden/>
    <w:rsid w:val="00D00B4B"/>
    <w:rPr>
      <w:szCs w:val="20"/>
    </w:rPr>
  </w:style>
  <w:style w:type="paragraph" w:styleId="CommentSubject">
    <w:name w:val="annotation subject"/>
    <w:basedOn w:val="CommentText"/>
    <w:next w:val="CommentText"/>
    <w:semiHidden/>
    <w:rsid w:val="00D00B4B"/>
    <w:rPr>
      <w:b/>
      <w:bCs/>
    </w:rPr>
  </w:style>
  <w:style w:type="paragraph" w:styleId="BalloonText">
    <w:name w:val="Balloon Text"/>
    <w:basedOn w:val="Normal"/>
    <w:semiHidden/>
    <w:rsid w:val="00D00B4B"/>
    <w:rPr>
      <w:rFonts w:ascii="Tahoma" w:hAnsi="Tahoma" w:cs="Tahoma"/>
      <w:sz w:val="16"/>
      <w:szCs w:val="16"/>
    </w:rPr>
  </w:style>
  <w:style w:type="character" w:styleId="LineNumber">
    <w:name w:val="line number"/>
    <w:rsid w:val="00C94612"/>
  </w:style>
  <w:style w:type="paragraph" w:styleId="Header">
    <w:name w:val="header"/>
    <w:basedOn w:val="Normal"/>
    <w:link w:val="HeaderChar"/>
    <w:rsid w:val="00740F67"/>
    <w:pPr>
      <w:tabs>
        <w:tab w:val="center" w:pos="4680"/>
        <w:tab w:val="right" w:pos="9360"/>
      </w:tabs>
    </w:pPr>
  </w:style>
  <w:style w:type="character" w:customStyle="1" w:styleId="HeaderChar">
    <w:name w:val="Header Char"/>
    <w:link w:val="Header"/>
    <w:rsid w:val="00740F67"/>
    <w:rPr>
      <w:rFonts w:ascii="Arial" w:hAnsi="Arial"/>
      <w:szCs w:val="24"/>
      <w:lang w:val="en-US" w:eastAsia="en-US"/>
    </w:rPr>
  </w:style>
  <w:style w:type="paragraph" w:styleId="ListParagraph">
    <w:name w:val="List Paragraph"/>
    <w:basedOn w:val="Normal"/>
    <w:uiPriority w:val="34"/>
    <w:qFormat/>
    <w:rsid w:val="00307CCD"/>
    <w:pPr>
      <w:spacing w:line="240" w:lineRule="auto"/>
      <w:ind w:left="720"/>
      <w:contextualSpacing/>
    </w:pPr>
    <w:rPr>
      <w:rFonts w:ascii="Calibri" w:eastAsia="Calibri" w:hAnsi="Calibri"/>
      <w:sz w:val="24"/>
      <w:lang w:val="en-CA"/>
    </w:rPr>
  </w:style>
  <w:style w:type="character" w:styleId="FollowedHyperlink">
    <w:name w:val="FollowedHyperlink"/>
    <w:rsid w:val="00494B14"/>
    <w:rPr>
      <w:color w:val="954F72"/>
      <w:u w:val="single"/>
    </w:rPr>
  </w:style>
  <w:style w:type="table" w:styleId="TableGrid">
    <w:name w:val="Table Grid"/>
    <w:basedOn w:val="TableNormal"/>
    <w:uiPriority w:val="39"/>
    <w:rsid w:val="00B766FE"/>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7B30AD"/>
    <w:pPr>
      <w:tabs>
        <w:tab w:val="left" w:pos="260"/>
      </w:tabs>
      <w:spacing w:after="240" w:line="24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12</Pages>
  <Words>2430</Words>
  <Characters>13679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The contraceptive implant</vt:lpstr>
    </vt:vector>
  </TitlesOfParts>
  <Company>Dove Medical Press</Company>
  <LinksUpToDate>false</LinksUpToDate>
  <CharactersWithSpaces>16077</CharactersWithSpaces>
  <SharedDoc>false</SharedDoc>
  <HLinks>
    <vt:vector size="36" baseType="variant">
      <vt:variant>
        <vt:i4>1048578</vt:i4>
      </vt:variant>
      <vt:variant>
        <vt:i4>15</vt:i4>
      </vt:variant>
      <vt:variant>
        <vt:i4>0</vt:i4>
      </vt:variant>
      <vt:variant>
        <vt:i4>5</vt:i4>
      </vt:variant>
      <vt:variant>
        <vt:lpwstr>https://www.dovepress.com/author_guidelines.php?content_id=3511</vt:lpwstr>
      </vt:variant>
      <vt:variant>
        <vt:lpwstr/>
      </vt:variant>
      <vt:variant>
        <vt:i4>6881324</vt:i4>
      </vt:variant>
      <vt:variant>
        <vt:i4>12</vt:i4>
      </vt:variant>
      <vt:variant>
        <vt:i4>0</vt:i4>
      </vt:variant>
      <vt:variant>
        <vt:i4>5</vt:i4>
      </vt:variant>
      <vt:variant>
        <vt:lpwstr>http://www.ncbi.nlm.nih.gov/sites/entrez?Db=pubmed&amp;Cmd=Search&amp;Term=%22Efficacy%20of%20Vasopressin%20Antagonism%20in%20Heart%20Failure%20Outcome%20Study%20With%20Tolvaptan%20(EVEREST)%20Investigators%22%5BCorporate%20Author%5D&amp;itool=EntrezSystem2.PEntrez.Pubmed.Pubmed_ResultsPanel.Pubmed_DiscoveryPanel.Pubmed_RVAbstractPlus</vt:lpwstr>
      </vt:variant>
      <vt:variant>
        <vt:lpwstr/>
      </vt:variant>
      <vt:variant>
        <vt:i4>5177376</vt:i4>
      </vt:variant>
      <vt:variant>
        <vt:i4>9</vt:i4>
      </vt:variant>
      <vt:variant>
        <vt:i4>0</vt:i4>
      </vt:variant>
      <vt:variant>
        <vt:i4>5</vt:i4>
      </vt:variant>
      <vt:variant>
        <vt:lpwstr>http://www.ncbi.nlm.nih.gov/sites/entrez?Db=pubmed&amp;Cmd=Search&amp;Term=%22Burnett%20JC%20Jr%22%5BAuthor%5D&amp;itool=EntrezSystem2.PEntrez.Pubmed.Pubmed_ResultsPanel.Pubmed_DiscoveryPanel.Pubmed_RVAbstractPlus</vt:lpwstr>
      </vt:variant>
      <vt:variant>
        <vt:lpwstr/>
      </vt:variant>
      <vt:variant>
        <vt:i4>6488138</vt:i4>
      </vt:variant>
      <vt:variant>
        <vt:i4>6</vt:i4>
      </vt:variant>
      <vt:variant>
        <vt:i4>0</vt:i4>
      </vt:variant>
      <vt:variant>
        <vt:i4>5</vt:i4>
      </vt:variant>
      <vt:variant>
        <vt:lpwstr>http://www.ncbi.nlm.nih.gov/sites/entrez?Db=pubmed&amp;Cmd=Search&amp;Term=%22Konstam%20MA%22%5BAuthor%5D&amp;itool=EntrezSystem2.PEntrez.Pubmed.Pubmed_ResultsPanel.Pubmed_DiscoveryPanel.Pubmed_RVAbstractPlus</vt:lpwstr>
      </vt:variant>
      <vt:variant>
        <vt:lpwstr/>
      </vt:variant>
      <vt:variant>
        <vt:i4>7733341</vt:i4>
      </vt:variant>
      <vt:variant>
        <vt:i4>3</vt:i4>
      </vt:variant>
      <vt:variant>
        <vt:i4>0</vt:i4>
      </vt:variant>
      <vt:variant>
        <vt:i4>5</vt:i4>
      </vt:variant>
      <vt:variant>
        <vt:lpwstr>http://www.ncbi.nlm.nih.gov/sites/entrez?Db=pubmed&amp;Cmd=Search&amp;Term=%22Gheorghiade%20M%22%5BAuthor%5D&amp;itool=EntrezSystem2.PEntrez.Pubmed.Pubmed_ResultsPanel.Pubmed_DiscoveryPanel.Pubmed_RVAbstractPlus</vt:lpwstr>
      </vt:variant>
      <vt:variant>
        <vt:lpwstr/>
      </vt:variant>
      <vt:variant>
        <vt:i4>4849753</vt:i4>
      </vt:variant>
      <vt:variant>
        <vt:i4>0</vt:i4>
      </vt:variant>
      <vt:variant>
        <vt:i4>0</vt:i4>
      </vt:variant>
      <vt:variant>
        <vt:i4>5</vt:i4>
      </vt:variant>
      <vt:variant>
        <vt:lpwstr>http://www.dovepress.com/author_guidelines.php?folder_id=208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template</dc:title>
  <dc:subject/>
  <dc:creator>Angela Jones</dc:creator>
  <cp:keywords/>
  <cp:lastModifiedBy>Jill Morrison</cp:lastModifiedBy>
  <cp:revision>68</cp:revision>
  <cp:lastPrinted>2009-01-07T21:57:00Z</cp:lastPrinted>
  <dcterms:created xsi:type="dcterms:W3CDTF">2022-06-22T01:38:00Z</dcterms:created>
  <dcterms:modified xsi:type="dcterms:W3CDTF">2023-08-07T14:49:00Z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2022-06-22T01:38:32Z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0936c748-9820-4e4e-a7fa-9383c967e889</vt:lpwstr>
  </property>
  <property fmtid="{D5CDD505-2E9C-101B-9397-08002B2CF9AE}" pid="8" name="MSIP_Label_2bbab825-a111-45e4-86a1-18cee0005896_ContentBits">
    <vt:lpwstr>2</vt:lpwstr>
  </property>
  <property fmtid="{D5CDD505-2E9C-101B-9397-08002B2CF9AE}" pid="9" name="ZOTERO_PREF_1">
    <vt:lpwstr>&lt;data data-version="3" zotero-version="6.0.23"&gt;&lt;session id="Kzlo3Tpw"/&gt;&lt;style id="http://www.zotero.org/styles/american-medical-association" hasBibliography="1" bibliographyStyleHasBeenSet="1"/&gt;&lt;prefs&gt;&lt;pref name="fieldType" value="Field"/&gt;&lt;pref name="auto</vt:lpwstr>
  </property>
  <property fmtid="{D5CDD505-2E9C-101B-9397-08002B2CF9AE}" pid="10" name="ZOTERO_PREF_2">
    <vt:lpwstr>maticJournalAbbreviations" value="true"/&gt;&lt;/prefs&gt;&lt;/data&gt;</vt:lpwstr>
  </property>
</Properties>
</file>