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E1739" w14:textId="36E371BA" w:rsidR="00197AB8" w:rsidRDefault="00197AB8" w:rsidP="00197AB8">
      <w:pPr>
        <w:jc w:val="center"/>
        <w:rPr>
          <w:rFonts w:ascii="Times New Roman" w:hAnsi="Times New Roman" w:cs="Times New Roman"/>
          <w:b/>
          <w:sz w:val="24"/>
          <w:szCs w:val="24"/>
        </w:rPr>
      </w:pPr>
      <w:r w:rsidRPr="00197AB8">
        <w:rPr>
          <w:rFonts w:ascii="Times New Roman" w:hAnsi="Times New Roman" w:cs="Times New Roman"/>
          <w:b/>
          <w:sz w:val="24"/>
          <w:szCs w:val="24"/>
        </w:rPr>
        <w:t>Supplemental Online Content</w:t>
      </w:r>
    </w:p>
    <w:p w14:paraId="5C3D8777" w14:textId="77777777" w:rsidR="007330F1" w:rsidRDefault="007330F1">
      <w:pPr>
        <w:rPr>
          <w:rFonts w:ascii="Times New Roman" w:hAnsi="Times New Roman" w:cs="Times New Roman"/>
          <w:b/>
          <w:sz w:val="24"/>
        </w:rPr>
      </w:pPr>
    </w:p>
    <w:p w14:paraId="5E488BC1" w14:textId="42C661BB" w:rsidR="00CF5999" w:rsidRPr="00A13D65" w:rsidRDefault="00340D87" w:rsidP="00CF5999">
      <w:pPr>
        <w:rPr>
          <w:rFonts w:ascii="Arial" w:hAnsi="Arial" w:cs="Arial"/>
          <w:b/>
          <w:sz w:val="24"/>
          <w:szCs w:val="24"/>
        </w:rPr>
      </w:pPr>
      <w:r w:rsidRPr="00340D87">
        <w:rPr>
          <w:rFonts w:ascii="Arial" w:hAnsi="Arial" w:cs="Arial"/>
          <w:b/>
          <w:sz w:val="24"/>
          <w:szCs w:val="24"/>
        </w:rPr>
        <w:t xml:space="preserve">Supplementary </w:t>
      </w:r>
      <w:r w:rsidR="00CF5999" w:rsidRPr="00A13D65">
        <w:rPr>
          <w:rFonts w:ascii="Arial" w:hAnsi="Arial" w:cs="Arial"/>
          <w:b/>
          <w:sz w:val="24"/>
          <w:szCs w:val="24"/>
        </w:rPr>
        <w:t xml:space="preserve">Figure 1. Study </w:t>
      </w:r>
      <w:r w:rsidR="003E65AA">
        <w:rPr>
          <w:rFonts w:ascii="Arial" w:hAnsi="Arial" w:cs="Arial"/>
          <w:b/>
          <w:sz w:val="24"/>
          <w:szCs w:val="24"/>
        </w:rPr>
        <w:t>D</w:t>
      </w:r>
      <w:r w:rsidR="00CF5999" w:rsidRPr="00A13D65">
        <w:rPr>
          <w:rFonts w:ascii="Arial" w:hAnsi="Arial" w:cs="Arial"/>
          <w:b/>
          <w:sz w:val="24"/>
          <w:szCs w:val="24"/>
        </w:rPr>
        <w:t>esign</w:t>
      </w:r>
    </w:p>
    <w:p w14:paraId="4F618C40" w14:textId="77777777" w:rsidR="00CF5999" w:rsidRDefault="00CF5999">
      <w:pPr>
        <w:rPr>
          <w:rFonts w:ascii="Times New Roman" w:hAnsi="Times New Roman" w:cs="Times New Roman"/>
          <w:b/>
          <w:sz w:val="20"/>
          <w:szCs w:val="20"/>
        </w:rPr>
      </w:pPr>
    </w:p>
    <w:p w14:paraId="12DEFDCE" w14:textId="60E1D4D9" w:rsidR="00CF5999" w:rsidRDefault="00A85298" w:rsidP="00CF5999">
      <w:pPr>
        <w:rPr>
          <w:rFonts w:ascii="Times New Roman" w:hAnsi="Times New Roman" w:cs="Times New Roman"/>
          <w:b/>
          <w:sz w:val="28"/>
        </w:rPr>
      </w:pPr>
      <w:r>
        <w:rPr>
          <w:noProof/>
        </w:rPr>
        <w:drawing>
          <wp:inline distT="0" distB="0" distL="0" distR="0" wp14:anchorId="40FBD610" wp14:editId="44F1C326">
            <wp:extent cx="5348591" cy="2352675"/>
            <wp:effectExtent l="0" t="0" r="508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52049" cy="2354196"/>
                    </a:xfrm>
                    <a:prstGeom prst="rect">
                      <a:avLst/>
                    </a:prstGeom>
                    <a:noFill/>
                    <a:ln>
                      <a:noFill/>
                    </a:ln>
                  </pic:spPr>
                </pic:pic>
              </a:graphicData>
            </a:graphic>
          </wp:inline>
        </w:drawing>
      </w:r>
    </w:p>
    <w:p w14:paraId="13693CD4" w14:textId="56F5480E" w:rsidR="007C1F55" w:rsidRPr="00A13D65" w:rsidRDefault="00CF5999" w:rsidP="007C1F55">
      <w:pPr>
        <w:autoSpaceDE w:val="0"/>
        <w:autoSpaceDN w:val="0"/>
        <w:adjustRightInd w:val="0"/>
        <w:rPr>
          <w:rFonts w:ascii="Arial" w:hAnsi="Arial" w:cs="Arial"/>
          <w:color w:val="000000"/>
          <w:sz w:val="16"/>
          <w:szCs w:val="16"/>
        </w:rPr>
      </w:pPr>
      <w:r w:rsidRPr="00A13D65">
        <w:rPr>
          <w:rFonts w:ascii="Arial" w:hAnsi="Arial" w:cs="Arial"/>
          <w:color w:val="000000"/>
          <w:sz w:val="16"/>
          <w:szCs w:val="16"/>
        </w:rPr>
        <w:t xml:space="preserve">Abbreviations: </w:t>
      </w:r>
      <w:r w:rsidR="007C1F55" w:rsidRPr="00A13D65">
        <w:rPr>
          <w:rFonts w:ascii="Arial" w:hAnsi="Arial" w:cs="Arial"/>
          <w:color w:val="000000"/>
          <w:sz w:val="16"/>
          <w:szCs w:val="16"/>
        </w:rPr>
        <w:t>BCLC, Barcelona Clinic Liver Cancer.</w:t>
      </w:r>
    </w:p>
    <w:p w14:paraId="1ADA2438" w14:textId="12E2F467" w:rsidR="007C1F55" w:rsidRPr="00A13D65" w:rsidRDefault="007C1F55" w:rsidP="007C1F55">
      <w:pPr>
        <w:autoSpaceDE w:val="0"/>
        <w:autoSpaceDN w:val="0"/>
        <w:adjustRightInd w:val="0"/>
        <w:rPr>
          <w:rFonts w:ascii="Arial" w:hAnsi="Arial" w:cs="Arial"/>
          <w:color w:val="000000"/>
          <w:sz w:val="16"/>
          <w:szCs w:val="16"/>
        </w:rPr>
      </w:pPr>
      <w:r w:rsidRPr="00A13D65">
        <w:rPr>
          <w:rFonts w:ascii="Arial" w:hAnsi="Arial" w:cs="Arial"/>
          <w:color w:val="000000"/>
          <w:sz w:val="16"/>
          <w:szCs w:val="16"/>
        </w:rPr>
        <w:t>ECOG, Eastern Cooperative Oncology Group.</w:t>
      </w:r>
    </w:p>
    <w:p w14:paraId="136EDE17" w14:textId="3BF587E2" w:rsidR="007C1F55" w:rsidRDefault="00CF5999" w:rsidP="007C1F55">
      <w:pPr>
        <w:autoSpaceDE w:val="0"/>
        <w:autoSpaceDN w:val="0"/>
        <w:adjustRightInd w:val="0"/>
        <w:rPr>
          <w:rFonts w:ascii="Arial" w:hAnsi="Arial" w:cs="Arial"/>
          <w:color w:val="000000"/>
          <w:sz w:val="16"/>
          <w:szCs w:val="16"/>
        </w:rPr>
      </w:pPr>
      <w:r w:rsidRPr="00A13D65">
        <w:rPr>
          <w:rFonts w:ascii="Arial" w:hAnsi="Arial" w:cs="Arial"/>
          <w:color w:val="000000"/>
          <w:sz w:val="16"/>
          <w:szCs w:val="16"/>
        </w:rPr>
        <w:t xml:space="preserve">TACE, </w:t>
      </w:r>
      <w:proofErr w:type="spellStart"/>
      <w:r w:rsidRPr="00A13D65">
        <w:rPr>
          <w:rFonts w:ascii="Arial" w:hAnsi="Arial" w:cs="Arial"/>
          <w:color w:val="000000"/>
          <w:sz w:val="16"/>
          <w:szCs w:val="16"/>
        </w:rPr>
        <w:t>transarterial</w:t>
      </w:r>
      <w:proofErr w:type="spellEnd"/>
      <w:r w:rsidRPr="00A13D65">
        <w:rPr>
          <w:rFonts w:ascii="Arial" w:hAnsi="Arial" w:cs="Arial"/>
          <w:color w:val="000000"/>
          <w:sz w:val="16"/>
          <w:szCs w:val="16"/>
        </w:rPr>
        <w:t xml:space="preserve"> chemoembolization; TAE, </w:t>
      </w:r>
      <w:proofErr w:type="spellStart"/>
      <w:r w:rsidRPr="00A13D65">
        <w:rPr>
          <w:rFonts w:ascii="Arial" w:hAnsi="Arial" w:cs="Arial"/>
          <w:color w:val="000000"/>
          <w:sz w:val="16"/>
          <w:szCs w:val="16"/>
        </w:rPr>
        <w:t>Transarterial</w:t>
      </w:r>
      <w:proofErr w:type="spellEnd"/>
      <w:r w:rsidRPr="00A13D65">
        <w:rPr>
          <w:rFonts w:ascii="Arial" w:hAnsi="Arial" w:cs="Arial"/>
          <w:color w:val="000000"/>
          <w:sz w:val="16"/>
          <w:szCs w:val="16"/>
        </w:rPr>
        <w:t xml:space="preserve"> embolization</w:t>
      </w:r>
      <w:r w:rsidR="0060072B">
        <w:rPr>
          <w:rFonts w:ascii="Arial" w:hAnsi="Arial" w:cs="Arial"/>
          <w:color w:val="000000"/>
          <w:sz w:val="16"/>
          <w:szCs w:val="16"/>
        </w:rPr>
        <w:t>.</w:t>
      </w:r>
    </w:p>
    <w:p w14:paraId="4D91972E" w14:textId="55C0C8BD" w:rsidR="002563C6" w:rsidRPr="00A13D65" w:rsidRDefault="002563C6" w:rsidP="007C1F55">
      <w:pPr>
        <w:autoSpaceDE w:val="0"/>
        <w:autoSpaceDN w:val="0"/>
        <w:adjustRightInd w:val="0"/>
        <w:rPr>
          <w:rFonts w:ascii="Arial" w:hAnsi="Arial" w:cs="Arial" w:hint="eastAsia"/>
          <w:color w:val="000000"/>
          <w:sz w:val="16"/>
          <w:szCs w:val="16"/>
        </w:rPr>
      </w:pPr>
    </w:p>
    <w:p w14:paraId="4AA51E43" w14:textId="0D323FAC" w:rsidR="00A97540" w:rsidRPr="00EF160C" w:rsidRDefault="00340D87" w:rsidP="002563C6">
      <w:pPr>
        <w:spacing w:line="480" w:lineRule="auto"/>
        <w:rPr>
          <w:rFonts w:ascii="Arial" w:hAnsi="Arial" w:cs="Arial" w:hint="eastAsia"/>
          <w:b/>
          <w:sz w:val="24"/>
          <w:szCs w:val="24"/>
        </w:rPr>
      </w:pPr>
      <w:r w:rsidRPr="00340D87">
        <w:rPr>
          <w:rFonts w:ascii="Arial" w:hAnsi="Arial" w:cs="Arial"/>
          <w:b/>
          <w:sz w:val="24"/>
          <w:szCs w:val="24"/>
        </w:rPr>
        <w:t xml:space="preserve">Supplementary </w:t>
      </w:r>
      <w:r w:rsidRPr="00A13D65">
        <w:rPr>
          <w:rFonts w:ascii="Arial" w:hAnsi="Arial" w:cs="Arial"/>
          <w:b/>
          <w:sz w:val="24"/>
          <w:szCs w:val="24"/>
        </w:rPr>
        <w:t>Figure</w:t>
      </w:r>
      <w:r>
        <w:rPr>
          <w:rFonts w:ascii="Arial" w:hAnsi="Arial" w:cs="Arial"/>
          <w:b/>
          <w:sz w:val="24"/>
          <w:szCs w:val="24"/>
        </w:rPr>
        <w:t xml:space="preserve"> </w:t>
      </w:r>
      <w:r w:rsidR="002563C6">
        <w:rPr>
          <w:rFonts w:ascii="Arial" w:hAnsi="Arial" w:cs="Arial"/>
          <w:b/>
          <w:sz w:val="24"/>
          <w:szCs w:val="24"/>
        </w:rPr>
        <w:t>2</w:t>
      </w:r>
      <w:r w:rsidR="002563C6" w:rsidRPr="0093396B">
        <w:rPr>
          <w:rFonts w:ascii="Arial" w:hAnsi="Arial" w:cs="Arial"/>
          <w:b/>
          <w:sz w:val="24"/>
          <w:szCs w:val="24"/>
        </w:rPr>
        <w:t>. Overall Survival Since Randomization</w:t>
      </w:r>
    </w:p>
    <w:p w14:paraId="3B0A841E" w14:textId="637EBC22" w:rsidR="002563C6" w:rsidRPr="00CF5999" w:rsidRDefault="00A97540" w:rsidP="002563C6">
      <w:pPr>
        <w:rPr>
          <w:rFonts w:ascii="Times New Roman" w:hAnsi="Times New Roman" w:cs="Times New Roman"/>
          <w:b/>
          <w:sz w:val="28"/>
        </w:rPr>
      </w:pPr>
      <w:r>
        <w:rPr>
          <w:noProof/>
        </w:rPr>
        <w:drawing>
          <wp:inline distT="0" distB="0" distL="0" distR="0" wp14:anchorId="100442C4" wp14:editId="19CE9C92">
            <wp:extent cx="5165960" cy="42386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74607" cy="4245720"/>
                    </a:xfrm>
                    <a:prstGeom prst="rect">
                      <a:avLst/>
                    </a:prstGeom>
                  </pic:spPr>
                </pic:pic>
              </a:graphicData>
            </a:graphic>
          </wp:inline>
        </w:drawing>
      </w:r>
    </w:p>
    <w:p w14:paraId="6DBFA4D8" w14:textId="12D4EC9C" w:rsidR="002563C6" w:rsidRPr="00DD203C" w:rsidRDefault="00340D87" w:rsidP="002563C6">
      <w:pPr>
        <w:rPr>
          <w:rFonts w:ascii="Arial" w:hAnsi="Arial" w:cs="Arial"/>
          <w:b/>
          <w:sz w:val="24"/>
          <w:szCs w:val="24"/>
        </w:rPr>
      </w:pPr>
      <w:r w:rsidRPr="00340D87">
        <w:rPr>
          <w:rFonts w:ascii="Arial" w:hAnsi="Arial" w:cs="Arial"/>
          <w:b/>
          <w:sz w:val="24"/>
          <w:szCs w:val="24"/>
        </w:rPr>
        <w:lastRenderedPageBreak/>
        <w:t xml:space="preserve">Supplementary </w:t>
      </w:r>
      <w:r w:rsidRPr="00A13D65">
        <w:rPr>
          <w:rFonts w:ascii="Arial" w:hAnsi="Arial" w:cs="Arial"/>
          <w:b/>
          <w:sz w:val="24"/>
          <w:szCs w:val="24"/>
        </w:rPr>
        <w:t>Figure</w:t>
      </w:r>
      <w:r w:rsidRPr="00DD203C">
        <w:rPr>
          <w:rFonts w:ascii="Arial" w:hAnsi="Arial" w:cs="Arial"/>
          <w:b/>
          <w:sz w:val="24"/>
          <w:szCs w:val="24"/>
        </w:rPr>
        <w:t xml:space="preserve"> </w:t>
      </w:r>
      <w:r w:rsidR="002563C6" w:rsidRPr="00DD203C">
        <w:rPr>
          <w:rFonts w:ascii="Arial" w:hAnsi="Arial" w:cs="Arial"/>
          <w:b/>
          <w:sz w:val="24"/>
          <w:szCs w:val="24"/>
        </w:rPr>
        <w:t>3. Time to Deterioration of Physical Functioning</w:t>
      </w:r>
    </w:p>
    <w:p w14:paraId="6C23F418" w14:textId="77777777" w:rsidR="002563C6" w:rsidRDefault="002563C6" w:rsidP="002563C6">
      <w:pPr>
        <w:rPr>
          <w:rFonts w:ascii="Times New Roman" w:hAnsi="Times New Roman" w:cs="Times New Roman"/>
          <w:b/>
          <w:sz w:val="24"/>
        </w:rPr>
      </w:pPr>
    </w:p>
    <w:p w14:paraId="3A581FD9" w14:textId="170455E8" w:rsidR="002563C6" w:rsidRPr="007330F1" w:rsidRDefault="00A97540" w:rsidP="002563C6">
      <w:pPr>
        <w:rPr>
          <w:rFonts w:ascii="Times New Roman" w:hAnsi="Times New Roman" w:cs="Times New Roman"/>
          <w:b/>
          <w:sz w:val="24"/>
        </w:rPr>
      </w:pPr>
      <w:r>
        <w:rPr>
          <w:noProof/>
        </w:rPr>
        <w:drawing>
          <wp:inline distT="0" distB="0" distL="0" distR="0" wp14:anchorId="1C605AC8" wp14:editId="64E8D452">
            <wp:extent cx="4949271" cy="3838575"/>
            <wp:effectExtent l="0" t="0" r="381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62355" cy="3848723"/>
                    </a:xfrm>
                    <a:prstGeom prst="rect">
                      <a:avLst/>
                    </a:prstGeom>
                  </pic:spPr>
                </pic:pic>
              </a:graphicData>
            </a:graphic>
          </wp:inline>
        </w:drawing>
      </w:r>
    </w:p>
    <w:p w14:paraId="26177A68" w14:textId="77777777" w:rsidR="002563C6" w:rsidRDefault="002563C6" w:rsidP="0060072B">
      <w:pPr>
        <w:rPr>
          <w:rFonts w:ascii="Arial" w:hAnsi="Arial" w:cs="Arial"/>
          <w:b/>
          <w:sz w:val="24"/>
          <w:szCs w:val="24"/>
        </w:rPr>
      </w:pPr>
    </w:p>
    <w:p w14:paraId="05B786F6" w14:textId="627E6949" w:rsidR="0060072B" w:rsidRDefault="00340D87" w:rsidP="0060072B">
      <w:pPr>
        <w:rPr>
          <w:rFonts w:ascii="Arial" w:hAnsi="Arial" w:cs="Arial"/>
          <w:b/>
          <w:sz w:val="24"/>
          <w:szCs w:val="24"/>
        </w:rPr>
      </w:pPr>
      <w:r w:rsidRPr="00340D87">
        <w:rPr>
          <w:rFonts w:ascii="Arial" w:hAnsi="Arial" w:cs="Arial"/>
          <w:b/>
          <w:sz w:val="24"/>
          <w:szCs w:val="24"/>
        </w:rPr>
        <w:t xml:space="preserve">Supplementary </w:t>
      </w:r>
      <w:r w:rsidRPr="00A13D65">
        <w:rPr>
          <w:rFonts w:ascii="Arial" w:hAnsi="Arial" w:cs="Arial"/>
          <w:b/>
          <w:sz w:val="24"/>
          <w:szCs w:val="24"/>
        </w:rPr>
        <w:t>Figure</w:t>
      </w:r>
      <w:r>
        <w:rPr>
          <w:rFonts w:ascii="Arial" w:hAnsi="Arial" w:cs="Arial"/>
          <w:b/>
          <w:sz w:val="24"/>
          <w:szCs w:val="24"/>
        </w:rPr>
        <w:t xml:space="preserve"> </w:t>
      </w:r>
      <w:r w:rsidR="002563C6">
        <w:rPr>
          <w:rFonts w:ascii="Arial" w:hAnsi="Arial" w:cs="Arial"/>
          <w:b/>
          <w:sz w:val="24"/>
          <w:szCs w:val="24"/>
        </w:rPr>
        <w:t>4</w:t>
      </w:r>
      <w:r w:rsidR="0060072B" w:rsidRPr="00DD203C">
        <w:rPr>
          <w:rFonts w:ascii="Arial" w:hAnsi="Arial" w:cs="Arial"/>
          <w:b/>
          <w:sz w:val="24"/>
          <w:szCs w:val="24"/>
        </w:rPr>
        <w:t>. Time to Deterioration of Role Functioning</w:t>
      </w:r>
    </w:p>
    <w:p w14:paraId="3B1107CC" w14:textId="69AC9D81" w:rsidR="002563C6" w:rsidRDefault="002563C6" w:rsidP="0060072B">
      <w:pPr>
        <w:rPr>
          <w:rFonts w:ascii="Arial" w:hAnsi="Arial" w:cs="Arial"/>
          <w:b/>
          <w:sz w:val="24"/>
          <w:szCs w:val="24"/>
        </w:rPr>
      </w:pPr>
    </w:p>
    <w:p w14:paraId="17B0C00A" w14:textId="3BC0E5F0" w:rsidR="0060072B" w:rsidRPr="00A97540" w:rsidRDefault="00A97540" w:rsidP="0060072B">
      <w:pPr>
        <w:rPr>
          <w:rFonts w:ascii="Arial" w:hAnsi="Arial" w:cs="Arial"/>
          <w:b/>
          <w:sz w:val="24"/>
          <w:szCs w:val="24"/>
        </w:rPr>
      </w:pPr>
      <w:r>
        <w:rPr>
          <w:noProof/>
        </w:rPr>
        <w:drawing>
          <wp:inline distT="0" distB="0" distL="0" distR="0" wp14:anchorId="732C0A07" wp14:editId="16381C8C">
            <wp:extent cx="4657725" cy="3619185"/>
            <wp:effectExtent l="0" t="0" r="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75673" cy="3633131"/>
                    </a:xfrm>
                    <a:prstGeom prst="rect">
                      <a:avLst/>
                    </a:prstGeom>
                  </pic:spPr>
                </pic:pic>
              </a:graphicData>
            </a:graphic>
          </wp:inline>
        </w:drawing>
      </w:r>
    </w:p>
    <w:p w14:paraId="544E5BB1" w14:textId="741EF5F7" w:rsidR="0060072B" w:rsidRPr="00DD203C" w:rsidRDefault="00340D87" w:rsidP="0060072B">
      <w:pPr>
        <w:rPr>
          <w:rFonts w:ascii="Arial" w:hAnsi="Arial" w:cs="Arial"/>
          <w:b/>
          <w:sz w:val="24"/>
          <w:szCs w:val="24"/>
        </w:rPr>
      </w:pPr>
      <w:r w:rsidRPr="00340D87">
        <w:rPr>
          <w:rFonts w:ascii="Arial" w:hAnsi="Arial" w:cs="Arial"/>
          <w:b/>
          <w:sz w:val="24"/>
          <w:szCs w:val="24"/>
        </w:rPr>
        <w:lastRenderedPageBreak/>
        <w:t xml:space="preserve">Supplementary </w:t>
      </w:r>
      <w:r w:rsidRPr="00A13D65">
        <w:rPr>
          <w:rFonts w:ascii="Arial" w:hAnsi="Arial" w:cs="Arial"/>
          <w:b/>
          <w:sz w:val="24"/>
          <w:szCs w:val="24"/>
        </w:rPr>
        <w:t>Figure</w:t>
      </w:r>
      <w:r>
        <w:rPr>
          <w:rFonts w:ascii="Arial" w:hAnsi="Arial" w:cs="Arial"/>
          <w:b/>
          <w:sz w:val="24"/>
          <w:szCs w:val="24"/>
        </w:rPr>
        <w:t xml:space="preserve"> </w:t>
      </w:r>
      <w:r w:rsidR="002563C6">
        <w:rPr>
          <w:rFonts w:ascii="Arial" w:hAnsi="Arial" w:cs="Arial"/>
          <w:b/>
          <w:sz w:val="24"/>
          <w:szCs w:val="24"/>
        </w:rPr>
        <w:t>5</w:t>
      </w:r>
      <w:r w:rsidR="0060072B" w:rsidRPr="00DD203C">
        <w:rPr>
          <w:rFonts w:ascii="Arial" w:hAnsi="Arial" w:cs="Arial"/>
          <w:b/>
          <w:sz w:val="24"/>
          <w:szCs w:val="24"/>
        </w:rPr>
        <w:t xml:space="preserve">. Quantification of </w:t>
      </w:r>
      <w:r w:rsidR="003E65AA">
        <w:rPr>
          <w:rFonts w:ascii="Arial" w:hAnsi="Arial" w:cs="Arial"/>
          <w:b/>
          <w:sz w:val="24"/>
          <w:szCs w:val="24"/>
        </w:rPr>
        <w:t>W</w:t>
      </w:r>
      <w:r w:rsidR="0060072B" w:rsidRPr="00DD203C">
        <w:rPr>
          <w:rFonts w:ascii="Arial" w:hAnsi="Arial" w:cs="Arial"/>
          <w:b/>
          <w:sz w:val="24"/>
          <w:szCs w:val="24"/>
        </w:rPr>
        <w:t xml:space="preserve">hite </w:t>
      </w:r>
      <w:r w:rsidR="003E65AA">
        <w:rPr>
          <w:rFonts w:ascii="Arial" w:hAnsi="Arial" w:cs="Arial"/>
          <w:b/>
          <w:sz w:val="24"/>
          <w:szCs w:val="24"/>
        </w:rPr>
        <w:t>B</w:t>
      </w:r>
      <w:r w:rsidR="0060072B" w:rsidRPr="00DD203C">
        <w:rPr>
          <w:rFonts w:ascii="Arial" w:hAnsi="Arial" w:cs="Arial"/>
          <w:b/>
          <w:sz w:val="24"/>
          <w:szCs w:val="24"/>
        </w:rPr>
        <w:t xml:space="preserve">lood </w:t>
      </w:r>
      <w:r w:rsidR="003E65AA">
        <w:rPr>
          <w:rFonts w:ascii="Arial" w:hAnsi="Arial" w:cs="Arial"/>
          <w:b/>
          <w:sz w:val="24"/>
          <w:szCs w:val="24"/>
        </w:rPr>
        <w:t>C</w:t>
      </w:r>
      <w:r w:rsidR="0060072B" w:rsidRPr="00DD203C">
        <w:rPr>
          <w:rFonts w:ascii="Arial" w:hAnsi="Arial" w:cs="Arial"/>
          <w:b/>
          <w:sz w:val="24"/>
          <w:szCs w:val="24"/>
        </w:rPr>
        <w:t>ells</w:t>
      </w:r>
      <w:r w:rsidR="00CA0237">
        <w:rPr>
          <w:rFonts w:ascii="Arial" w:hAnsi="Arial" w:cs="Arial"/>
          <w:b/>
          <w:sz w:val="24"/>
          <w:szCs w:val="24"/>
        </w:rPr>
        <w:t xml:space="preserve"> </w:t>
      </w:r>
      <w:r w:rsidR="00CA0237" w:rsidRPr="00CA0237">
        <w:rPr>
          <w:rFonts w:ascii="Arial" w:hAnsi="Arial" w:cs="Arial"/>
          <w:b/>
          <w:sz w:val="24"/>
          <w:szCs w:val="24"/>
        </w:rPr>
        <w:t>(ns, p&gt;0.05)</w:t>
      </w:r>
    </w:p>
    <w:p w14:paraId="5781C2EC" w14:textId="00D103C8" w:rsidR="0060072B" w:rsidRDefault="0060072B" w:rsidP="0060072B">
      <w:pPr>
        <w:rPr>
          <w:rFonts w:ascii="Times New Roman" w:hAnsi="Times New Roman" w:cs="Times New Roman"/>
          <w:b/>
          <w:sz w:val="24"/>
        </w:rPr>
      </w:pPr>
    </w:p>
    <w:p w14:paraId="6D8AC022" w14:textId="22ECD135" w:rsidR="0060072B" w:rsidRDefault="00A97540" w:rsidP="0060072B">
      <w:pPr>
        <w:rPr>
          <w:rFonts w:ascii="Times New Roman" w:hAnsi="Times New Roman" w:cs="Times New Roman"/>
          <w:b/>
          <w:sz w:val="24"/>
        </w:rPr>
      </w:pPr>
      <w:r>
        <w:rPr>
          <w:noProof/>
        </w:rPr>
        <w:drawing>
          <wp:inline distT="0" distB="0" distL="0" distR="0" wp14:anchorId="7222A1C3" wp14:editId="01B35101">
            <wp:extent cx="5114925" cy="3943037"/>
            <wp:effectExtent l="0" t="0" r="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24852" cy="3950690"/>
                    </a:xfrm>
                    <a:prstGeom prst="rect">
                      <a:avLst/>
                    </a:prstGeom>
                  </pic:spPr>
                </pic:pic>
              </a:graphicData>
            </a:graphic>
          </wp:inline>
        </w:drawing>
      </w:r>
    </w:p>
    <w:p w14:paraId="5D2078CE" w14:textId="7909B174" w:rsidR="0060072B" w:rsidRPr="00DD203C" w:rsidRDefault="00340D87" w:rsidP="0060072B">
      <w:pPr>
        <w:rPr>
          <w:rFonts w:ascii="Arial" w:hAnsi="Arial" w:cs="Arial"/>
          <w:b/>
          <w:sz w:val="24"/>
          <w:szCs w:val="24"/>
        </w:rPr>
      </w:pPr>
      <w:r w:rsidRPr="00340D87">
        <w:rPr>
          <w:rFonts w:ascii="Arial" w:hAnsi="Arial" w:cs="Arial"/>
          <w:b/>
          <w:sz w:val="24"/>
          <w:szCs w:val="24"/>
        </w:rPr>
        <w:t xml:space="preserve">Supplementary </w:t>
      </w:r>
      <w:r w:rsidRPr="00A13D65">
        <w:rPr>
          <w:rFonts w:ascii="Arial" w:hAnsi="Arial" w:cs="Arial"/>
          <w:b/>
          <w:sz w:val="24"/>
          <w:szCs w:val="24"/>
        </w:rPr>
        <w:t>Figure</w:t>
      </w:r>
      <w:r>
        <w:rPr>
          <w:rFonts w:ascii="Arial" w:hAnsi="Arial" w:cs="Arial"/>
          <w:b/>
          <w:sz w:val="24"/>
          <w:szCs w:val="24"/>
        </w:rPr>
        <w:t xml:space="preserve"> </w:t>
      </w:r>
      <w:r w:rsidR="002563C6">
        <w:rPr>
          <w:rFonts w:ascii="Arial" w:hAnsi="Arial" w:cs="Arial"/>
          <w:b/>
          <w:sz w:val="24"/>
          <w:szCs w:val="24"/>
        </w:rPr>
        <w:t>6</w:t>
      </w:r>
      <w:r w:rsidR="0060072B" w:rsidRPr="00DD203C">
        <w:rPr>
          <w:rFonts w:ascii="Arial" w:hAnsi="Arial" w:cs="Arial"/>
          <w:b/>
          <w:sz w:val="24"/>
          <w:szCs w:val="24"/>
        </w:rPr>
        <w:t xml:space="preserve">. Quantification of </w:t>
      </w:r>
      <w:r w:rsidR="003E65AA">
        <w:rPr>
          <w:rFonts w:ascii="Arial" w:hAnsi="Arial" w:cs="Arial"/>
          <w:b/>
          <w:sz w:val="24"/>
          <w:szCs w:val="24"/>
        </w:rPr>
        <w:t>P</w:t>
      </w:r>
      <w:r w:rsidR="0060072B" w:rsidRPr="00DD203C">
        <w:rPr>
          <w:rFonts w:ascii="Arial" w:hAnsi="Arial" w:cs="Arial"/>
          <w:b/>
          <w:sz w:val="24"/>
          <w:szCs w:val="24"/>
        </w:rPr>
        <w:t>latelets</w:t>
      </w:r>
      <w:r w:rsidR="00CA0237">
        <w:rPr>
          <w:rFonts w:ascii="Arial" w:hAnsi="Arial" w:cs="Arial"/>
          <w:b/>
          <w:sz w:val="24"/>
          <w:szCs w:val="24"/>
        </w:rPr>
        <w:t xml:space="preserve"> </w:t>
      </w:r>
      <w:r w:rsidR="00CA0237" w:rsidRPr="00CA0237">
        <w:rPr>
          <w:rFonts w:ascii="Arial" w:hAnsi="Arial" w:cs="Arial"/>
          <w:b/>
          <w:sz w:val="24"/>
          <w:szCs w:val="24"/>
        </w:rPr>
        <w:t>(ns, p&gt;0.05)</w:t>
      </w:r>
    </w:p>
    <w:p w14:paraId="6E3E1061" w14:textId="14A25383" w:rsidR="00CF5999" w:rsidRDefault="00CF5999" w:rsidP="00CF5999">
      <w:pPr>
        <w:rPr>
          <w:rFonts w:ascii="Times New Roman" w:hAnsi="Times New Roman" w:cs="Times New Roman"/>
          <w:b/>
          <w:sz w:val="28"/>
        </w:rPr>
      </w:pPr>
    </w:p>
    <w:p w14:paraId="326A9817" w14:textId="269B30B3" w:rsidR="0060072B" w:rsidRDefault="00A97540" w:rsidP="00CF5999">
      <w:pPr>
        <w:rPr>
          <w:rFonts w:ascii="Times New Roman" w:hAnsi="Times New Roman" w:cs="Times New Roman"/>
          <w:b/>
          <w:sz w:val="28"/>
        </w:rPr>
      </w:pPr>
      <w:r>
        <w:rPr>
          <w:noProof/>
        </w:rPr>
        <w:drawing>
          <wp:inline distT="0" distB="0" distL="0" distR="0" wp14:anchorId="2AA80950" wp14:editId="2F2ADEA1">
            <wp:extent cx="5048250" cy="3702617"/>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58314" cy="3709998"/>
                    </a:xfrm>
                    <a:prstGeom prst="rect">
                      <a:avLst/>
                    </a:prstGeom>
                  </pic:spPr>
                </pic:pic>
              </a:graphicData>
            </a:graphic>
          </wp:inline>
        </w:drawing>
      </w:r>
    </w:p>
    <w:p w14:paraId="5E3580C3" w14:textId="5BAEA57F" w:rsidR="001B7D9D" w:rsidRPr="007330F1" w:rsidRDefault="00340D87" w:rsidP="001B7D9D">
      <w:pPr>
        <w:rPr>
          <w:rFonts w:ascii="Times New Roman" w:hAnsi="Times New Roman" w:cs="Times New Roman"/>
          <w:b/>
          <w:sz w:val="24"/>
        </w:rPr>
      </w:pPr>
      <w:r>
        <w:rPr>
          <w:rFonts w:ascii="Times New Roman" w:hAnsi="Times New Roman" w:cs="Times New Roman"/>
          <w:b/>
          <w:sz w:val="24"/>
        </w:rPr>
        <w:lastRenderedPageBreak/>
        <w:t xml:space="preserve">Supplementary </w:t>
      </w:r>
      <w:r w:rsidR="001B7D9D" w:rsidRPr="007330F1">
        <w:rPr>
          <w:rFonts w:ascii="Times New Roman" w:hAnsi="Times New Roman" w:cs="Times New Roman"/>
          <w:b/>
          <w:sz w:val="24"/>
        </w:rPr>
        <w:t xml:space="preserve">Method </w:t>
      </w:r>
      <w:r w:rsidR="001B7D9D">
        <w:rPr>
          <w:rFonts w:ascii="Times New Roman" w:hAnsi="Times New Roman" w:cs="Times New Roman"/>
          <w:b/>
          <w:sz w:val="24"/>
        </w:rPr>
        <w:t>1</w:t>
      </w:r>
      <w:r w:rsidR="001B7D9D" w:rsidRPr="007330F1">
        <w:rPr>
          <w:rFonts w:ascii="Times New Roman" w:hAnsi="Times New Roman" w:cs="Times New Roman"/>
          <w:b/>
          <w:sz w:val="24"/>
        </w:rPr>
        <w:t xml:space="preserve">. Preparation of </w:t>
      </w:r>
      <w:proofErr w:type="spellStart"/>
      <w:r w:rsidR="001B7D9D" w:rsidRPr="007330F1">
        <w:rPr>
          <w:rFonts w:ascii="Times New Roman" w:hAnsi="Times New Roman" w:cs="Times New Roman"/>
          <w:b/>
          <w:sz w:val="24"/>
        </w:rPr>
        <w:t>iNKT</w:t>
      </w:r>
      <w:proofErr w:type="spellEnd"/>
      <w:r w:rsidR="001B7D9D" w:rsidRPr="007330F1">
        <w:rPr>
          <w:rFonts w:ascii="Times New Roman" w:hAnsi="Times New Roman" w:cs="Times New Roman"/>
          <w:b/>
          <w:sz w:val="24"/>
        </w:rPr>
        <w:t xml:space="preserve"> </w:t>
      </w:r>
      <w:r w:rsidR="001B7D9D">
        <w:rPr>
          <w:rFonts w:ascii="Times New Roman" w:hAnsi="Times New Roman" w:cs="Times New Roman"/>
          <w:b/>
          <w:sz w:val="24"/>
        </w:rPr>
        <w:t>C</w:t>
      </w:r>
      <w:r w:rsidR="001B7D9D" w:rsidRPr="007330F1">
        <w:rPr>
          <w:rFonts w:ascii="Times New Roman" w:hAnsi="Times New Roman" w:cs="Times New Roman"/>
          <w:b/>
          <w:sz w:val="24"/>
        </w:rPr>
        <w:t>ells</w:t>
      </w:r>
    </w:p>
    <w:p w14:paraId="459990A8" w14:textId="77777777" w:rsidR="001B7D9D" w:rsidRPr="00E418B1" w:rsidRDefault="001B7D9D" w:rsidP="001B7D9D">
      <w:pPr>
        <w:rPr>
          <w:rFonts w:ascii="Times New Roman" w:hAnsi="Times New Roman" w:cs="Times New Roman"/>
          <w:sz w:val="20"/>
          <w:szCs w:val="20"/>
        </w:rPr>
      </w:pPr>
      <w:r w:rsidRPr="00E418B1">
        <w:rPr>
          <w:rFonts w:ascii="Times New Roman" w:hAnsi="Times New Roman" w:cs="Times New Roman"/>
          <w:sz w:val="20"/>
          <w:szCs w:val="20"/>
        </w:rPr>
        <w:t xml:space="preserve">1) Isolate PBMCs by leukapheresis using a COM.TEC apheresis system (Fresenius Medical Care, Bad Homburg, Germany) and </w:t>
      </w:r>
      <w:proofErr w:type="spellStart"/>
      <w:r w:rsidRPr="00E418B1">
        <w:rPr>
          <w:rFonts w:ascii="Times New Roman" w:hAnsi="Times New Roman" w:cs="Times New Roman"/>
          <w:sz w:val="20"/>
          <w:szCs w:val="20"/>
        </w:rPr>
        <w:t>Lymphoprep</w:t>
      </w:r>
      <w:proofErr w:type="spellEnd"/>
      <w:r w:rsidRPr="00E418B1">
        <w:rPr>
          <w:rFonts w:ascii="Times New Roman" w:hAnsi="Times New Roman" w:cs="Times New Roman"/>
          <w:sz w:val="20"/>
          <w:szCs w:val="20"/>
        </w:rPr>
        <w:t xml:space="preserve"> density gradient medium (</w:t>
      </w:r>
      <w:proofErr w:type="spellStart"/>
      <w:r w:rsidRPr="00E418B1">
        <w:rPr>
          <w:rFonts w:ascii="Times New Roman" w:hAnsi="Times New Roman" w:cs="Times New Roman"/>
          <w:sz w:val="20"/>
          <w:szCs w:val="20"/>
        </w:rPr>
        <w:t>Stemcell</w:t>
      </w:r>
      <w:proofErr w:type="spellEnd"/>
      <w:r w:rsidRPr="00E418B1">
        <w:rPr>
          <w:rFonts w:ascii="Times New Roman" w:hAnsi="Times New Roman" w:cs="Times New Roman"/>
          <w:sz w:val="20"/>
          <w:szCs w:val="20"/>
        </w:rPr>
        <w:t xml:space="preserve"> Technologies, Cambridge, UK). </w:t>
      </w:r>
    </w:p>
    <w:p w14:paraId="2F4F5260" w14:textId="77777777" w:rsidR="001B7D9D" w:rsidRPr="00E418B1" w:rsidRDefault="001B7D9D" w:rsidP="001B7D9D">
      <w:pPr>
        <w:rPr>
          <w:rFonts w:ascii="Times New Roman" w:hAnsi="Times New Roman" w:cs="Times New Roman"/>
          <w:sz w:val="20"/>
          <w:szCs w:val="20"/>
        </w:rPr>
      </w:pPr>
      <w:r w:rsidRPr="00E418B1">
        <w:rPr>
          <w:rFonts w:ascii="Times New Roman" w:hAnsi="Times New Roman" w:cs="Times New Roman"/>
          <w:sz w:val="20"/>
          <w:szCs w:val="20"/>
        </w:rPr>
        <w:t>2) Resuspend PBMCs in Corning serum-free cell medium KBM581 (Corning Inc., Corning, NY) and stimulate with 100 ng/mL α-</w:t>
      </w:r>
      <w:proofErr w:type="spellStart"/>
      <w:r w:rsidRPr="00E418B1">
        <w:rPr>
          <w:rFonts w:ascii="Times New Roman" w:hAnsi="Times New Roman" w:cs="Times New Roman"/>
          <w:sz w:val="20"/>
          <w:szCs w:val="20"/>
        </w:rPr>
        <w:t>GalCer</w:t>
      </w:r>
      <w:proofErr w:type="spellEnd"/>
      <w:r w:rsidRPr="00E418B1">
        <w:rPr>
          <w:rFonts w:ascii="Times New Roman" w:hAnsi="Times New Roman" w:cs="Times New Roman"/>
          <w:sz w:val="20"/>
          <w:szCs w:val="20"/>
        </w:rPr>
        <w:t xml:space="preserve"> (</w:t>
      </w:r>
      <w:proofErr w:type="spellStart"/>
      <w:r w:rsidRPr="00E418B1">
        <w:rPr>
          <w:rFonts w:ascii="Times New Roman" w:hAnsi="Times New Roman" w:cs="Times New Roman"/>
          <w:sz w:val="20"/>
          <w:szCs w:val="20"/>
        </w:rPr>
        <w:t>BioVision</w:t>
      </w:r>
      <w:proofErr w:type="spellEnd"/>
      <w:r w:rsidRPr="00E418B1">
        <w:rPr>
          <w:rFonts w:ascii="Times New Roman" w:hAnsi="Times New Roman" w:cs="Times New Roman"/>
          <w:sz w:val="20"/>
          <w:szCs w:val="20"/>
        </w:rPr>
        <w:t xml:space="preserve">, Milpitas, CA) and 100 U/mL animal-free recombinant human interleukin-2 (rhIL-2; </w:t>
      </w:r>
      <w:proofErr w:type="spellStart"/>
      <w:r w:rsidRPr="00E418B1">
        <w:rPr>
          <w:rFonts w:ascii="Times New Roman" w:hAnsi="Times New Roman" w:cs="Times New Roman"/>
          <w:sz w:val="20"/>
          <w:szCs w:val="20"/>
        </w:rPr>
        <w:t>BioLegend</w:t>
      </w:r>
      <w:proofErr w:type="spellEnd"/>
      <w:r w:rsidRPr="00E418B1">
        <w:rPr>
          <w:rFonts w:ascii="Times New Roman" w:hAnsi="Times New Roman" w:cs="Times New Roman"/>
          <w:sz w:val="20"/>
          <w:szCs w:val="20"/>
        </w:rPr>
        <w:t xml:space="preserve">, San Diego, CA) for 48 hours; the rhIL-2 was replenished every other day. </w:t>
      </w:r>
    </w:p>
    <w:p w14:paraId="11180272" w14:textId="77777777" w:rsidR="001B7D9D" w:rsidRPr="00E418B1" w:rsidRDefault="001B7D9D" w:rsidP="001B7D9D">
      <w:pPr>
        <w:rPr>
          <w:rFonts w:ascii="Times New Roman" w:hAnsi="Times New Roman" w:cs="Times New Roman"/>
          <w:sz w:val="20"/>
          <w:szCs w:val="20"/>
        </w:rPr>
      </w:pPr>
      <w:r w:rsidRPr="00E418B1">
        <w:rPr>
          <w:rFonts w:ascii="Times New Roman" w:hAnsi="Times New Roman" w:cs="Times New Roman"/>
          <w:sz w:val="20"/>
          <w:szCs w:val="20"/>
        </w:rPr>
        <w:t>3) Stimulate PBMCs with 1,000 IU/mL granulocyte-macrophage colony-stimulating factor (</w:t>
      </w:r>
      <w:proofErr w:type="spellStart"/>
      <w:r w:rsidRPr="00E418B1">
        <w:rPr>
          <w:rFonts w:ascii="Times New Roman" w:hAnsi="Times New Roman" w:cs="Times New Roman"/>
          <w:sz w:val="20"/>
          <w:szCs w:val="20"/>
        </w:rPr>
        <w:t>BioLegend</w:t>
      </w:r>
      <w:proofErr w:type="spellEnd"/>
      <w:r w:rsidRPr="00E418B1">
        <w:rPr>
          <w:rFonts w:ascii="Times New Roman" w:hAnsi="Times New Roman" w:cs="Times New Roman"/>
          <w:sz w:val="20"/>
          <w:szCs w:val="20"/>
        </w:rPr>
        <w:t>, San Diego, CA) and IL-4 (</w:t>
      </w:r>
      <w:proofErr w:type="spellStart"/>
      <w:r w:rsidRPr="00E418B1">
        <w:rPr>
          <w:rFonts w:ascii="Times New Roman" w:hAnsi="Times New Roman" w:cs="Times New Roman"/>
          <w:sz w:val="20"/>
          <w:szCs w:val="20"/>
        </w:rPr>
        <w:t>BioLegend</w:t>
      </w:r>
      <w:proofErr w:type="spellEnd"/>
      <w:r w:rsidRPr="00E418B1">
        <w:rPr>
          <w:rFonts w:ascii="Times New Roman" w:hAnsi="Times New Roman" w:cs="Times New Roman"/>
          <w:sz w:val="20"/>
          <w:szCs w:val="20"/>
        </w:rPr>
        <w:t>, San Diego, CA) for 1 week, and obtain mature, monocyte-derived DCs.</w:t>
      </w:r>
    </w:p>
    <w:p w14:paraId="61229386" w14:textId="77777777" w:rsidR="001B7D9D" w:rsidRPr="00E418B1" w:rsidRDefault="001B7D9D" w:rsidP="001B7D9D">
      <w:pPr>
        <w:rPr>
          <w:rFonts w:ascii="Times New Roman" w:hAnsi="Times New Roman" w:cs="Times New Roman"/>
          <w:sz w:val="20"/>
          <w:szCs w:val="20"/>
        </w:rPr>
      </w:pPr>
      <w:r w:rsidRPr="00E418B1">
        <w:rPr>
          <w:rFonts w:ascii="Times New Roman" w:hAnsi="Times New Roman" w:cs="Times New Roman"/>
          <w:sz w:val="20"/>
          <w:szCs w:val="20"/>
        </w:rPr>
        <w:t xml:space="preserve">4) Sort </w:t>
      </w:r>
      <w:proofErr w:type="spellStart"/>
      <w:r w:rsidRPr="00E418B1">
        <w:rPr>
          <w:rFonts w:ascii="Times New Roman" w:hAnsi="Times New Roman" w:cs="Times New Roman"/>
          <w:sz w:val="20"/>
          <w:szCs w:val="20"/>
        </w:rPr>
        <w:t>iNKT</w:t>
      </w:r>
      <w:proofErr w:type="spellEnd"/>
      <w:r w:rsidRPr="00E418B1">
        <w:rPr>
          <w:rFonts w:ascii="Times New Roman" w:hAnsi="Times New Roman" w:cs="Times New Roman"/>
          <w:sz w:val="20"/>
          <w:szCs w:val="20"/>
        </w:rPr>
        <w:t xml:space="preserve"> cells by using anti-</w:t>
      </w:r>
      <w:proofErr w:type="spellStart"/>
      <w:r w:rsidRPr="00E418B1">
        <w:rPr>
          <w:rFonts w:ascii="Times New Roman" w:hAnsi="Times New Roman" w:cs="Times New Roman"/>
          <w:sz w:val="20"/>
          <w:szCs w:val="20"/>
        </w:rPr>
        <w:t>iNKT</w:t>
      </w:r>
      <w:proofErr w:type="spellEnd"/>
      <w:r w:rsidRPr="00E418B1">
        <w:rPr>
          <w:rFonts w:ascii="Times New Roman" w:hAnsi="Times New Roman" w:cs="Times New Roman"/>
          <w:sz w:val="20"/>
          <w:szCs w:val="20"/>
        </w:rPr>
        <w:t xml:space="preserve"> microbeads (</w:t>
      </w:r>
      <w:proofErr w:type="spellStart"/>
      <w:r w:rsidRPr="00E418B1">
        <w:rPr>
          <w:rFonts w:ascii="Times New Roman" w:hAnsi="Times New Roman" w:cs="Times New Roman"/>
          <w:sz w:val="20"/>
          <w:szCs w:val="20"/>
        </w:rPr>
        <w:t>Miltenyi</w:t>
      </w:r>
      <w:proofErr w:type="spellEnd"/>
      <w:r w:rsidRPr="00E418B1">
        <w:rPr>
          <w:rFonts w:ascii="Times New Roman" w:hAnsi="Times New Roman" w:cs="Times New Roman"/>
          <w:sz w:val="20"/>
          <w:szCs w:val="20"/>
        </w:rPr>
        <w:t xml:space="preserve"> </w:t>
      </w:r>
      <w:proofErr w:type="spellStart"/>
      <w:r w:rsidRPr="00E418B1">
        <w:rPr>
          <w:rFonts w:ascii="Times New Roman" w:hAnsi="Times New Roman" w:cs="Times New Roman"/>
          <w:sz w:val="20"/>
          <w:szCs w:val="20"/>
        </w:rPr>
        <w:t>Biotec</w:t>
      </w:r>
      <w:proofErr w:type="spellEnd"/>
      <w:r w:rsidRPr="00E418B1">
        <w:rPr>
          <w:rFonts w:ascii="Times New Roman" w:hAnsi="Times New Roman" w:cs="Times New Roman"/>
          <w:sz w:val="20"/>
          <w:szCs w:val="20"/>
        </w:rPr>
        <w:t xml:space="preserve">, </w:t>
      </w:r>
      <w:proofErr w:type="spellStart"/>
      <w:r w:rsidRPr="00E418B1">
        <w:rPr>
          <w:rFonts w:ascii="Times New Roman" w:hAnsi="Times New Roman" w:cs="Times New Roman"/>
          <w:sz w:val="20"/>
          <w:szCs w:val="20"/>
        </w:rPr>
        <w:t>Bergisch</w:t>
      </w:r>
      <w:proofErr w:type="spellEnd"/>
      <w:r w:rsidRPr="00E418B1">
        <w:rPr>
          <w:rFonts w:ascii="Times New Roman" w:hAnsi="Times New Roman" w:cs="Times New Roman"/>
          <w:sz w:val="20"/>
          <w:szCs w:val="20"/>
        </w:rPr>
        <w:t xml:space="preserve"> Gladbach, Germany) according to the manufacturer’s protocol on day 7. </w:t>
      </w:r>
    </w:p>
    <w:p w14:paraId="068259CB" w14:textId="77777777" w:rsidR="001B7D9D" w:rsidRPr="00E418B1" w:rsidRDefault="001B7D9D" w:rsidP="001B7D9D">
      <w:pPr>
        <w:rPr>
          <w:rFonts w:ascii="Times New Roman" w:hAnsi="Times New Roman" w:cs="Times New Roman"/>
          <w:sz w:val="20"/>
          <w:szCs w:val="20"/>
        </w:rPr>
      </w:pPr>
      <w:r w:rsidRPr="00E418B1">
        <w:rPr>
          <w:rFonts w:ascii="Times New Roman" w:hAnsi="Times New Roman" w:cs="Times New Roman"/>
          <w:sz w:val="20"/>
          <w:szCs w:val="20"/>
        </w:rPr>
        <w:t xml:space="preserve">5) Co-culture the sorted </w:t>
      </w:r>
      <w:proofErr w:type="spellStart"/>
      <w:r w:rsidRPr="00E418B1">
        <w:rPr>
          <w:rFonts w:ascii="Times New Roman" w:hAnsi="Times New Roman" w:cs="Times New Roman"/>
          <w:sz w:val="20"/>
          <w:szCs w:val="20"/>
        </w:rPr>
        <w:t>iNKT</w:t>
      </w:r>
      <w:proofErr w:type="spellEnd"/>
      <w:r w:rsidRPr="00E418B1">
        <w:rPr>
          <w:rFonts w:ascii="Times New Roman" w:hAnsi="Times New Roman" w:cs="Times New Roman"/>
          <w:sz w:val="20"/>
          <w:szCs w:val="20"/>
        </w:rPr>
        <w:t xml:space="preserve"> cells with mature DCs for 14 days, and collect cells for infusion on day 21. An aliquot of cells was used for immunophenotyping and functional testing. </w:t>
      </w:r>
    </w:p>
    <w:p w14:paraId="51BB799E" w14:textId="77777777" w:rsidR="001B7D9D" w:rsidRPr="00E418B1" w:rsidRDefault="001B7D9D" w:rsidP="001B7D9D">
      <w:pPr>
        <w:rPr>
          <w:rFonts w:ascii="Times New Roman" w:hAnsi="Times New Roman" w:cs="Times New Roman"/>
          <w:sz w:val="20"/>
          <w:szCs w:val="20"/>
        </w:rPr>
      </w:pPr>
      <w:r w:rsidRPr="00E418B1">
        <w:rPr>
          <w:rFonts w:ascii="Times New Roman" w:hAnsi="Times New Roman" w:cs="Times New Roman"/>
          <w:sz w:val="20"/>
          <w:szCs w:val="20"/>
        </w:rPr>
        <w:t xml:space="preserve">6) Determine the frequency of </w:t>
      </w:r>
      <w:proofErr w:type="spellStart"/>
      <w:r w:rsidRPr="00E418B1">
        <w:rPr>
          <w:rFonts w:ascii="Times New Roman" w:hAnsi="Times New Roman" w:cs="Times New Roman"/>
          <w:sz w:val="20"/>
          <w:szCs w:val="20"/>
        </w:rPr>
        <w:t>iNKT</w:t>
      </w:r>
      <w:proofErr w:type="spellEnd"/>
      <w:r w:rsidRPr="00E418B1">
        <w:rPr>
          <w:rFonts w:ascii="Times New Roman" w:hAnsi="Times New Roman" w:cs="Times New Roman"/>
          <w:sz w:val="20"/>
          <w:szCs w:val="20"/>
        </w:rPr>
        <w:t xml:space="preserve"> cells in T </w:t>
      </w:r>
      <w:r w:rsidRPr="00E418B1">
        <w:rPr>
          <w:rFonts w:ascii="Times New Roman" w:hAnsi="Times New Roman" w:cs="Times New Roman" w:hint="eastAsia"/>
          <w:sz w:val="20"/>
          <w:szCs w:val="20"/>
        </w:rPr>
        <w:t>cells</w:t>
      </w:r>
      <w:r w:rsidRPr="00E418B1">
        <w:rPr>
          <w:rFonts w:ascii="Times New Roman" w:hAnsi="Times New Roman" w:cs="Times New Roman"/>
          <w:sz w:val="20"/>
          <w:szCs w:val="20"/>
        </w:rPr>
        <w:t xml:space="preserve"> by using a </w:t>
      </w:r>
      <w:proofErr w:type="spellStart"/>
      <w:r w:rsidRPr="00E418B1">
        <w:rPr>
          <w:rFonts w:ascii="Times New Roman" w:hAnsi="Times New Roman" w:cs="Times New Roman"/>
          <w:sz w:val="20"/>
          <w:szCs w:val="20"/>
        </w:rPr>
        <w:t>FACSCanto</w:t>
      </w:r>
      <w:proofErr w:type="spellEnd"/>
      <w:r w:rsidRPr="00E418B1">
        <w:rPr>
          <w:rFonts w:ascii="Times New Roman" w:hAnsi="Times New Roman" w:cs="Times New Roman"/>
          <w:sz w:val="20"/>
          <w:szCs w:val="20"/>
        </w:rPr>
        <w:t xml:space="preserve"> II cytometer (BD Biosciences, San Jose, CA). </w:t>
      </w:r>
    </w:p>
    <w:p w14:paraId="20357712" w14:textId="77777777" w:rsidR="001B7D9D" w:rsidRPr="00E418B1" w:rsidRDefault="001B7D9D" w:rsidP="001B7D9D">
      <w:pPr>
        <w:rPr>
          <w:rFonts w:ascii="Times New Roman" w:eastAsia="宋体" w:hAnsi="Times New Roman" w:cs="Times New Roman"/>
          <w:sz w:val="20"/>
          <w:szCs w:val="20"/>
          <w:lang w:val="en-GB"/>
        </w:rPr>
      </w:pPr>
      <w:r w:rsidRPr="00E418B1">
        <w:rPr>
          <w:rFonts w:ascii="Times New Roman" w:hAnsi="Times New Roman" w:cs="Times New Roman"/>
          <w:sz w:val="20"/>
          <w:szCs w:val="20"/>
        </w:rPr>
        <w:t xml:space="preserve">7) The criteria for </w:t>
      </w:r>
      <w:proofErr w:type="spellStart"/>
      <w:r w:rsidRPr="00E418B1">
        <w:rPr>
          <w:rFonts w:ascii="Times New Roman" w:hAnsi="Times New Roman" w:cs="Times New Roman"/>
          <w:sz w:val="20"/>
          <w:szCs w:val="20"/>
        </w:rPr>
        <w:t>iNKT</w:t>
      </w:r>
      <w:proofErr w:type="spellEnd"/>
      <w:r w:rsidRPr="00E418B1">
        <w:rPr>
          <w:rFonts w:ascii="Times New Roman" w:hAnsi="Times New Roman" w:cs="Times New Roman"/>
          <w:sz w:val="20"/>
          <w:szCs w:val="20"/>
        </w:rPr>
        <w:t xml:space="preserve"> cell administration includes a negative bacterial culture, a negative mycoplasma test result, and an endotoxin level &lt; 0.05 units/</w:t>
      </w:r>
      <w:proofErr w:type="spellStart"/>
      <w:r w:rsidRPr="00E418B1">
        <w:rPr>
          <w:rFonts w:ascii="Times New Roman" w:hAnsi="Times New Roman" w:cs="Times New Roman"/>
          <w:sz w:val="20"/>
          <w:szCs w:val="20"/>
        </w:rPr>
        <w:t>mL</w:t>
      </w:r>
      <w:r w:rsidRPr="00E418B1">
        <w:rPr>
          <w:rFonts w:ascii="Times New Roman" w:hAnsi="Times New Roman" w:cs="Times New Roman" w:hint="eastAsia"/>
          <w:sz w:val="20"/>
          <w:szCs w:val="20"/>
        </w:rPr>
        <w:t>.</w:t>
      </w:r>
      <w:proofErr w:type="spellEnd"/>
      <w:r w:rsidRPr="00E418B1">
        <w:rPr>
          <w:rFonts w:ascii="Times New Roman" w:eastAsia="宋体" w:hAnsi="Times New Roman" w:cs="Times New Roman"/>
          <w:sz w:val="20"/>
          <w:szCs w:val="20"/>
          <w:lang w:val="en-GB"/>
        </w:rPr>
        <w:t xml:space="preserve"> </w:t>
      </w:r>
    </w:p>
    <w:p w14:paraId="5ADCA868" w14:textId="77777777" w:rsidR="001B7D9D" w:rsidRPr="001B7D9D" w:rsidRDefault="001B7D9D">
      <w:pPr>
        <w:rPr>
          <w:rFonts w:ascii="Times New Roman" w:hAnsi="Times New Roman" w:cs="Times New Roman"/>
          <w:b/>
          <w:sz w:val="24"/>
          <w:lang w:val="en-GB"/>
        </w:rPr>
      </w:pPr>
    </w:p>
    <w:p w14:paraId="61642238" w14:textId="3A4E1946" w:rsidR="007C1F55" w:rsidRPr="007330F1" w:rsidRDefault="00340D87">
      <w:pPr>
        <w:rPr>
          <w:rFonts w:ascii="Times New Roman" w:hAnsi="Times New Roman" w:cs="Times New Roman"/>
          <w:b/>
          <w:sz w:val="24"/>
        </w:rPr>
      </w:pPr>
      <w:r>
        <w:rPr>
          <w:rFonts w:ascii="Times New Roman" w:hAnsi="Times New Roman" w:cs="Times New Roman"/>
          <w:b/>
          <w:sz w:val="24"/>
        </w:rPr>
        <w:t xml:space="preserve">Supplementary </w:t>
      </w:r>
      <w:r w:rsidR="007C1F55" w:rsidRPr="007330F1">
        <w:rPr>
          <w:rFonts w:ascii="Times New Roman" w:hAnsi="Times New Roman" w:cs="Times New Roman"/>
          <w:b/>
          <w:sz w:val="24"/>
        </w:rPr>
        <w:t>Method</w:t>
      </w:r>
      <w:r w:rsidR="007330F1" w:rsidRPr="007330F1">
        <w:rPr>
          <w:rFonts w:ascii="Times New Roman" w:hAnsi="Times New Roman" w:cs="Times New Roman"/>
          <w:b/>
          <w:sz w:val="24"/>
        </w:rPr>
        <w:t xml:space="preserve"> </w:t>
      </w:r>
      <w:r w:rsidR="001B7D9D">
        <w:rPr>
          <w:rFonts w:ascii="Times New Roman" w:hAnsi="Times New Roman" w:cs="Times New Roman"/>
          <w:b/>
          <w:sz w:val="24"/>
        </w:rPr>
        <w:t>2</w:t>
      </w:r>
      <w:r w:rsidR="007C1F55" w:rsidRPr="007330F1">
        <w:rPr>
          <w:rFonts w:ascii="Times New Roman" w:hAnsi="Times New Roman" w:cs="Times New Roman"/>
          <w:b/>
          <w:sz w:val="24"/>
        </w:rPr>
        <w:t xml:space="preserve">. Criteria and </w:t>
      </w:r>
      <w:r w:rsidR="003E65AA">
        <w:rPr>
          <w:rFonts w:ascii="Times New Roman" w:hAnsi="Times New Roman" w:cs="Times New Roman"/>
          <w:b/>
          <w:sz w:val="24"/>
        </w:rPr>
        <w:t>E</w:t>
      </w:r>
      <w:r w:rsidR="007C1F55" w:rsidRPr="007330F1">
        <w:rPr>
          <w:rFonts w:ascii="Times New Roman" w:hAnsi="Times New Roman" w:cs="Times New Roman"/>
          <w:b/>
          <w:sz w:val="24"/>
        </w:rPr>
        <w:t xml:space="preserve">nd </w:t>
      </w:r>
      <w:r w:rsidR="003E65AA">
        <w:rPr>
          <w:rFonts w:ascii="Times New Roman" w:hAnsi="Times New Roman" w:cs="Times New Roman"/>
          <w:b/>
          <w:sz w:val="24"/>
        </w:rPr>
        <w:t>P</w:t>
      </w:r>
      <w:r w:rsidR="007C1F55" w:rsidRPr="007330F1">
        <w:rPr>
          <w:rFonts w:ascii="Times New Roman" w:hAnsi="Times New Roman" w:cs="Times New Roman"/>
          <w:b/>
          <w:sz w:val="24"/>
        </w:rPr>
        <w:t xml:space="preserve">oint </w:t>
      </w:r>
      <w:proofErr w:type="spellStart"/>
      <w:r w:rsidR="003E65AA">
        <w:rPr>
          <w:rFonts w:ascii="Times New Roman" w:hAnsi="Times New Roman" w:cs="Times New Roman"/>
          <w:b/>
          <w:sz w:val="24"/>
        </w:rPr>
        <w:t>D</w:t>
      </w:r>
      <w:r w:rsidR="007C1F55" w:rsidRPr="007330F1">
        <w:rPr>
          <w:rFonts w:ascii="Times New Roman" w:hAnsi="Times New Roman" w:cs="Times New Roman"/>
          <w:b/>
          <w:sz w:val="24"/>
        </w:rPr>
        <w:t>efintions</w:t>
      </w:r>
      <w:proofErr w:type="spellEnd"/>
      <w:r w:rsidR="007C1F55" w:rsidRPr="007330F1">
        <w:rPr>
          <w:rFonts w:ascii="Times New Roman" w:hAnsi="Times New Roman" w:cs="Times New Roman"/>
          <w:b/>
          <w:sz w:val="24"/>
        </w:rPr>
        <w:t xml:space="preserve"> </w:t>
      </w:r>
    </w:p>
    <w:p w14:paraId="09C1029D" w14:textId="7FF7D2EF" w:rsidR="003D5A4F" w:rsidRPr="007330F1" w:rsidRDefault="003D5A4F">
      <w:pPr>
        <w:rPr>
          <w:rFonts w:ascii="Times New Roman" w:hAnsi="Times New Roman" w:cs="Times New Roman"/>
          <w:b/>
          <w:sz w:val="20"/>
          <w:szCs w:val="20"/>
        </w:rPr>
      </w:pPr>
      <w:r w:rsidRPr="007330F1">
        <w:rPr>
          <w:rFonts w:ascii="Times New Roman" w:hAnsi="Times New Roman" w:cs="Times New Roman"/>
          <w:b/>
          <w:sz w:val="20"/>
          <w:szCs w:val="20"/>
        </w:rPr>
        <w:t>Inclusion Criteria:</w:t>
      </w:r>
    </w:p>
    <w:p w14:paraId="6994A902" w14:textId="70B4A380" w:rsidR="003D5A4F" w:rsidRPr="00E418B1" w:rsidRDefault="003D5A4F" w:rsidP="003D5A4F">
      <w:pPr>
        <w:rPr>
          <w:rFonts w:ascii="Times New Roman" w:hAnsi="Times New Roman" w:cs="Times New Roman"/>
          <w:sz w:val="20"/>
          <w:szCs w:val="20"/>
        </w:rPr>
      </w:pPr>
      <w:r w:rsidRPr="00E418B1">
        <w:rPr>
          <w:rFonts w:ascii="Times New Roman" w:hAnsi="Times New Roman" w:cs="Times New Roman"/>
          <w:sz w:val="20"/>
          <w:szCs w:val="20"/>
        </w:rPr>
        <w:t xml:space="preserve">1) 18-80 years of age, 2) TACE failure/refractory BCLC B HCC confirmed by CT, MRI, and/or histopathology, 3) life expectancy of at least 12 weeks, </w:t>
      </w:r>
      <w:r w:rsidR="00852C08" w:rsidRPr="00E418B1">
        <w:rPr>
          <w:rFonts w:ascii="Times New Roman" w:hAnsi="Times New Roman" w:cs="Times New Roman"/>
          <w:sz w:val="20"/>
          <w:szCs w:val="20"/>
        </w:rPr>
        <w:t>4) Child-Pugh A/B</w:t>
      </w:r>
      <w:r w:rsidR="00852C08" w:rsidRPr="00E418B1">
        <w:rPr>
          <w:rFonts w:ascii="Times New Roman" w:hAnsi="Times New Roman" w:cs="Times New Roman" w:hint="eastAsia"/>
          <w:sz w:val="20"/>
          <w:szCs w:val="20"/>
        </w:rPr>
        <w:t>，</w:t>
      </w:r>
      <w:r w:rsidR="00852C08" w:rsidRPr="00E418B1">
        <w:rPr>
          <w:rFonts w:ascii="Times New Roman" w:hAnsi="Times New Roman" w:cs="Times New Roman"/>
          <w:sz w:val="20"/>
          <w:szCs w:val="20"/>
        </w:rPr>
        <w:t>5</w:t>
      </w:r>
      <w:r w:rsidRPr="00E418B1">
        <w:rPr>
          <w:rFonts w:ascii="Times New Roman" w:hAnsi="Times New Roman" w:cs="Times New Roman"/>
          <w:sz w:val="20"/>
          <w:szCs w:val="20"/>
        </w:rPr>
        <w:t>) adequate hematological and renal functions, including white blood cell (WBC) count &gt;3.0×10</w:t>
      </w:r>
      <w:r w:rsidRPr="002F0F09">
        <w:rPr>
          <w:rFonts w:ascii="Times New Roman" w:hAnsi="Times New Roman" w:cs="Times New Roman"/>
          <w:sz w:val="20"/>
          <w:szCs w:val="20"/>
          <w:vertAlign w:val="superscript"/>
        </w:rPr>
        <w:t>9</w:t>
      </w:r>
      <w:r w:rsidRPr="00E418B1">
        <w:rPr>
          <w:rFonts w:ascii="Times New Roman" w:hAnsi="Times New Roman" w:cs="Times New Roman"/>
          <w:sz w:val="20"/>
          <w:szCs w:val="20"/>
        </w:rPr>
        <w:t>/L, lymphocyte count &gt;0.8×10</w:t>
      </w:r>
      <w:r w:rsidRPr="002F0F09">
        <w:rPr>
          <w:rFonts w:ascii="Times New Roman" w:hAnsi="Times New Roman" w:cs="Times New Roman"/>
          <w:sz w:val="20"/>
          <w:szCs w:val="20"/>
          <w:vertAlign w:val="superscript"/>
        </w:rPr>
        <w:t>9</w:t>
      </w:r>
      <w:r w:rsidRPr="00E418B1">
        <w:rPr>
          <w:rFonts w:ascii="Times New Roman" w:hAnsi="Times New Roman" w:cs="Times New Roman"/>
          <w:sz w:val="20"/>
          <w:szCs w:val="20"/>
        </w:rPr>
        <w:t>/L, platelet count &gt;50×10</w:t>
      </w:r>
      <w:r w:rsidRPr="002F0F09">
        <w:rPr>
          <w:rFonts w:ascii="Times New Roman" w:hAnsi="Times New Roman" w:cs="Times New Roman"/>
          <w:sz w:val="20"/>
          <w:szCs w:val="20"/>
          <w:vertAlign w:val="superscript"/>
        </w:rPr>
        <w:t>9</w:t>
      </w:r>
      <w:r w:rsidRPr="00E418B1">
        <w:rPr>
          <w:rFonts w:ascii="Times New Roman" w:hAnsi="Times New Roman" w:cs="Times New Roman"/>
          <w:sz w:val="20"/>
          <w:szCs w:val="20"/>
        </w:rPr>
        <w:t xml:space="preserve">/L, hemoglobin concentration &gt;85 g/L, and serum creatinine concentration of &lt;1.5-times the upper limit of normal value (ULN), and </w:t>
      </w:r>
      <w:r w:rsidR="00852C08" w:rsidRPr="00E418B1">
        <w:rPr>
          <w:rFonts w:ascii="Times New Roman" w:hAnsi="Times New Roman" w:cs="Times New Roman"/>
          <w:sz w:val="20"/>
          <w:szCs w:val="20"/>
        </w:rPr>
        <w:t>6</w:t>
      </w:r>
      <w:r w:rsidRPr="00E418B1">
        <w:rPr>
          <w:rFonts w:ascii="Times New Roman" w:hAnsi="Times New Roman" w:cs="Times New Roman"/>
          <w:sz w:val="20"/>
          <w:szCs w:val="20"/>
        </w:rPr>
        <w:t>) previous treatment terminated at least 4 weeks before entry</w:t>
      </w:r>
      <w:r w:rsidR="00CE7CB8" w:rsidRPr="00E418B1">
        <w:rPr>
          <w:rFonts w:ascii="Times New Roman" w:hAnsi="Times New Roman" w:cs="Times New Roman"/>
          <w:sz w:val="20"/>
          <w:szCs w:val="20"/>
        </w:rPr>
        <w:t xml:space="preserve"> to this study</w:t>
      </w:r>
      <w:r w:rsidRPr="00E418B1">
        <w:rPr>
          <w:rFonts w:ascii="Times New Roman" w:hAnsi="Times New Roman" w:cs="Times New Roman"/>
          <w:sz w:val="20"/>
          <w:szCs w:val="20"/>
        </w:rPr>
        <w:t xml:space="preserve">. </w:t>
      </w:r>
    </w:p>
    <w:p w14:paraId="4386C2FF" w14:textId="5A19A482" w:rsidR="003D5A4F" w:rsidRPr="007330F1" w:rsidRDefault="003D5A4F" w:rsidP="003D5A4F">
      <w:pPr>
        <w:rPr>
          <w:rFonts w:ascii="Times New Roman" w:hAnsi="Times New Roman" w:cs="Times New Roman"/>
          <w:b/>
          <w:sz w:val="20"/>
          <w:szCs w:val="20"/>
        </w:rPr>
      </w:pPr>
      <w:r w:rsidRPr="007330F1">
        <w:rPr>
          <w:rFonts w:ascii="Times New Roman" w:hAnsi="Times New Roman" w:cs="Times New Roman"/>
          <w:b/>
          <w:sz w:val="20"/>
          <w:szCs w:val="20"/>
        </w:rPr>
        <w:t>E</w:t>
      </w:r>
      <w:r w:rsidRPr="007330F1">
        <w:rPr>
          <w:rFonts w:ascii="Times New Roman" w:hAnsi="Times New Roman" w:cs="Times New Roman" w:hint="eastAsia"/>
          <w:b/>
          <w:sz w:val="20"/>
          <w:szCs w:val="20"/>
        </w:rPr>
        <w:t>x</w:t>
      </w:r>
      <w:r w:rsidRPr="007330F1">
        <w:rPr>
          <w:rFonts w:ascii="Times New Roman" w:hAnsi="Times New Roman" w:cs="Times New Roman"/>
          <w:b/>
          <w:sz w:val="20"/>
          <w:szCs w:val="20"/>
        </w:rPr>
        <w:t>clusion Criteria:</w:t>
      </w:r>
    </w:p>
    <w:p w14:paraId="1A76AEF2" w14:textId="4A6B9B99" w:rsidR="003D5A4F" w:rsidRPr="00E418B1" w:rsidRDefault="003D5A4F" w:rsidP="003D5A4F">
      <w:pPr>
        <w:rPr>
          <w:rFonts w:ascii="Times New Roman" w:hAnsi="Times New Roman" w:cs="Times New Roman"/>
          <w:sz w:val="20"/>
          <w:szCs w:val="20"/>
        </w:rPr>
      </w:pPr>
      <w:r w:rsidRPr="00E418B1">
        <w:rPr>
          <w:rFonts w:ascii="Times New Roman" w:hAnsi="Times New Roman" w:cs="Times New Roman"/>
          <w:sz w:val="20"/>
          <w:szCs w:val="20"/>
        </w:rPr>
        <w:t xml:space="preserve">1) </w:t>
      </w:r>
      <w:r w:rsidR="00F65DF9" w:rsidRPr="00E418B1">
        <w:rPr>
          <w:rFonts w:ascii="Times New Roman" w:hAnsi="Times New Roman" w:cs="Times New Roman"/>
          <w:sz w:val="20"/>
          <w:szCs w:val="20"/>
        </w:rPr>
        <w:t>K</w:t>
      </w:r>
      <w:r w:rsidRPr="00E418B1">
        <w:rPr>
          <w:rFonts w:ascii="Times New Roman" w:hAnsi="Times New Roman" w:cs="Times New Roman"/>
          <w:sz w:val="20"/>
          <w:szCs w:val="20"/>
        </w:rPr>
        <w:t>nown history of the human immunodeficiency virus (HIV) or syphilis infection, 2) clinically serious infections, 3) history of stem cell transplant or organ allograft, 4) history of severe hypertension or cardiac disease, 5) known central nervous system (CNS) tumor, 6) autoimmune disease requiring systemic therapy with immunosuppressive agents, 7) history of allergy to immunotherapy or related drugs, 8) pregnancy or lactation, or 9) deemed not suitable for cellular immunotherapy by the investigators.</w:t>
      </w:r>
    </w:p>
    <w:p w14:paraId="6C026680" w14:textId="332323E7" w:rsidR="000338CE" w:rsidRPr="007330F1" w:rsidRDefault="000338CE" w:rsidP="003D5A4F">
      <w:pPr>
        <w:rPr>
          <w:rFonts w:ascii="Times New Roman" w:hAnsi="Times New Roman" w:cs="Times New Roman"/>
          <w:b/>
          <w:sz w:val="20"/>
          <w:szCs w:val="20"/>
        </w:rPr>
      </w:pPr>
      <w:r w:rsidRPr="007330F1">
        <w:rPr>
          <w:rFonts w:ascii="Times New Roman" w:hAnsi="Times New Roman" w:cs="Times New Roman"/>
          <w:b/>
          <w:sz w:val="20"/>
          <w:szCs w:val="20"/>
        </w:rPr>
        <w:t xml:space="preserve">TACE failure: </w:t>
      </w:r>
    </w:p>
    <w:p w14:paraId="5D9E0CDF" w14:textId="1EF8C8E3" w:rsidR="007C1F55" w:rsidRPr="00E418B1" w:rsidRDefault="000338CE" w:rsidP="003D5A4F">
      <w:pPr>
        <w:rPr>
          <w:rFonts w:ascii="Times New Roman" w:hAnsi="Times New Roman" w:cs="Times New Roman"/>
          <w:sz w:val="20"/>
          <w:szCs w:val="20"/>
        </w:rPr>
      </w:pPr>
      <w:r w:rsidRPr="00E418B1">
        <w:rPr>
          <w:rFonts w:ascii="Times New Roman" w:hAnsi="Times New Roman" w:cs="Times New Roman"/>
          <w:sz w:val="20"/>
          <w:szCs w:val="20"/>
        </w:rPr>
        <w:t xml:space="preserve">(1) Intrahepatic lesion </w:t>
      </w:r>
      <w:r w:rsidR="00E6403E" w:rsidRPr="00E418B1">
        <w:rPr>
          <w:rFonts w:ascii="Times New Roman" w:hAnsi="Times New Roman" w:cs="Times New Roman"/>
          <w:sz w:val="20"/>
          <w:szCs w:val="20"/>
        </w:rPr>
        <w:t>[</w:t>
      </w:r>
      <w:r w:rsidRPr="00E418B1">
        <w:rPr>
          <w:rFonts w:ascii="Times New Roman" w:hAnsi="Times New Roman" w:cs="Times New Roman"/>
          <w:sz w:val="20"/>
          <w:szCs w:val="20"/>
        </w:rPr>
        <w:t xml:space="preserve">i, </w:t>
      </w:r>
      <w:r w:rsidR="00902271" w:rsidRPr="00E418B1">
        <w:rPr>
          <w:rFonts w:ascii="Times New Roman" w:hAnsi="Times New Roman" w:cs="Times New Roman"/>
          <w:sz w:val="20"/>
          <w:szCs w:val="20"/>
        </w:rPr>
        <w:t>two</w:t>
      </w:r>
      <w:r w:rsidRPr="00E418B1">
        <w:rPr>
          <w:rFonts w:ascii="Times New Roman" w:hAnsi="Times New Roman" w:cs="Times New Roman"/>
          <w:sz w:val="20"/>
          <w:szCs w:val="20"/>
        </w:rPr>
        <w:t xml:space="preserve"> or more consecutive ineffective responses seen within the treated tumors (viable lesion &gt;50%), even after changing the chemotherapeutic agents and/or reanalysis of </w:t>
      </w:r>
      <w:r w:rsidR="00543E69" w:rsidRPr="00E418B1">
        <w:rPr>
          <w:rFonts w:ascii="Times New Roman" w:hAnsi="Times New Roman" w:cs="Times New Roman"/>
          <w:sz w:val="20"/>
          <w:szCs w:val="20"/>
        </w:rPr>
        <w:t xml:space="preserve">the </w:t>
      </w:r>
      <w:r w:rsidRPr="00E418B1">
        <w:rPr>
          <w:rFonts w:ascii="Times New Roman" w:hAnsi="Times New Roman" w:cs="Times New Roman"/>
          <w:sz w:val="20"/>
          <w:szCs w:val="20"/>
        </w:rPr>
        <w:t xml:space="preserve">feeding artery, on response evaluation CT/MRI after 1–3 months following adequately performed selective TACE. ii, </w:t>
      </w:r>
      <w:proofErr w:type="gramStart"/>
      <w:r w:rsidRPr="00E418B1">
        <w:rPr>
          <w:rFonts w:ascii="Times New Roman" w:hAnsi="Times New Roman" w:cs="Times New Roman"/>
          <w:sz w:val="20"/>
          <w:szCs w:val="20"/>
        </w:rPr>
        <w:t>Two</w:t>
      </w:r>
      <w:proofErr w:type="gramEnd"/>
      <w:r w:rsidRPr="00E418B1">
        <w:rPr>
          <w:rFonts w:ascii="Times New Roman" w:hAnsi="Times New Roman" w:cs="Times New Roman"/>
          <w:sz w:val="20"/>
          <w:szCs w:val="20"/>
        </w:rPr>
        <w:t xml:space="preserve"> or more consecutive progressions in the liver (including an increase in the number of tumors compared to that before the previous TACE procedure), even after changing the chemotherapeutic agents and/or reanalysis of </w:t>
      </w:r>
      <w:r w:rsidR="00543E69" w:rsidRPr="00E418B1">
        <w:rPr>
          <w:rFonts w:ascii="Times New Roman" w:hAnsi="Times New Roman" w:cs="Times New Roman"/>
          <w:sz w:val="20"/>
          <w:szCs w:val="20"/>
        </w:rPr>
        <w:t xml:space="preserve">the </w:t>
      </w:r>
      <w:r w:rsidRPr="00E418B1">
        <w:rPr>
          <w:rFonts w:ascii="Times New Roman" w:hAnsi="Times New Roman" w:cs="Times New Roman"/>
          <w:sz w:val="20"/>
          <w:szCs w:val="20"/>
        </w:rPr>
        <w:t>feeding artery, on response evaluation CT/MRI after 1–3 months following adequately performed selective TACE</w:t>
      </w:r>
      <w:r w:rsidR="00E6403E" w:rsidRPr="00E418B1">
        <w:rPr>
          <w:rFonts w:ascii="Times New Roman" w:hAnsi="Times New Roman" w:cs="Times New Roman"/>
          <w:sz w:val="20"/>
          <w:szCs w:val="20"/>
        </w:rPr>
        <w:t>]</w:t>
      </w:r>
      <w:r w:rsidR="00F65DF9" w:rsidRPr="00E418B1">
        <w:rPr>
          <w:rFonts w:ascii="Times New Roman" w:hAnsi="Times New Roman" w:cs="Times New Roman"/>
          <w:sz w:val="20"/>
          <w:szCs w:val="20"/>
        </w:rPr>
        <w:t>.</w:t>
      </w:r>
      <w:r w:rsidRPr="00E418B1">
        <w:rPr>
          <w:rFonts w:ascii="Times New Roman" w:hAnsi="Times New Roman" w:cs="Times New Roman"/>
          <w:sz w:val="20"/>
          <w:szCs w:val="20"/>
        </w:rPr>
        <w:t xml:space="preserve"> (2) Continuous elevation of tumor markers right after TACE</w:t>
      </w:r>
      <w:r w:rsidR="00543E69" w:rsidRPr="00E418B1">
        <w:rPr>
          <w:rFonts w:ascii="Times New Roman" w:hAnsi="Times New Roman" w:cs="Times New Roman"/>
          <w:sz w:val="20"/>
          <w:szCs w:val="20"/>
        </w:rPr>
        <w:t>,</w:t>
      </w:r>
      <w:r w:rsidRPr="00E418B1">
        <w:rPr>
          <w:rFonts w:ascii="Times New Roman" w:hAnsi="Times New Roman" w:cs="Times New Roman"/>
          <w:sz w:val="20"/>
          <w:szCs w:val="20"/>
        </w:rPr>
        <w:t xml:space="preserve"> even though transient minor reduction is observed</w:t>
      </w:r>
      <w:r w:rsidR="00F65DF9" w:rsidRPr="00E418B1">
        <w:rPr>
          <w:rFonts w:ascii="Times New Roman" w:hAnsi="Times New Roman" w:cs="Times New Roman"/>
          <w:sz w:val="20"/>
          <w:szCs w:val="20"/>
        </w:rPr>
        <w:t>.</w:t>
      </w:r>
      <w:r w:rsidRPr="00E418B1">
        <w:rPr>
          <w:rFonts w:ascii="Times New Roman" w:hAnsi="Times New Roman" w:cs="Times New Roman"/>
          <w:sz w:val="20"/>
          <w:szCs w:val="20"/>
        </w:rPr>
        <w:t xml:space="preserve"> (3) Appearance of vascular invasion</w:t>
      </w:r>
      <w:r w:rsidR="00F65DF9" w:rsidRPr="00E418B1">
        <w:rPr>
          <w:rFonts w:ascii="Times New Roman" w:hAnsi="Times New Roman" w:cs="Times New Roman"/>
          <w:sz w:val="20"/>
          <w:szCs w:val="20"/>
        </w:rPr>
        <w:t>.</w:t>
      </w:r>
      <w:r w:rsidRPr="00E418B1">
        <w:rPr>
          <w:rFonts w:ascii="Times New Roman" w:hAnsi="Times New Roman" w:cs="Times New Roman"/>
          <w:sz w:val="20"/>
          <w:szCs w:val="20"/>
        </w:rPr>
        <w:t xml:space="preserve"> (4) Appearance of extrahepatic spread.</w:t>
      </w:r>
    </w:p>
    <w:p w14:paraId="13C17B41" w14:textId="2FC0807C" w:rsidR="00F475FD" w:rsidRPr="00E418B1" w:rsidRDefault="00F475FD" w:rsidP="003D5A4F">
      <w:pPr>
        <w:rPr>
          <w:rFonts w:ascii="Times New Roman" w:hAnsi="Times New Roman" w:cs="Times New Roman"/>
          <w:b/>
          <w:sz w:val="20"/>
          <w:szCs w:val="20"/>
        </w:rPr>
      </w:pPr>
      <w:r w:rsidRPr="00E418B1">
        <w:rPr>
          <w:rFonts w:ascii="Times New Roman" w:hAnsi="Times New Roman" w:cs="Times New Roman"/>
          <w:b/>
          <w:sz w:val="20"/>
          <w:szCs w:val="20"/>
        </w:rPr>
        <w:lastRenderedPageBreak/>
        <w:t>Endpoint Definitions</w:t>
      </w:r>
    </w:p>
    <w:p w14:paraId="1D80233E" w14:textId="5AD583DE" w:rsidR="00F475FD" w:rsidRPr="00E418B1" w:rsidRDefault="00F475FD" w:rsidP="00F475FD">
      <w:pPr>
        <w:rPr>
          <w:rFonts w:ascii="Times New Roman" w:hAnsi="Times New Roman" w:cs="Times New Roman"/>
          <w:sz w:val="20"/>
          <w:szCs w:val="20"/>
        </w:rPr>
      </w:pPr>
      <w:r w:rsidRPr="00E418B1">
        <w:rPr>
          <w:rFonts w:ascii="Times New Roman" w:hAnsi="Times New Roman" w:cs="Times New Roman"/>
          <w:sz w:val="20"/>
          <w:szCs w:val="20"/>
        </w:rPr>
        <w:t>Progression-Free Survival:</w:t>
      </w:r>
      <w:r w:rsidRPr="00E418B1">
        <w:rPr>
          <w:sz w:val="20"/>
          <w:szCs w:val="20"/>
        </w:rPr>
        <w:t xml:space="preserve"> </w:t>
      </w:r>
      <w:r w:rsidRPr="00E418B1">
        <w:rPr>
          <w:rFonts w:ascii="Times New Roman" w:hAnsi="Times New Roman" w:cs="Times New Roman"/>
          <w:sz w:val="20"/>
          <w:szCs w:val="20"/>
        </w:rPr>
        <w:t>Time from the date of enroll</w:t>
      </w:r>
      <w:r w:rsidR="00113FDA" w:rsidRPr="00E418B1">
        <w:rPr>
          <w:rFonts w:ascii="Times New Roman" w:hAnsi="Times New Roman" w:cs="Times New Roman"/>
          <w:sz w:val="20"/>
          <w:szCs w:val="20"/>
        </w:rPr>
        <w:t>ment</w:t>
      </w:r>
      <w:r w:rsidRPr="00E418B1">
        <w:rPr>
          <w:rFonts w:ascii="Times New Roman" w:hAnsi="Times New Roman" w:cs="Times New Roman"/>
          <w:sz w:val="20"/>
          <w:szCs w:val="20"/>
        </w:rPr>
        <w:t xml:space="preserve"> to the date of first documentation of tumor progression.</w:t>
      </w:r>
    </w:p>
    <w:p w14:paraId="070DD5F0" w14:textId="65BE6084" w:rsidR="00F475FD" w:rsidRPr="00E418B1" w:rsidRDefault="00F475FD" w:rsidP="00F475FD">
      <w:pPr>
        <w:rPr>
          <w:rFonts w:ascii="Times New Roman" w:hAnsi="Times New Roman" w:cs="Times New Roman"/>
          <w:sz w:val="20"/>
          <w:szCs w:val="20"/>
        </w:rPr>
      </w:pPr>
      <w:r w:rsidRPr="00E418B1">
        <w:rPr>
          <w:rFonts w:ascii="Times New Roman" w:hAnsi="Times New Roman" w:cs="Times New Roman"/>
          <w:sz w:val="20"/>
          <w:szCs w:val="20"/>
        </w:rPr>
        <w:t xml:space="preserve">Progression </w:t>
      </w:r>
      <w:r w:rsidR="00FB3FDD" w:rsidRPr="00E418B1">
        <w:rPr>
          <w:rFonts w:ascii="Times New Roman" w:hAnsi="Times New Roman" w:cs="Times New Roman"/>
          <w:sz w:val="20"/>
          <w:szCs w:val="20"/>
        </w:rPr>
        <w:t xml:space="preserve">was </w:t>
      </w:r>
      <w:r w:rsidRPr="00E418B1">
        <w:rPr>
          <w:rFonts w:ascii="Times New Roman" w:hAnsi="Times New Roman" w:cs="Times New Roman"/>
          <w:sz w:val="20"/>
          <w:szCs w:val="20"/>
        </w:rPr>
        <w:t>defined using Modified RECIST (</w:t>
      </w:r>
      <w:proofErr w:type="spellStart"/>
      <w:r w:rsidRPr="00E418B1">
        <w:rPr>
          <w:rFonts w:ascii="Times New Roman" w:hAnsi="Times New Roman" w:cs="Times New Roman"/>
          <w:sz w:val="20"/>
          <w:szCs w:val="20"/>
        </w:rPr>
        <w:t>mRECIST</w:t>
      </w:r>
      <w:proofErr w:type="spellEnd"/>
      <w:r w:rsidR="00113FDA" w:rsidRPr="00E418B1">
        <w:rPr>
          <w:rFonts w:ascii="Times New Roman" w:hAnsi="Times New Roman" w:cs="Times New Roman"/>
          <w:sz w:val="20"/>
          <w:szCs w:val="20"/>
        </w:rPr>
        <w:t>)</w:t>
      </w:r>
      <w:r w:rsidR="00FB3FDD" w:rsidRPr="00E418B1">
        <w:rPr>
          <w:rFonts w:ascii="Times New Roman" w:hAnsi="Times New Roman" w:cs="Times New Roman"/>
          <w:sz w:val="20"/>
          <w:szCs w:val="20"/>
        </w:rPr>
        <w:t xml:space="preserve">: </w:t>
      </w:r>
      <w:r w:rsidRPr="00E418B1">
        <w:rPr>
          <w:rFonts w:ascii="Times New Roman" w:hAnsi="Times New Roman" w:cs="Times New Roman"/>
          <w:sz w:val="20"/>
          <w:szCs w:val="20"/>
        </w:rPr>
        <w:t>an increase of at least 20% in the sum of the diameters of viable (enhancing) target lesions, taking as reference the smallest sum of the diameters of viable (enhancing) target lesions recorded since treatment started.</w:t>
      </w:r>
    </w:p>
    <w:p w14:paraId="06E2893A" w14:textId="126D5405" w:rsidR="00113FDA" w:rsidRPr="00E418B1" w:rsidRDefault="00113FDA" w:rsidP="00F475FD">
      <w:pPr>
        <w:rPr>
          <w:rFonts w:ascii="Times New Roman" w:hAnsi="Times New Roman" w:cs="Times New Roman"/>
          <w:sz w:val="20"/>
          <w:szCs w:val="20"/>
        </w:rPr>
      </w:pPr>
      <w:r w:rsidRPr="00E418B1">
        <w:rPr>
          <w:rFonts w:ascii="Times New Roman" w:hAnsi="Times New Roman" w:cs="Times New Roman"/>
          <w:sz w:val="20"/>
          <w:szCs w:val="20"/>
        </w:rPr>
        <w:t>Overall survival:</w:t>
      </w:r>
      <w:r w:rsidRPr="00E418B1">
        <w:rPr>
          <w:sz w:val="20"/>
          <w:szCs w:val="20"/>
        </w:rPr>
        <w:t xml:space="preserve"> </w:t>
      </w:r>
      <w:r w:rsidR="00FB3FDD" w:rsidRPr="00E418B1">
        <w:rPr>
          <w:rFonts w:ascii="Times New Roman" w:hAnsi="Times New Roman" w:cs="Times New Roman"/>
          <w:sz w:val="20"/>
          <w:szCs w:val="20"/>
        </w:rPr>
        <w:t>t</w:t>
      </w:r>
      <w:r w:rsidRPr="00E418B1">
        <w:rPr>
          <w:rFonts w:ascii="Times New Roman" w:hAnsi="Times New Roman" w:cs="Times New Roman"/>
          <w:sz w:val="20"/>
          <w:szCs w:val="20"/>
        </w:rPr>
        <w:t>ime from the date of enrollment to the date of death from any cause.</w:t>
      </w:r>
    </w:p>
    <w:p w14:paraId="12CBF3BC" w14:textId="52910F82" w:rsidR="00113FDA" w:rsidRPr="00E418B1" w:rsidRDefault="00113FDA" w:rsidP="00F475FD">
      <w:pPr>
        <w:rPr>
          <w:rFonts w:ascii="Times New Roman" w:hAnsi="Times New Roman" w:cs="Times New Roman"/>
          <w:sz w:val="20"/>
          <w:szCs w:val="20"/>
        </w:rPr>
      </w:pPr>
      <w:r w:rsidRPr="00E418B1">
        <w:rPr>
          <w:rFonts w:ascii="Times New Roman" w:hAnsi="Times New Roman" w:cs="Times New Roman"/>
          <w:sz w:val="20"/>
          <w:szCs w:val="20"/>
        </w:rPr>
        <w:t>Objective response rate:</w:t>
      </w:r>
      <w:r w:rsidRPr="00E418B1">
        <w:rPr>
          <w:sz w:val="20"/>
          <w:szCs w:val="20"/>
        </w:rPr>
        <w:t xml:space="preserve"> </w:t>
      </w:r>
      <w:r w:rsidR="008E06E9" w:rsidRPr="00E418B1">
        <w:rPr>
          <w:rFonts w:ascii="Times New Roman" w:hAnsi="Times New Roman" w:cs="Times New Roman"/>
          <w:sz w:val="20"/>
          <w:szCs w:val="20"/>
        </w:rPr>
        <w:t>i</w:t>
      </w:r>
      <w:r w:rsidRPr="00E418B1">
        <w:rPr>
          <w:rFonts w:ascii="Times New Roman" w:hAnsi="Times New Roman" w:cs="Times New Roman"/>
          <w:sz w:val="20"/>
          <w:szCs w:val="20"/>
        </w:rPr>
        <w:t xml:space="preserve">ncluding complete </w:t>
      </w:r>
      <w:r w:rsidR="00E418B1" w:rsidRPr="00E418B1">
        <w:rPr>
          <w:rFonts w:ascii="Times New Roman" w:hAnsi="Times New Roman" w:cs="Times New Roman"/>
          <w:sz w:val="20"/>
          <w:szCs w:val="20"/>
        </w:rPr>
        <w:t>response</w:t>
      </w:r>
      <w:r w:rsidRPr="00E418B1">
        <w:rPr>
          <w:rFonts w:ascii="Times New Roman" w:hAnsi="Times New Roman" w:cs="Times New Roman"/>
          <w:sz w:val="20"/>
          <w:szCs w:val="20"/>
        </w:rPr>
        <w:t xml:space="preserve"> (CR) and partial </w:t>
      </w:r>
      <w:r w:rsidR="00E418B1" w:rsidRPr="00E418B1">
        <w:rPr>
          <w:rFonts w:ascii="Times New Roman" w:hAnsi="Times New Roman" w:cs="Times New Roman"/>
          <w:sz w:val="20"/>
          <w:szCs w:val="20"/>
        </w:rPr>
        <w:t>response</w:t>
      </w:r>
      <w:r w:rsidRPr="00E418B1">
        <w:rPr>
          <w:rFonts w:ascii="Times New Roman" w:hAnsi="Times New Roman" w:cs="Times New Roman"/>
          <w:sz w:val="20"/>
          <w:szCs w:val="20"/>
        </w:rPr>
        <w:t xml:space="preserve"> (PR)</w:t>
      </w:r>
      <w:r w:rsidRPr="00E418B1">
        <w:rPr>
          <w:rFonts w:hint="eastAsia"/>
          <w:sz w:val="20"/>
          <w:szCs w:val="20"/>
        </w:rPr>
        <w:t xml:space="preserve"> </w:t>
      </w:r>
      <w:r w:rsidRPr="00E418B1">
        <w:rPr>
          <w:rFonts w:ascii="Times New Roman" w:hAnsi="Times New Roman" w:cs="Times New Roman" w:hint="eastAsia"/>
          <w:sz w:val="20"/>
          <w:szCs w:val="20"/>
        </w:rPr>
        <w:t xml:space="preserve">evaluated by imaging according to </w:t>
      </w:r>
      <w:proofErr w:type="spellStart"/>
      <w:r w:rsidRPr="00E418B1">
        <w:rPr>
          <w:rFonts w:ascii="Times New Roman" w:hAnsi="Times New Roman" w:cs="Times New Roman" w:hint="eastAsia"/>
          <w:sz w:val="20"/>
          <w:szCs w:val="20"/>
        </w:rPr>
        <w:t>mRECIST</w:t>
      </w:r>
      <w:proofErr w:type="spellEnd"/>
      <w:r w:rsidRPr="00E418B1">
        <w:rPr>
          <w:rFonts w:ascii="Times New Roman" w:hAnsi="Times New Roman" w:cs="Times New Roman" w:hint="eastAsia"/>
          <w:sz w:val="20"/>
          <w:szCs w:val="20"/>
        </w:rPr>
        <w:t xml:space="preserve"> for target lesions and assessed by MRI/CT</w:t>
      </w:r>
      <w:r w:rsidR="004D26BA" w:rsidRPr="00E418B1">
        <w:rPr>
          <w:rFonts w:ascii="Times New Roman" w:hAnsi="Times New Roman" w:cs="Times New Roman"/>
          <w:sz w:val="20"/>
          <w:szCs w:val="20"/>
        </w:rPr>
        <w:t>.</w:t>
      </w:r>
      <w:r w:rsidRPr="00E418B1">
        <w:rPr>
          <w:rFonts w:ascii="Times New Roman" w:hAnsi="Times New Roman" w:cs="Times New Roman" w:hint="eastAsia"/>
          <w:sz w:val="20"/>
          <w:szCs w:val="20"/>
        </w:rPr>
        <w:t xml:space="preserve"> </w:t>
      </w:r>
      <w:r w:rsidRPr="00E418B1">
        <w:rPr>
          <w:rFonts w:ascii="Times New Roman" w:hAnsi="Times New Roman" w:cs="Times New Roman"/>
          <w:sz w:val="20"/>
          <w:szCs w:val="20"/>
        </w:rPr>
        <w:t>Complete Response (CR),</w:t>
      </w:r>
      <w:r w:rsidRPr="00E418B1">
        <w:rPr>
          <w:rFonts w:ascii="Times New Roman" w:hAnsi="Times New Roman" w:cs="Times New Roman" w:hint="eastAsia"/>
          <w:sz w:val="20"/>
          <w:szCs w:val="20"/>
        </w:rPr>
        <w:t xml:space="preserve"> </w:t>
      </w:r>
      <w:r w:rsidR="004D26BA" w:rsidRPr="00E418B1">
        <w:rPr>
          <w:rFonts w:ascii="Times New Roman" w:hAnsi="Times New Roman" w:cs="Times New Roman"/>
          <w:sz w:val="20"/>
          <w:szCs w:val="20"/>
        </w:rPr>
        <w:t>d</w:t>
      </w:r>
      <w:r w:rsidRPr="00E418B1">
        <w:rPr>
          <w:rFonts w:ascii="Times New Roman" w:hAnsi="Times New Roman" w:cs="Times New Roman" w:hint="eastAsia"/>
          <w:sz w:val="20"/>
          <w:szCs w:val="20"/>
        </w:rPr>
        <w:t xml:space="preserve">isappearance of any </w:t>
      </w:r>
      <w:proofErr w:type="spellStart"/>
      <w:r w:rsidRPr="00E418B1">
        <w:rPr>
          <w:rFonts w:ascii="Times New Roman" w:hAnsi="Times New Roman" w:cs="Times New Roman" w:hint="eastAsia"/>
          <w:sz w:val="20"/>
          <w:szCs w:val="20"/>
        </w:rPr>
        <w:t>intratumoral</w:t>
      </w:r>
      <w:proofErr w:type="spellEnd"/>
      <w:r w:rsidRPr="00E418B1">
        <w:rPr>
          <w:rFonts w:ascii="Times New Roman" w:hAnsi="Times New Roman" w:cs="Times New Roman" w:hint="eastAsia"/>
          <w:sz w:val="20"/>
          <w:szCs w:val="20"/>
        </w:rPr>
        <w:t xml:space="preserve"> arterial enhancement in all target lesions</w:t>
      </w:r>
      <w:r w:rsidR="004216A1" w:rsidRPr="00E418B1">
        <w:rPr>
          <w:rFonts w:ascii="Times New Roman" w:hAnsi="Times New Roman" w:cs="Times New Roman"/>
          <w:sz w:val="20"/>
          <w:szCs w:val="20"/>
        </w:rPr>
        <w:t xml:space="preserve">. </w:t>
      </w:r>
      <w:r w:rsidRPr="00E418B1">
        <w:rPr>
          <w:rFonts w:ascii="Times New Roman" w:hAnsi="Times New Roman" w:cs="Times New Roman" w:hint="eastAsia"/>
          <w:sz w:val="20"/>
          <w:szCs w:val="20"/>
        </w:rPr>
        <w:t xml:space="preserve">Partial Response (PR), </w:t>
      </w:r>
      <w:r w:rsidR="004D26BA" w:rsidRPr="00E418B1">
        <w:rPr>
          <w:rFonts w:ascii="Times New Roman" w:hAnsi="Times New Roman" w:cs="Times New Roman"/>
          <w:sz w:val="20"/>
          <w:szCs w:val="20"/>
        </w:rPr>
        <w:t>a</w:t>
      </w:r>
      <w:r w:rsidRPr="00E418B1">
        <w:rPr>
          <w:rFonts w:ascii="Times New Roman" w:hAnsi="Times New Roman" w:cs="Times New Roman" w:hint="eastAsia"/>
          <w:sz w:val="20"/>
          <w:szCs w:val="20"/>
        </w:rPr>
        <w:t>t least a 30% decrease in the sum of diameters</w:t>
      </w:r>
      <w:r w:rsidRPr="00E418B1">
        <w:rPr>
          <w:rFonts w:ascii="Times New Roman" w:hAnsi="Times New Roman" w:cs="Times New Roman"/>
          <w:sz w:val="20"/>
          <w:szCs w:val="20"/>
        </w:rPr>
        <w:t xml:space="preserve"> of viable (enhancement in the arterial phase) target lesions, taking as reference the baseline sum of the diameters of target lesions</w:t>
      </w:r>
      <w:r w:rsidR="004D26BA" w:rsidRPr="00E418B1">
        <w:rPr>
          <w:rFonts w:ascii="Times New Roman" w:hAnsi="Times New Roman" w:cs="Times New Roman"/>
          <w:sz w:val="20"/>
          <w:szCs w:val="20"/>
        </w:rPr>
        <w:t>.</w:t>
      </w:r>
      <w:r w:rsidRPr="00E418B1">
        <w:rPr>
          <w:sz w:val="20"/>
          <w:szCs w:val="20"/>
        </w:rPr>
        <w:t xml:space="preserve"> </w:t>
      </w:r>
      <w:r w:rsidRPr="00E418B1">
        <w:rPr>
          <w:rFonts w:ascii="Times New Roman" w:hAnsi="Times New Roman" w:cs="Times New Roman"/>
          <w:sz w:val="20"/>
          <w:szCs w:val="20"/>
        </w:rPr>
        <w:t>Objective Response Rate = CR + PR.</w:t>
      </w:r>
    </w:p>
    <w:p w14:paraId="5EC58E87" w14:textId="493F7FEF" w:rsidR="007C1F55" w:rsidRPr="00CF5999" w:rsidRDefault="00113FDA" w:rsidP="00F475FD">
      <w:pPr>
        <w:rPr>
          <w:rFonts w:ascii="Times New Roman" w:hAnsi="Times New Roman" w:cs="Times New Roman"/>
          <w:sz w:val="20"/>
          <w:szCs w:val="20"/>
        </w:rPr>
      </w:pPr>
      <w:r w:rsidRPr="00E418B1">
        <w:rPr>
          <w:rFonts w:ascii="Times New Roman" w:hAnsi="Times New Roman" w:cs="Times New Roman"/>
          <w:sz w:val="20"/>
          <w:szCs w:val="20"/>
        </w:rPr>
        <w:t>Disease Control Rate</w:t>
      </w:r>
      <w:r w:rsidR="00503462" w:rsidRPr="00E418B1">
        <w:rPr>
          <w:rFonts w:ascii="Times New Roman" w:hAnsi="Times New Roman" w:cs="Times New Roman"/>
          <w:sz w:val="20"/>
          <w:szCs w:val="20"/>
        </w:rPr>
        <w:t>:</w:t>
      </w:r>
      <w:r w:rsidRPr="00E418B1">
        <w:rPr>
          <w:rFonts w:ascii="Times New Roman" w:hAnsi="Times New Roman" w:cs="Times New Roman"/>
          <w:sz w:val="20"/>
          <w:szCs w:val="20"/>
        </w:rPr>
        <w:t xml:space="preserve"> </w:t>
      </w:r>
      <w:r w:rsidR="00503462" w:rsidRPr="00E418B1">
        <w:rPr>
          <w:rFonts w:ascii="Times New Roman" w:hAnsi="Times New Roman" w:cs="Times New Roman"/>
          <w:sz w:val="20"/>
          <w:szCs w:val="20"/>
        </w:rPr>
        <w:t>i</w:t>
      </w:r>
      <w:r w:rsidRPr="00E418B1">
        <w:rPr>
          <w:rFonts w:ascii="Times New Roman" w:hAnsi="Times New Roman" w:cs="Times New Roman"/>
          <w:sz w:val="20"/>
          <w:szCs w:val="20"/>
        </w:rPr>
        <w:t xml:space="preserve">ncluding complete </w:t>
      </w:r>
      <w:r w:rsidR="00E418B1" w:rsidRPr="00E418B1">
        <w:rPr>
          <w:rFonts w:ascii="Times New Roman" w:hAnsi="Times New Roman" w:cs="Times New Roman"/>
          <w:sz w:val="20"/>
          <w:szCs w:val="20"/>
        </w:rPr>
        <w:t>response</w:t>
      </w:r>
      <w:r w:rsidRPr="00E418B1">
        <w:rPr>
          <w:rFonts w:ascii="Times New Roman" w:hAnsi="Times New Roman" w:cs="Times New Roman"/>
          <w:sz w:val="20"/>
          <w:szCs w:val="20"/>
        </w:rPr>
        <w:t xml:space="preserve"> (CR), partial </w:t>
      </w:r>
      <w:r w:rsidR="00E418B1" w:rsidRPr="00E418B1">
        <w:rPr>
          <w:rFonts w:ascii="Times New Roman" w:hAnsi="Times New Roman" w:cs="Times New Roman"/>
          <w:sz w:val="20"/>
          <w:szCs w:val="20"/>
        </w:rPr>
        <w:t>response</w:t>
      </w:r>
      <w:r w:rsidRPr="00E418B1">
        <w:rPr>
          <w:rFonts w:ascii="Times New Roman" w:hAnsi="Times New Roman" w:cs="Times New Roman"/>
          <w:sz w:val="20"/>
          <w:szCs w:val="20"/>
        </w:rPr>
        <w:t xml:space="preserve"> (PR)</w:t>
      </w:r>
      <w:r w:rsidR="00543E69" w:rsidRPr="00E418B1">
        <w:rPr>
          <w:rFonts w:ascii="Times New Roman" w:hAnsi="Times New Roman" w:cs="Times New Roman"/>
          <w:sz w:val="20"/>
          <w:szCs w:val="20"/>
        </w:rPr>
        <w:t>,</w:t>
      </w:r>
      <w:r w:rsidRPr="00E418B1">
        <w:rPr>
          <w:rFonts w:ascii="Times New Roman" w:hAnsi="Times New Roman" w:cs="Times New Roman"/>
          <w:sz w:val="20"/>
          <w:szCs w:val="20"/>
        </w:rPr>
        <w:t xml:space="preserve"> and disease stabilization (SD)</w:t>
      </w:r>
      <w:r w:rsidR="00503462" w:rsidRPr="00E418B1">
        <w:rPr>
          <w:rFonts w:ascii="Times New Roman" w:hAnsi="Times New Roman" w:cs="Times New Roman"/>
          <w:sz w:val="20"/>
          <w:szCs w:val="20"/>
        </w:rPr>
        <w:t>,</w:t>
      </w:r>
      <w:r w:rsidRPr="00E418B1">
        <w:rPr>
          <w:rFonts w:ascii="Times New Roman" w:hAnsi="Times New Roman" w:cs="Times New Roman"/>
          <w:sz w:val="20"/>
          <w:szCs w:val="20"/>
        </w:rPr>
        <w:t xml:space="preserve"> evaluated by imaging according to </w:t>
      </w:r>
      <w:proofErr w:type="spellStart"/>
      <w:r w:rsidRPr="00E418B1">
        <w:rPr>
          <w:rFonts w:ascii="Times New Roman" w:hAnsi="Times New Roman" w:cs="Times New Roman"/>
          <w:sz w:val="20"/>
          <w:szCs w:val="20"/>
        </w:rPr>
        <w:t>mRECIST</w:t>
      </w:r>
      <w:proofErr w:type="spellEnd"/>
      <w:r w:rsidRPr="00E418B1">
        <w:rPr>
          <w:rFonts w:ascii="Times New Roman" w:hAnsi="Times New Roman" w:cs="Times New Roman"/>
          <w:sz w:val="20"/>
          <w:szCs w:val="20"/>
        </w:rPr>
        <w:t xml:space="preserve"> for target lesions and assessed by MRI/CT</w:t>
      </w:r>
      <w:r w:rsidR="00503462" w:rsidRPr="00E418B1">
        <w:rPr>
          <w:rFonts w:ascii="Times New Roman" w:hAnsi="Times New Roman" w:cs="Times New Roman"/>
          <w:sz w:val="20"/>
          <w:szCs w:val="20"/>
        </w:rPr>
        <w:t>.</w:t>
      </w:r>
      <w:r w:rsidRPr="00E418B1">
        <w:rPr>
          <w:rFonts w:ascii="Times New Roman" w:hAnsi="Times New Roman" w:cs="Times New Roman"/>
          <w:sz w:val="20"/>
          <w:szCs w:val="20"/>
        </w:rPr>
        <w:t xml:space="preserve"> Complete Response (CR), </w:t>
      </w:r>
      <w:r w:rsidR="001B10AC" w:rsidRPr="00E418B1">
        <w:rPr>
          <w:rFonts w:ascii="Times New Roman" w:hAnsi="Times New Roman" w:cs="Times New Roman"/>
          <w:sz w:val="20"/>
          <w:szCs w:val="20"/>
        </w:rPr>
        <w:t>d</w:t>
      </w:r>
      <w:r w:rsidRPr="00E418B1">
        <w:rPr>
          <w:rFonts w:ascii="Times New Roman" w:hAnsi="Times New Roman" w:cs="Times New Roman"/>
          <w:sz w:val="20"/>
          <w:szCs w:val="20"/>
        </w:rPr>
        <w:t xml:space="preserve">isappearance of any </w:t>
      </w:r>
      <w:proofErr w:type="spellStart"/>
      <w:r w:rsidRPr="00E418B1">
        <w:rPr>
          <w:rFonts w:ascii="Times New Roman" w:hAnsi="Times New Roman" w:cs="Times New Roman"/>
          <w:sz w:val="20"/>
          <w:szCs w:val="20"/>
        </w:rPr>
        <w:t>intratumoral</w:t>
      </w:r>
      <w:proofErr w:type="spellEnd"/>
      <w:r w:rsidRPr="00E418B1">
        <w:rPr>
          <w:rFonts w:ascii="Times New Roman" w:hAnsi="Times New Roman" w:cs="Times New Roman"/>
          <w:sz w:val="20"/>
          <w:szCs w:val="20"/>
        </w:rPr>
        <w:t xml:space="preserve"> arterial enhancement in</w:t>
      </w:r>
      <w:r w:rsidRPr="00E418B1">
        <w:rPr>
          <w:rFonts w:ascii="Times New Roman" w:hAnsi="Times New Roman" w:cs="Times New Roman" w:hint="eastAsia"/>
          <w:sz w:val="20"/>
          <w:szCs w:val="20"/>
        </w:rPr>
        <w:t xml:space="preserve"> all target lesions</w:t>
      </w:r>
      <w:r w:rsidR="001B10AC" w:rsidRPr="00E418B1">
        <w:rPr>
          <w:rFonts w:ascii="Times New Roman" w:hAnsi="Times New Roman" w:cs="Times New Roman"/>
          <w:sz w:val="20"/>
          <w:szCs w:val="20"/>
        </w:rPr>
        <w:t>.</w:t>
      </w:r>
      <w:r w:rsidR="00543E69" w:rsidRPr="00E418B1">
        <w:rPr>
          <w:rFonts w:ascii="Times New Roman" w:hAnsi="Times New Roman" w:cs="Times New Roman" w:hint="eastAsia"/>
          <w:sz w:val="20"/>
          <w:szCs w:val="20"/>
        </w:rPr>
        <w:t xml:space="preserve"> </w:t>
      </w:r>
      <w:r w:rsidRPr="00E418B1">
        <w:rPr>
          <w:rFonts w:ascii="Times New Roman" w:hAnsi="Times New Roman" w:cs="Times New Roman" w:hint="eastAsia"/>
          <w:sz w:val="20"/>
          <w:szCs w:val="20"/>
        </w:rPr>
        <w:t>Partial Response (PR),</w:t>
      </w:r>
      <w:r w:rsidR="001B10AC" w:rsidRPr="00E418B1">
        <w:rPr>
          <w:rFonts w:ascii="Times New Roman" w:hAnsi="Times New Roman" w:cs="Times New Roman"/>
          <w:sz w:val="20"/>
          <w:szCs w:val="20"/>
        </w:rPr>
        <w:t xml:space="preserve"> </w:t>
      </w:r>
      <w:r w:rsidR="00543E69" w:rsidRPr="00E418B1">
        <w:rPr>
          <w:rFonts w:ascii="Times New Roman" w:hAnsi="Times New Roman" w:cs="Times New Roman"/>
          <w:sz w:val="20"/>
          <w:szCs w:val="20"/>
        </w:rPr>
        <w:t>a</w:t>
      </w:r>
      <w:r w:rsidRPr="00E418B1">
        <w:rPr>
          <w:rFonts w:ascii="Times New Roman" w:hAnsi="Times New Roman" w:cs="Times New Roman" w:hint="eastAsia"/>
          <w:sz w:val="20"/>
          <w:szCs w:val="20"/>
        </w:rPr>
        <w:t xml:space="preserve">t least a 30% decrease in the sum of diameters of viable (enhancement in the arterial phase) target lesions, taking as reference the baseline sum of the diameters of target </w:t>
      </w:r>
      <w:r w:rsidRPr="00E418B1">
        <w:rPr>
          <w:rFonts w:ascii="Times New Roman" w:hAnsi="Times New Roman" w:cs="Times New Roman"/>
          <w:sz w:val="20"/>
          <w:szCs w:val="20"/>
        </w:rPr>
        <w:t>lesions</w:t>
      </w:r>
      <w:r w:rsidR="001B10AC" w:rsidRPr="00E418B1">
        <w:rPr>
          <w:rFonts w:ascii="Times New Roman" w:hAnsi="Times New Roman" w:cs="Times New Roman"/>
          <w:sz w:val="20"/>
          <w:szCs w:val="20"/>
        </w:rPr>
        <w:t>.</w:t>
      </w:r>
      <w:r w:rsidRPr="00E418B1">
        <w:rPr>
          <w:rFonts w:ascii="Times New Roman" w:hAnsi="Times New Roman" w:cs="Times New Roman"/>
          <w:sz w:val="20"/>
          <w:szCs w:val="20"/>
        </w:rPr>
        <w:t xml:space="preserve"> Stable</w:t>
      </w:r>
      <w:r w:rsidRPr="00E418B1">
        <w:rPr>
          <w:rFonts w:ascii="Times New Roman" w:hAnsi="Times New Roman" w:cs="Times New Roman" w:hint="eastAsia"/>
          <w:sz w:val="20"/>
          <w:szCs w:val="20"/>
        </w:rPr>
        <w:t xml:space="preserve"> </w:t>
      </w:r>
      <w:r w:rsidRPr="00E418B1">
        <w:rPr>
          <w:rFonts w:ascii="Times New Roman" w:hAnsi="Times New Roman" w:cs="Times New Roman"/>
          <w:sz w:val="20"/>
          <w:szCs w:val="20"/>
        </w:rPr>
        <w:t>disease (</w:t>
      </w:r>
      <w:r w:rsidRPr="00E418B1">
        <w:rPr>
          <w:rFonts w:ascii="Times New Roman" w:hAnsi="Times New Roman" w:cs="Times New Roman" w:hint="eastAsia"/>
          <w:sz w:val="20"/>
          <w:szCs w:val="20"/>
        </w:rPr>
        <w:t xml:space="preserve">SD), </w:t>
      </w:r>
      <w:r w:rsidR="00543E69" w:rsidRPr="00E418B1">
        <w:rPr>
          <w:rFonts w:ascii="Times New Roman" w:hAnsi="Times New Roman" w:cs="Times New Roman"/>
          <w:sz w:val="20"/>
          <w:szCs w:val="20"/>
        </w:rPr>
        <w:t>a</w:t>
      </w:r>
      <w:r w:rsidRPr="00E418B1">
        <w:rPr>
          <w:rFonts w:ascii="Times New Roman" w:hAnsi="Times New Roman" w:cs="Times New Roman" w:hint="eastAsia"/>
          <w:sz w:val="20"/>
          <w:szCs w:val="20"/>
        </w:rPr>
        <w:t>ny cases t</w:t>
      </w:r>
      <w:r w:rsidRPr="00E418B1">
        <w:rPr>
          <w:rFonts w:ascii="Times New Roman" w:hAnsi="Times New Roman" w:cs="Times New Roman"/>
          <w:sz w:val="20"/>
          <w:szCs w:val="20"/>
        </w:rPr>
        <w:t>hat do not qualify for either partial response or progressive disease. Disease Control Rate = CR + PR + SD.</w:t>
      </w:r>
    </w:p>
    <w:p w14:paraId="5BC952F7" w14:textId="77777777" w:rsidR="007C1F55" w:rsidRPr="00E418B1" w:rsidRDefault="007C1F55" w:rsidP="008B688C">
      <w:pPr>
        <w:rPr>
          <w:rFonts w:ascii="Times New Roman" w:hAnsi="Times New Roman" w:cs="Times New Roman"/>
          <w:b/>
          <w:sz w:val="24"/>
        </w:rPr>
      </w:pPr>
    </w:p>
    <w:p w14:paraId="3595C720" w14:textId="612C6DD7" w:rsidR="008B688C" w:rsidRPr="007330F1" w:rsidRDefault="00340D87" w:rsidP="008B688C">
      <w:pPr>
        <w:rPr>
          <w:rFonts w:ascii="Times New Roman" w:hAnsi="Times New Roman" w:cs="Times New Roman"/>
          <w:b/>
          <w:sz w:val="22"/>
        </w:rPr>
      </w:pPr>
      <w:r>
        <w:rPr>
          <w:rFonts w:ascii="Times New Roman" w:hAnsi="Times New Roman" w:cs="Times New Roman"/>
          <w:b/>
          <w:sz w:val="24"/>
        </w:rPr>
        <w:t xml:space="preserve">Supplementary </w:t>
      </w:r>
      <w:r w:rsidR="007C1F55" w:rsidRPr="007330F1">
        <w:rPr>
          <w:rFonts w:ascii="Times New Roman" w:hAnsi="Times New Roman" w:cs="Times New Roman"/>
          <w:b/>
          <w:sz w:val="22"/>
        </w:rPr>
        <w:t>Method 3.</w:t>
      </w:r>
      <w:r w:rsidR="00A91322" w:rsidRPr="00A91322">
        <w:rPr>
          <w:rFonts w:ascii="Times New Roman" w:hAnsi="Times New Roman" w:cs="Times New Roman"/>
          <w:b/>
          <w:sz w:val="22"/>
        </w:rPr>
        <w:t xml:space="preserve"> </w:t>
      </w:r>
      <w:r w:rsidR="008B688C" w:rsidRPr="007330F1">
        <w:rPr>
          <w:rFonts w:ascii="Times New Roman" w:hAnsi="Times New Roman" w:cs="Times New Roman"/>
          <w:b/>
          <w:sz w:val="22"/>
        </w:rPr>
        <w:t xml:space="preserve">The </w:t>
      </w:r>
      <w:r w:rsidR="003E65AA">
        <w:rPr>
          <w:rFonts w:ascii="Times New Roman" w:hAnsi="Times New Roman" w:cs="Times New Roman"/>
          <w:b/>
          <w:sz w:val="22"/>
        </w:rPr>
        <w:t>I</w:t>
      </w:r>
      <w:r w:rsidR="008B688C" w:rsidRPr="007330F1">
        <w:rPr>
          <w:rFonts w:ascii="Times New Roman" w:hAnsi="Times New Roman" w:cs="Times New Roman"/>
          <w:b/>
          <w:sz w:val="22"/>
        </w:rPr>
        <w:t>mplementation of TAE</w:t>
      </w:r>
    </w:p>
    <w:p w14:paraId="42962F36" w14:textId="71922325" w:rsidR="008B688C" w:rsidRPr="00E418B1" w:rsidRDefault="008B688C" w:rsidP="008B688C">
      <w:pPr>
        <w:rPr>
          <w:rFonts w:ascii="Times New Roman" w:hAnsi="Times New Roman" w:cs="Times New Roman"/>
          <w:sz w:val="20"/>
          <w:szCs w:val="20"/>
          <w:lang w:val="en-GB"/>
        </w:rPr>
      </w:pPr>
      <w:r w:rsidRPr="00E418B1">
        <w:rPr>
          <w:rFonts w:ascii="Times New Roman" w:hAnsi="Times New Roman" w:cs="Times New Roman"/>
          <w:sz w:val="20"/>
          <w:szCs w:val="20"/>
        </w:rPr>
        <w:t xml:space="preserve">1) </w:t>
      </w:r>
      <w:r w:rsidR="006E3C79" w:rsidRPr="00E418B1">
        <w:rPr>
          <w:rFonts w:ascii="Times New Roman" w:hAnsi="Times New Roman" w:cs="Times New Roman"/>
          <w:sz w:val="20"/>
          <w:szCs w:val="20"/>
          <w:lang w:val="en-GB"/>
        </w:rPr>
        <w:t>S</w:t>
      </w:r>
      <w:r w:rsidRPr="00E418B1">
        <w:rPr>
          <w:rFonts w:ascii="Times New Roman" w:hAnsi="Times New Roman" w:cs="Times New Roman"/>
          <w:sz w:val="20"/>
          <w:szCs w:val="20"/>
          <w:lang w:val="en-GB"/>
        </w:rPr>
        <w:t xml:space="preserve">elect catheterization of the feeding artery </w:t>
      </w:r>
      <w:r w:rsidR="006E3C79" w:rsidRPr="00E418B1">
        <w:rPr>
          <w:rFonts w:ascii="Times New Roman" w:hAnsi="Times New Roman" w:cs="Times New Roman"/>
          <w:sz w:val="20"/>
          <w:szCs w:val="20"/>
          <w:lang w:val="en-GB"/>
        </w:rPr>
        <w:t xml:space="preserve">by </w:t>
      </w:r>
      <w:r w:rsidRPr="00E418B1">
        <w:rPr>
          <w:rFonts w:ascii="Times New Roman" w:hAnsi="Times New Roman" w:cs="Times New Roman"/>
          <w:sz w:val="20"/>
          <w:szCs w:val="20"/>
          <w:lang w:val="en-GB"/>
        </w:rPr>
        <w:t xml:space="preserve">using a microcatheter (STD125-26S, Asahi </w:t>
      </w:r>
      <w:proofErr w:type="spellStart"/>
      <w:r w:rsidRPr="00E418B1">
        <w:rPr>
          <w:rFonts w:ascii="Times New Roman" w:hAnsi="Times New Roman" w:cs="Times New Roman"/>
          <w:sz w:val="20"/>
          <w:szCs w:val="20"/>
          <w:lang w:val="en-GB"/>
        </w:rPr>
        <w:t>Intecc</w:t>
      </w:r>
      <w:proofErr w:type="spellEnd"/>
      <w:r w:rsidRPr="00E418B1">
        <w:rPr>
          <w:rFonts w:ascii="Times New Roman" w:hAnsi="Times New Roman" w:cs="Times New Roman"/>
          <w:sz w:val="20"/>
          <w:szCs w:val="20"/>
          <w:lang w:val="en-GB"/>
        </w:rPr>
        <w:t xml:space="preserve"> Co., Ltd., Tokyo, Japan)</w:t>
      </w:r>
      <w:r w:rsidR="006E3C79" w:rsidRPr="00E418B1">
        <w:rPr>
          <w:rFonts w:ascii="Times New Roman" w:hAnsi="Times New Roman" w:cs="Times New Roman"/>
          <w:sz w:val="20"/>
          <w:szCs w:val="20"/>
          <w:lang w:val="en-GB"/>
        </w:rPr>
        <w:t>.</w:t>
      </w:r>
      <w:r w:rsidRPr="00E418B1">
        <w:rPr>
          <w:rFonts w:ascii="Times New Roman" w:hAnsi="Times New Roman" w:cs="Times New Roman"/>
          <w:sz w:val="20"/>
          <w:szCs w:val="20"/>
          <w:lang w:val="en-GB"/>
        </w:rPr>
        <w:t xml:space="preserve"> </w:t>
      </w:r>
    </w:p>
    <w:p w14:paraId="262A329B" w14:textId="12C3F0EB" w:rsidR="008B688C" w:rsidRPr="00E418B1" w:rsidRDefault="008B688C" w:rsidP="008B688C">
      <w:pPr>
        <w:rPr>
          <w:rFonts w:ascii="Times New Roman" w:hAnsi="Times New Roman" w:cs="Times New Roman"/>
          <w:sz w:val="20"/>
          <w:szCs w:val="20"/>
          <w:lang w:val="en-GB"/>
        </w:rPr>
      </w:pPr>
      <w:r w:rsidRPr="00E418B1">
        <w:rPr>
          <w:rFonts w:ascii="Times New Roman" w:hAnsi="Times New Roman" w:cs="Times New Roman"/>
          <w:sz w:val="20"/>
          <w:szCs w:val="20"/>
        </w:rPr>
        <w:t xml:space="preserve">2) </w:t>
      </w:r>
      <w:r w:rsidR="006E3C79" w:rsidRPr="00E418B1">
        <w:rPr>
          <w:rFonts w:ascii="Times New Roman" w:hAnsi="Times New Roman" w:cs="Times New Roman"/>
          <w:sz w:val="20"/>
          <w:szCs w:val="20"/>
          <w:lang w:val="en-GB"/>
        </w:rPr>
        <w:t xml:space="preserve">Perform </w:t>
      </w:r>
      <w:r w:rsidRPr="00E418B1">
        <w:rPr>
          <w:rFonts w:ascii="Times New Roman" w:hAnsi="Times New Roman" w:cs="Times New Roman"/>
          <w:sz w:val="20"/>
          <w:szCs w:val="20"/>
          <w:lang w:val="en-GB"/>
        </w:rPr>
        <w:t>abdominal and hepatic arteriography</w:t>
      </w:r>
      <w:r w:rsidR="006E3C79" w:rsidRPr="00E418B1">
        <w:rPr>
          <w:rFonts w:ascii="Times New Roman" w:hAnsi="Times New Roman" w:cs="Times New Roman" w:hint="eastAsia"/>
          <w:sz w:val="20"/>
          <w:szCs w:val="20"/>
          <w:lang w:val="en-GB"/>
        </w:rPr>
        <w:t>.</w:t>
      </w:r>
    </w:p>
    <w:p w14:paraId="0BFB93D1" w14:textId="07ABE9C5" w:rsidR="008B688C" w:rsidRPr="00E418B1" w:rsidRDefault="008B688C" w:rsidP="008B688C">
      <w:pPr>
        <w:rPr>
          <w:rFonts w:ascii="Times New Roman" w:hAnsi="Times New Roman" w:cs="Times New Roman"/>
          <w:sz w:val="20"/>
          <w:szCs w:val="20"/>
          <w:lang w:val="en-GB"/>
        </w:rPr>
      </w:pPr>
      <w:r w:rsidRPr="00E418B1">
        <w:rPr>
          <w:rFonts w:ascii="Times New Roman" w:hAnsi="Times New Roman" w:cs="Times New Roman"/>
          <w:sz w:val="20"/>
          <w:szCs w:val="20"/>
        </w:rPr>
        <w:t xml:space="preserve">3) </w:t>
      </w:r>
      <w:r w:rsidR="006E3C79" w:rsidRPr="00E418B1">
        <w:rPr>
          <w:rFonts w:ascii="Times New Roman" w:hAnsi="Times New Roman" w:cs="Times New Roman"/>
          <w:sz w:val="20"/>
          <w:szCs w:val="20"/>
          <w:lang w:val="en-GB"/>
        </w:rPr>
        <w:t>E</w:t>
      </w:r>
      <w:r w:rsidRPr="00E418B1">
        <w:rPr>
          <w:rFonts w:ascii="Times New Roman" w:hAnsi="Times New Roman" w:cs="Times New Roman"/>
          <w:sz w:val="20"/>
          <w:szCs w:val="20"/>
          <w:lang w:val="en-GB"/>
        </w:rPr>
        <w:t xml:space="preserve">mbolization with </w:t>
      </w:r>
      <w:proofErr w:type="spellStart"/>
      <w:r w:rsidRPr="00E418B1">
        <w:rPr>
          <w:rFonts w:ascii="Times New Roman" w:hAnsi="Times New Roman" w:cs="Times New Roman"/>
          <w:sz w:val="20"/>
          <w:szCs w:val="20"/>
          <w:lang w:val="en-GB"/>
        </w:rPr>
        <w:t>Gelfoam</w:t>
      </w:r>
      <w:proofErr w:type="spellEnd"/>
      <w:r w:rsidRPr="00E418B1">
        <w:rPr>
          <w:rFonts w:ascii="Times New Roman" w:hAnsi="Times New Roman" w:cs="Times New Roman"/>
          <w:sz w:val="20"/>
          <w:szCs w:val="20"/>
          <w:lang w:val="en-GB"/>
        </w:rPr>
        <w:t xml:space="preserve"> (ALICON Pharmaceutical Science &amp; Technology Co., Ltd., Hangzhou, China, Gelfoam350, 350-560 µm) until near stasis of the arterial flow. </w:t>
      </w:r>
    </w:p>
    <w:p w14:paraId="22B8EE20" w14:textId="3F45728A" w:rsidR="008B688C" w:rsidRPr="00E418B1" w:rsidRDefault="00B023A3" w:rsidP="008B688C">
      <w:pPr>
        <w:rPr>
          <w:rFonts w:ascii="Times New Roman" w:hAnsi="Times New Roman" w:cs="Times New Roman"/>
          <w:sz w:val="20"/>
          <w:szCs w:val="20"/>
          <w:lang w:val="en-GB"/>
        </w:rPr>
      </w:pPr>
      <w:r w:rsidRPr="00E418B1">
        <w:rPr>
          <w:rFonts w:ascii="Times New Roman" w:hAnsi="Times New Roman" w:cs="Times New Roman"/>
          <w:sz w:val="20"/>
          <w:szCs w:val="20"/>
        </w:rPr>
        <w:t xml:space="preserve">4) </w:t>
      </w:r>
      <w:r w:rsidR="006E3C79" w:rsidRPr="00E418B1">
        <w:rPr>
          <w:rFonts w:ascii="Times New Roman" w:hAnsi="Times New Roman" w:cs="Times New Roman"/>
          <w:sz w:val="20"/>
          <w:szCs w:val="20"/>
        </w:rPr>
        <w:t xml:space="preserve">Determine </w:t>
      </w:r>
      <w:r w:rsidR="006E3C79" w:rsidRPr="00E418B1">
        <w:rPr>
          <w:rFonts w:ascii="Times New Roman" w:hAnsi="Times New Roman" w:cs="Times New Roman"/>
          <w:sz w:val="20"/>
          <w:szCs w:val="20"/>
          <w:lang w:val="en-GB"/>
        </w:rPr>
        <w:t>t</w:t>
      </w:r>
      <w:r w:rsidR="008B688C" w:rsidRPr="00E418B1">
        <w:rPr>
          <w:rFonts w:ascii="Times New Roman" w:hAnsi="Times New Roman" w:cs="Times New Roman"/>
          <w:sz w:val="20"/>
          <w:szCs w:val="20"/>
          <w:lang w:val="en-GB"/>
        </w:rPr>
        <w:t>he dose of iodized oil (Liebel-</w:t>
      </w:r>
      <w:proofErr w:type="spellStart"/>
      <w:r w:rsidR="008B688C" w:rsidRPr="00E418B1">
        <w:rPr>
          <w:rFonts w:ascii="Times New Roman" w:hAnsi="Times New Roman" w:cs="Times New Roman"/>
          <w:sz w:val="20"/>
          <w:szCs w:val="20"/>
          <w:lang w:val="en-GB"/>
        </w:rPr>
        <w:t>Flasheim</w:t>
      </w:r>
      <w:proofErr w:type="spellEnd"/>
      <w:r w:rsidR="008B688C" w:rsidRPr="00E418B1">
        <w:rPr>
          <w:rFonts w:ascii="Times New Roman" w:hAnsi="Times New Roman" w:cs="Times New Roman"/>
          <w:sz w:val="20"/>
          <w:szCs w:val="20"/>
          <w:lang w:val="en-GB"/>
        </w:rPr>
        <w:t xml:space="preserve"> Canada Inc. Pointe-Claire, Canada, 100 ml, 35 g) </w:t>
      </w:r>
      <w:r w:rsidR="006E3C79" w:rsidRPr="00E418B1">
        <w:rPr>
          <w:rFonts w:ascii="Times New Roman" w:hAnsi="Times New Roman" w:cs="Times New Roman"/>
          <w:sz w:val="20"/>
          <w:szCs w:val="20"/>
          <w:lang w:val="en-GB"/>
        </w:rPr>
        <w:t>by</w:t>
      </w:r>
      <w:r w:rsidR="008B688C" w:rsidRPr="00E418B1">
        <w:rPr>
          <w:rFonts w:ascii="Times New Roman" w:hAnsi="Times New Roman" w:cs="Times New Roman"/>
          <w:sz w:val="20"/>
          <w:szCs w:val="20"/>
          <w:lang w:val="en-GB"/>
        </w:rPr>
        <w:t xml:space="preserve"> the </w:t>
      </w:r>
      <w:proofErr w:type="spellStart"/>
      <w:r w:rsidR="008B688C" w:rsidRPr="00E418B1">
        <w:rPr>
          <w:rFonts w:ascii="Times New Roman" w:hAnsi="Times New Roman" w:cs="Times New Roman"/>
          <w:sz w:val="20"/>
          <w:szCs w:val="20"/>
          <w:lang w:val="en-GB"/>
        </w:rPr>
        <w:t>tumor</w:t>
      </w:r>
      <w:proofErr w:type="spellEnd"/>
      <w:r w:rsidR="008B688C" w:rsidRPr="00E418B1">
        <w:rPr>
          <w:rFonts w:ascii="Times New Roman" w:hAnsi="Times New Roman" w:cs="Times New Roman"/>
          <w:sz w:val="20"/>
          <w:szCs w:val="20"/>
          <w:lang w:val="en-GB"/>
        </w:rPr>
        <w:t xml:space="preserve"> size or </w:t>
      </w:r>
      <w:r w:rsidR="00543E69" w:rsidRPr="00E418B1">
        <w:rPr>
          <w:rFonts w:ascii="Times New Roman" w:hAnsi="Times New Roman" w:cs="Times New Roman"/>
          <w:sz w:val="20"/>
          <w:szCs w:val="20"/>
          <w:lang w:val="en-GB"/>
        </w:rPr>
        <w:t xml:space="preserve">based on </w:t>
      </w:r>
      <w:r w:rsidR="008B688C" w:rsidRPr="00E418B1">
        <w:rPr>
          <w:rFonts w:ascii="Times New Roman" w:hAnsi="Times New Roman" w:cs="Times New Roman"/>
          <w:sz w:val="20"/>
          <w:szCs w:val="20"/>
          <w:lang w:val="en-GB"/>
        </w:rPr>
        <w:t xml:space="preserve">whether the portal vein had a </w:t>
      </w:r>
      <w:proofErr w:type="spellStart"/>
      <w:r w:rsidR="008B688C" w:rsidRPr="00E418B1">
        <w:rPr>
          <w:rFonts w:ascii="Times New Roman" w:hAnsi="Times New Roman" w:cs="Times New Roman"/>
          <w:sz w:val="20"/>
          <w:szCs w:val="20"/>
          <w:lang w:val="en-GB"/>
        </w:rPr>
        <w:t>tumor</w:t>
      </w:r>
      <w:proofErr w:type="spellEnd"/>
      <w:r w:rsidR="008B688C" w:rsidRPr="00E418B1">
        <w:rPr>
          <w:rFonts w:ascii="Times New Roman" w:hAnsi="Times New Roman" w:cs="Times New Roman"/>
          <w:sz w:val="20"/>
          <w:szCs w:val="20"/>
          <w:lang w:val="en-GB"/>
        </w:rPr>
        <w:t xml:space="preserve"> thrombosis. </w:t>
      </w:r>
    </w:p>
    <w:p w14:paraId="3CA78362" w14:textId="64584577" w:rsidR="008B688C" w:rsidRPr="00E418B1" w:rsidRDefault="00B023A3" w:rsidP="008B688C">
      <w:pPr>
        <w:rPr>
          <w:rFonts w:ascii="Times New Roman" w:hAnsi="Times New Roman" w:cs="Times New Roman"/>
          <w:sz w:val="20"/>
          <w:szCs w:val="20"/>
          <w:lang w:val="en-GB"/>
        </w:rPr>
      </w:pPr>
      <w:r w:rsidRPr="00E418B1">
        <w:rPr>
          <w:rFonts w:ascii="Times New Roman" w:hAnsi="Times New Roman" w:cs="Times New Roman"/>
          <w:sz w:val="20"/>
          <w:szCs w:val="20"/>
        </w:rPr>
        <w:t>5)</w:t>
      </w:r>
      <w:r w:rsidR="006E3C79" w:rsidRPr="00E418B1">
        <w:rPr>
          <w:rFonts w:ascii="Times New Roman" w:hAnsi="Times New Roman" w:cs="Times New Roman"/>
          <w:sz w:val="20"/>
          <w:szCs w:val="20"/>
          <w:lang w:val="en-GB"/>
        </w:rPr>
        <w:t xml:space="preserve"> Inject</w:t>
      </w:r>
      <w:r w:rsidRPr="00E418B1">
        <w:rPr>
          <w:rFonts w:ascii="Times New Roman" w:hAnsi="Times New Roman" w:cs="Times New Roman"/>
          <w:sz w:val="20"/>
          <w:szCs w:val="20"/>
        </w:rPr>
        <w:t xml:space="preserve"> </w:t>
      </w:r>
      <w:r w:rsidR="006E3C79" w:rsidRPr="00E418B1">
        <w:rPr>
          <w:rFonts w:ascii="Times New Roman" w:hAnsi="Times New Roman" w:cs="Times New Roman"/>
          <w:sz w:val="20"/>
          <w:szCs w:val="20"/>
          <w:lang w:val="en-GB"/>
        </w:rPr>
        <w:t>t</w:t>
      </w:r>
      <w:r w:rsidR="008B688C" w:rsidRPr="00E418B1">
        <w:rPr>
          <w:rFonts w:ascii="Times New Roman" w:hAnsi="Times New Roman" w:cs="Times New Roman"/>
          <w:sz w:val="20"/>
          <w:szCs w:val="20"/>
          <w:lang w:val="en-GB"/>
        </w:rPr>
        <w:t xml:space="preserve">he emulsion of iodized oil until the accumulation of the emulsion in the </w:t>
      </w:r>
      <w:proofErr w:type="spellStart"/>
      <w:r w:rsidR="008B688C" w:rsidRPr="00E418B1">
        <w:rPr>
          <w:rFonts w:ascii="Times New Roman" w:hAnsi="Times New Roman" w:cs="Times New Roman"/>
          <w:sz w:val="20"/>
          <w:szCs w:val="20"/>
          <w:lang w:val="en-GB"/>
        </w:rPr>
        <w:t>tumor</w:t>
      </w:r>
      <w:proofErr w:type="spellEnd"/>
      <w:r w:rsidR="008B688C" w:rsidRPr="00E418B1">
        <w:rPr>
          <w:rFonts w:ascii="Times New Roman" w:hAnsi="Times New Roman" w:cs="Times New Roman"/>
          <w:sz w:val="20"/>
          <w:szCs w:val="20"/>
          <w:lang w:val="en-GB"/>
        </w:rPr>
        <w:t xml:space="preserve"> and the visualization of the portal vein branches near the </w:t>
      </w:r>
      <w:proofErr w:type="spellStart"/>
      <w:r w:rsidR="008B688C" w:rsidRPr="00E418B1">
        <w:rPr>
          <w:rFonts w:ascii="Times New Roman" w:hAnsi="Times New Roman" w:cs="Times New Roman"/>
          <w:sz w:val="20"/>
          <w:szCs w:val="20"/>
          <w:lang w:val="en-GB"/>
        </w:rPr>
        <w:t>tumor</w:t>
      </w:r>
      <w:proofErr w:type="spellEnd"/>
      <w:r w:rsidR="008B688C" w:rsidRPr="00E418B1">
        <w:rPr>
          <w:rFonts w:ascii="Times New Roman" w:hAnsi="Times New Roman" w:cs="Times New Roman"/>
          <w:sz w:val="20"/>
          <w:szCs w:val="20"/>
          <w:lang w:val="en-GB"/>
        </w:rPr>
        <w:t xml:space="preserve">. </w:t>
      </w:r>
      <w:r w:rsidR="006E3C79" w:rsidRPr="00E418B1">
        <w:rPr>
          <w:rFonts w:ascii="Times New Roman" w:hAnsi="Times New Roman" w:cs="Times New Roman"/>
          <w:sz w:val="20"/>
          <w:szCs w:val="20"/>
          <w:lang w:val="en-GB"/>
        </w:rPr>
        <w:t>(</w:t>
      </w:r>
      <w:r w:rsidR="008B688C" w:rsidRPr="00E418B1">
        <w:rPr>
          <w:rFonts w:ascii="Times New Roman" w:hAnsi="Times New Roman" w:cs="Times New Roman"/>
          <w:sz w:val="20"/>
          <w:szCs w:val="20"/>
          <w:lang w:val="en-GB"/>
        </w:rPr>
        <w:t xml:space="preserve">If there was a significant arterioportal shunt, embolization with </w:t>
      </w:r>
      <w:proofErr w:type="spellStart"/>
      <w:r w:rsidR="008B688C" w:rsidRPr="00E418B1">
        <w:rPr>
          <w:rFonts w:ascii="Times New Roman" w:hAnsi="Times New Roman" w:cs="Times New Roman"/>
          <w:sz w:val="20"/>
          <w:szCs w:val="20"/>
          <w:lang w:val="en-GB"/>
        </w:rPr>
        <w:t>Gelfoam</w:t>
      </w:r>
      <w:proofErr w:type="spellEnd"/>
      <w:r w:rsidR="008B688C" w:rsidRPr="00E418B1">
        <w:rPr>
          <w:rFonts w:ascii="Times New Roman" w:hAnsi="Times New Roman" w:cs="Times New Roman"/>
          <w:sz w:val="20"/>
          <w:szCs w:val="20"/>
          <w:lang w:val="en-GB"/>
        </w:rPr>
        <w:t xml:space="preserve"> was first performed to occlude the shunt, after which the iodized oil emulsion was infused, and embolization with </w:t>
      </w:r>
      <w:proofErr w:type="spellStart"/>
      <w:r w:rsidR="008B688C" w:rsidRPr="00E418B1">
        <w:rPr>
          <w:rFonts w:ascii="Times New Roman" w:hAnsi="Times New Roman" w:cs="Times New Roman"/>
          <w:sz w:val="20"/>
          <w:szCs w:val="20"/>
          <w:lang w:val="en-GB"/>
        </w:rPr>
        <w:t>Gelfoam</w:t>
      </w:r>
      <w:proofErr w:type="spellEnd"/>
      <w:r w:rsidR="008B688C" w:rsidRPr="00E418B1">
        <w:rPr>
          <w:rFonts w:ascii="Times New Roman" w:hAnsi="Times New Roman" w:cs="Times New Roman"/>
          <w:sz w:val="20"/>
          <w:szCs w:val="20"/>
          <w:lang w:val="en-GB"/>
        </w:rPr>
        <w:t xml:space="preserve"> was performed</w:t>
      </w:r>
      <w:r w:rsidR="00543E69" w:rsidRPr="00E418B1">
        <w:rPr>
          <w:rFonts w:ascii="Times New Roman" w:hAnsi="Times New Roman" w:cs="Times New Roman"/>
          <w:sz w:val="20"/>
          <w:szCs w:val="20"/>
          <w:lang w:val="en-GB"/>
        </w:rPr>
        <w:t>.</w:t>
      </w:r>
      <w:r w:rsidR="006E3C79" w:rsidRPr="00E418B1">
        <w:rPr>
          <w:rFonts w:ascii="Times New Roman" w:hAnsi="Times New Roman" w:cs="Times New Roman"/>
          <w:sz w:val="20"/>
          <w:szCs w:val="20"/>
          <w:lang w:val="en-GB"/>
        </w:rPr>
        <w:t>)</w:t>
      </w:r>
    </w:p>
    <w:p w14:paraId="5BAD6D69" w14:textId="27F095B8" w:rsidR="007C1F55" w:rsidRDefault="007C1F55" w:rsidP="008B0256">
      <w:pPr>
        <w:rPr>
          <w:rFonts w:ascii="Times New Roman" w:hAnsi="Times New Roman" w:cs="Times New Roman"/>
          <w:sz w:val="24"/>
        </w:rPr>
      </w:pPr>
    </w:p>
    <w:p w14:paraId="53AC6EBD" w14:textId="192119A9" w:rsidR="001B7D9D" w:rsidRDefault="001B7D9D" w:rsidP="008B0256">
      <w:pPr>
        <w:rPr>
          <w:rFonts w:ascii="Times New Roman" w:hAnsi="Times New Roman" w:cs="Times New Roman"/>
          <w:sz w:val="24"/>
        </w:rPr>
      </w:pPr>
    </w:p>
    <w:p w14:paraId="25E2296F" w14:textId="705C5446" w:rsidR="001B7D9D" w:rsidRDefault="001B7D9D" w:rsidP="008B0256">
      <w:pPr>
        <w:rPr>
          <w:rFonts w:ascii="Times New Roman" w:hAnsi="Times New Roman" w:cs="Times New Roman"/>
          <w:sz w:val="24"/>
        </w:rPr>
      </w:pPr>
    </w:p>
    <w:p w14:paraId="2119F02D" w14:textId="7B1FB3CE" w:rsidR="001B7D9D" w:rsidRDefault="001B7D9D" w:rsidP="008B0256">
      <w:pPr>
        <w:rPr>
          <w:rFonts w:ascii="Times New Roman" w:hAnsi="Times New Roman" w:cs="Times New Roman"/>
          <w:sz w:val="24"/>
        </w:rPr>
      </w:pPr>
    </w:p>
    <w:p w14:paraId="0A41CE4A" w14:textId="77777777" w:rsidR="001B7D9D" w:rsidRPr="00A91322" w:rsidRDefault="001B7D9D" w:rsidP="008B0256">
      <w:pPr>
        <w:rPr>
          <w:rFonts w:ascii="Times New Roman" w:hAnsi="Times New Roman" w:cs="Times New Roman"/>
          <w:sz w:val="24"/>
        </w:rPr>
      </w:pPr>
    </w:p>
    <w:p w14:paraId="0992D404" w14:textId="60DC5C2B" w:rsidR="007C1F55" w:rsidRDefault="007C1F55" w:rsidP="008B0256">
      <w:pPr>
        <w:rPr>
          <w:rFonts w:ascii="Times New Roman" w:hAnsi="Times New Roman" w:cs="Times New Roman"/>
          <w:sz w:val="24"/>
          <w:lang w:val="en-GB"/>
        </w:rPr>
      </w:pPr>
    </w:p>
    <w:p w14:paraId="00C8B8BD" w14:textId="2F63D958" w:rsidR="007C1F55" w:rsidRDefault="007C1F55" w:rsidP="008B0256">
      <w:pPr>
        <w:rPr>
          <w:rFonts w:ascii="Times New Roman" w:hAnsi="Times New Roman" w:cs="Times New Roman"/>
          <w:sz w:val="24"/>
          <w:lang w:val="en-GB"/>
        </w:rPr>
      </w:pPr>
    </w:p>
    <w:p w14:paraId="2495BEAB" w14:textId="1FC05FDB" w:rsidR="007C1F55" w:rsidRDefault="007C1F55" w:rsidP="008B0256">
      <w:pPr>
        <w:rPr>
          <w:rFonts w:ascii="Times New Roman" w:hAnsi="Times New Roman" w:cs="Times New Roman"/>
          <w:sz w:val="24"/>
          <w:lang w:val="en-GB"/>
        </w:rPr>
      </w:pPr>
    </w:p>
    <w:p w14:paraId="322A1975" w14:textId="141F64E0" w:rsidR="007C1F55" w:rsidRDefault="007C1F55" w:rsidP="008B0256">
      <w:pPr>
        <w:rPr>
          <w:rFonts w:ascii="Times New Roman" w:hAnsi="Times New Roman" w:cs="Times New Roman"/>
          <w:sz w:val="24"/>
          <w:lang w:val="en-GB"/>
        </w:rPr>
      </w:pPr>
    </w:p>
    <w:p w14:paraId="136DAC86" w14:textId="5DFCB1B4" w:rsidR="007C1F55" w:rsidRDefault="007C1F55" w:rsidP="008B0256">
      <w:pPr>
        <w:rPr>
          <w:rFonts w:ascii="Times New Roman" w:hAnsi="Times New Roman" w:cs="Times New Roman"/>
          <w:sz w:val="24"/>
          <w:lang w:val="en-GB"/>
        </w:rPr>
      </w:pPr>
    </w:p>
    <w:p w14:paraId="66A6C15F" w14:textId="26553B25" w:rsidR="003E65AA" w:rsidRDefault="003E65AA" w:rsidP="007C1F55">
      <w:pPr>
        <w:rPr>
          <w:rFonts w:ascii="Arial" w:hAnsi="Arial" w:cs="Arial"/>
          <w:sz w:val="16"/>
          <w:szCs w:val="16"/>
        </w:rPr>
      </w:pPr>
    </w:p>
    <w:p w14:paraId="16A9C599" w14:textId="54104D84" w:rsidR="003E65AA" w:rsidRPr="00E418B1" w:rsidRDefault="00340D87" w:rsidP="003E65AA">
      <w:pPr>
        <w:rPr>
          <w:rFonts w:ascii="Arial" w:hAnsi="Arial" w:cs="Arial"/>
          <w:b/>
          <w:bCs/>
          <w:sz w:val="24"/>
        </w:rPr>
      </w:pPr>
      <w:bookmarkStart w:id="0" w:name="_Hlk112792583"/>
      <w:r w:rsidRPr="00340D87">
        <w:rPr>
          <w:rFonts w:ascii="Arial" w:hAnsi="Arial" w:cs="Arial"/>
          <w:b/>
          <w:color w:val="1C1D1E"/>
          <w:sz w:val="24"/>
          <w:shd w:val="clear" w:color="auto" w:fill="FFFFFF"/>
        </w:rPr>
        <w:lastRenderedPageBreak/>
        <w:t xml:space="preserve">Supplementary </w:t>
      </w:r>
      <w:r w:rsidR="003E65AA" w:rsidRPr="003E65AA">
        <w:rPr>
          <w:rFonts w:ascii="Arial" w:hAnsi="Arial" w:cs="Arial"/>
          <w:b/>
          <w:color w:val="1C1D1E"/>
          <w:sz w:val="24"/>
          <w:shd w:val="clear" w:color="auto" w:fill="FFFFFF"/>
        </w:rPr>
        <w:t xml:space="preserve">Table </w:t>
      </w:r>
      <w:r w:rsidR="00ED7B54">
        <w:rPr>
          <w:rFonts w:ascii="Arial" w:hAnsi="Arial" w:cs="Arial"/>
          <w:b/>
          <w:color w:val="1C1D1E"/>
          <w:sz w:val="24"/>
          <w:shd w:val="clear" w:color="auto" w:fill="FFFFFF"/>
        </w:rPr>
        <w:t>1</w:t>
      </w:r>
      <w:r w:rsidR="003E65AA" w:rsidRPr="003E65AA">
        <w:rPr>
          <w:rFonts w:ascii="Arial" w:hAnsi="Arial" w:cs="Arial"/>
          <w:b/>
          <w:color w:val="1C1D1E"/>
          <w:sz w:val="24"/>
          <w:shd w:val="clear" w:color="auto" w:fill="FFFFFF"/>
        </w:rPr>
        <w:t>. Patient Treatments Prior to the Trial</w:t>
      </w:r>
    </w:p>
    <w:tbl>
      <w:tblPr>
        <w:tblStyle w:val="af0"/>
        <w:tblW w:w="9215" w:type="dxa"/>
        <w:tblInd w:w="-318" w:type="dxa"/>
        <w:tblLayout w:type="fixed"/>
        <w:tblLook w:val="04A0" w:firstRow="1" w:lastRow="0" w:firstColumn="1" w:lastColumn="0" w:noHBand="0" w:noVBand="1"/>
      </w:tblPr>
      <w:tblGrid>
        <w:gridCol w:w="1419"/>
        <w:gridCol w:w="1304"/>
        <w:gridCol w:w="1105"/>
        <w:gridCol w:w="993"/>
        <w:gridCol w:w="1588"/>
        <w:gridCol w:w="1417"/>
        <w:gridCol w:w="1389"/>
      </w:tblGrid>
      <w:tr w:rsidR="003E65AA" w:rsidRPr="00376A7A" w14:paraId="7546D5BF" w14:textId="77777777" w:rsidTr="000B7CBD">
        <w:trPr>
          <w:trHeight w:val="300"/>
        </w:trPr>
        <w:tc>
          <w:tcPr>
            <w:tcW w:w="1419" w:type="dxa"/>
            <w:vMerge w:val="restart"/>
            <w:noWrap/>
            <w:vAlign w:val="center"/>
            <w:hideMark/>
          </w:tcPr>
          <w:bookmarkEnd w:id="0"/>
          <w:p w14:paraId="290F57A4"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Patient No.</w:t>
            </w:r>
          </w:p>
        </w:tc>
        <w:tc>
          <w:tcPr>
            <w:tcW w:w="1304" w:type="dxa"/>
            <w:vMerge w:val="restart"/>
            <w:vAlign w:val="center"/>
            <w:hideMark/>
          </w:tcPr>
          <w:p w14:paraId="4CA1E92C"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Prior resection therapy</w:t>
            </w:r>
          </w:p>
        </w:tc>
        <w:tc>
          <w:tcPr>
            <w:tcW w:w="3686" w:type="dxa"/>
            <w:gridSpan w:val="3"/>
            <w:vAlign w:val="center"/>
            <w:hideMark/>
          </w:tcPr>
          <w:p w14:paraId="7A7B1878"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Prior local therapy</w:t>
            </w:r>
          </w:p>
          <w:p w14:paraId="5F66AB7A"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for hepatocellular carcinoma</w:t>
            </w:r>
          </w:p>
        </w:tc>
        <w:tc>
          <w:tcPr>
            <w:tcW w:w="1417" w:type="dxa"/>
            <w:vMerge w:val="restart"/>
            <w:vAlign w:val="center"/>
            <w:hideMark/>
          </w:tcPr>
          <w:p w14:paraId="00CD5924"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Prior radiotherapy</w:t>
            </w:r>
          </w:p>
          <w:p w14:paraId="60E16A2E"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(times)</w:t>
            </w:r>
          </w:p>
        </w:tc>
        <w:tc>
          <w:tcPr>
            <w:tcW w:w="1389" w:type="dxa"/>
            <w:vMerge w:val="restart"/>
            <w:vAlign w:val="center"/>
            <w:hideMark/>
          </w:tcPr>
          <w:p w14:paraId="42B35814" w14:textId="086F7A32" w:rsidR="003E65AA" w:rsidRPr="003E65AA" w:rsidRDefault="003E65AA" w:rsidP="003E65AA">
            <w:pPr>
              <w:jc w:val="center"/>
              <w:rPr>
                <w:rFonts w:ascii="Arial" w:hAnsi="Arial" w:cs="Arial"/>
                <w:b/>
                <w:sz w:val="18"/>
                <w:szCs w:val="20"/>
              </w:rPr>
            </w:pPr>
            <w:r w:rsidRPr="003E65AA">
              <w:rPr>
                <w:rFonts w:ascii="Arial" w:hAnsi="Arial" w:cs="Arial"/>
                <w:b/>
                <w:sz w:val="18"/>
                <w:szCs w:val="20"/>
              </w:rPr>
              <w:t>Argon-helium knife(times)</w:t>
            </w:r>
          </w:p>
        </w:tc>
      </w:tr>
      <w:tr w:rsidR="003E65AA" w:rsidRPr="00376A7A" w14:paraId="0A5F78B3" w14:textId="77777777" w:rsidTr="000B7CBD">
        <w:trPr>
          <w:trHeight w:val="600"/>
        </w:trPr>
        <w:tc>
          <w:tcPr>
            <w:tcW w:w="1419" w:type="dxa"/>
            <w:vMerge/>
            <w:vAlign w:val="center"/>
            <w:hideMark/>
          </w:tcPr>
          <w:p w14:paraId="39830277" w14:textId="77777777" w:rsidR="003E65AA" w:rsidRPr="00376A7A" w:rsidRDefault="003E65AA" w:rsidP="00F363C3">
            <w:pPr>
              <w:jc w:val="center"/>
              <w:rPr>
                <w:rFonts w:ascii="Times New Roman" w:hAnsi="Times New Roman" w:cs="Times New Roman"/>
                <w:color w:val="000000" w:themeColor="text1"/>
                <w:sz w:val="20"/>
              </w:rPr>
            </w:pPr>
          </w:p>
        </w:tc>
        <w:tc>
          <w:tcPr>
            <w:tcW w:w="1304" w:type="dxa"/>
            <w:vMerge/>
            <w:vAlign w:val="center"/>
            <w:hideMark/>
          </w:tcPr>
          <w:p w14:paraId="72024F4B" w14:textId="77777777" w:rsidR="003E65AA" w:rsidRPr="00376A7A" w:rsidRDefault="003E65AA" w:rsidP="00F363C3">
            <w:pPr>
              <w:rPr>
                <w:rFonts w:ascii="Times New Roman" w:hAnsi="Times New Roman" w:cs="Times New Roman"/>
                <w:color w:val="000000" w:themeColor="text1"/>
                <w:sz w:val="20"/>
              </w:rPr>
            </w:pPr>
          </w:p>
        </w:tc>
        <w:tc>
          <w:tcPr>
            <w:tcW w:w="1105" w:type="dxa"/>
            <w:vAlign w:val="center"/>
            <w:hideMark/>
          </w:tcPr>
          <w:p w14:paraId="5DA8D5B3"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Systemic treatment</w:t>
            </w:r>
          </w:p>
        </w:tc>
        <w:tc>
          <w:tcPr>
            <w:tcW w:w="993" w:type="dxa"/>
            <w:vAlign w:val="center"/>
            <w:hideMark/>
          </w:tcPr>
          <w:p w14:paraId="311B0BC5"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w:t>
            </w:r>
          </w:p>
          <w:p w14:paraId="759F52F0"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TACE</w:t>
            </w:r>
          </w:p>
          <w:p w14:paraId="7C3DC13D"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(times)</w:t>
            </w:r>
          </w:p>
        </w:tc>
        <w:tc>
          <w:tcPr>
            <w:tcW w:w="1588" w:type="dxa"/>
            <w:vAlign w:val="center"/>
            <w:hideMark/>
          </w:tcPr>
          <w:p w14:paraId="682B2B55" w14:textId="77777777" w:rsidR="003E65AA" w:rsidRPr="003E65AA" w:rsidRDefault="003E65AA" w:rsidP="00F363C3">
            <w:pPr>
              <w:rPr>
                <w:rFonts w:ascii="Arial" w:hAnsi="Arial" w:cs="Arial"/>
                <w:b/>
                <w:sz w:val="18"/>
                <w:szCs w:val="20"/>
              </w:rPr>
            </w:pPr>
            <w:r w:rsidRPr="003E65AA">
              <w:rPr>
                <w:rFonts w:ascii="Arial" w:hAnsi="Arial" w:cs="Arial"/>
                <w:b/>
                <w:sz w:val="18"/>
                <w:szCs w:val="20"/>
              </w:rPr>
              <w:t>Radiofrequency ablation(times)</w:t>
            </w:r>
          </w:p>
        </w:tc>
        <w:tc>
          <w:tcPr>
            <w:tcW w:w="1417" w:type="dxa"/>
            <w:vMerge/>
            <w:vAlign w:val="center"/>
            <w:hideMark/>
          </w:tcPr>
          <w:p w14:paraId="5B2A448D" w14:textId="77777777" w:rsidR="003E65AA" w:rsidRPr="00376A7A" w:rsidRDefault="003E65AA" w:rsidP="00F363C3">
            <w:pPr>
              <w:rPr>
                <w:rFonts w:ascii="Times New Roman" w:hAnsi="Times New Roman" w:cs="Times New Roman"/>
                <w:color w:val="000000" w:themeColor="text1"/>
                <w:sz w:val="20"/>
              </w:rPr>
            </w:pPr>
          </w:p>
        </w:tc>
        <w:tc>
          <w:tcPr>
            <w:tcW w:w="1389" w:type="dxa"/>
            <w:vMerge/>
            <w:vAlign w:val="center"/>
            <w:hideMark/>
          </w:tcPr>
          <w:p w14:paraId="7F94CBE8" w14:textId="77777777" w:rsidR="003E65AA" w:rsidRPr="00376A7A" w:rsidRDefault="003E65AA" w:rsidP="00F363C3">
            <w:pPr>
              <w:rPr>
                <w:rFonts w:ascii="Times New Roman" w:hAnsi="Times New Roman" w:cs="Times New Roman"/>
                <w:color w:val="000000" w:themeColor="text1"/>
                <w:sz w:val="20"/>
              </w:rPr>
            </w:pPr>
          </w:p>
        </w:tc>
      </w:tr>
      <w:tr w:rsidR="003E65AA" w:rsidRPr="00376A7A" w14:paraId="65E4A704" w14:textId="77777777" w:rsidTr="000B7CBD">
        <w:trPr>
          <w:trHeight w:val="300"/>
        </w:trPr>
        <w:tc>
          <w:tcPr>
            <w:tcW w:w="1419" w:type="dxa"/>
            <w:noWrap/>
            <w:vAlign w:val="center"/>
            <w:hideMark/>
          </w:tcPr>
          <w:p w14:paraId="0BA6106C"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TAE-iNKT-1</w:t>
            </w:r>
          </w:p>
        </w:tc>
        <w:tc>
          <w:tcPr>
            <w:tcW w:w="1304" w:type="dxa"/>
            <w:noWrap/>
            <w:vAlign w:val="center"/>
            <w:hideMark/>
          </w:tcPr>
          <w:p w14:paraId="7CD0A4D8" w14:textId="1056BD2F" w:rsidR="003E65AA" w:rsidRPr="003E65AA" w:rsidRDefault="00E0188E" w:rsidP="00F363C3">
            <w:pPr>
              <w:jc w:val="center"/>
              <w:rPr>
                <w:rFonts w:ascii="Arial" w:hAnsi="Arial" w:cs="Arial"/>
                <w:color w:val="000000" w:themeColor="text1"/>
                <w:sz w:val="18"/>
              </w:rPr>
            </w:pPr>
            <w:r>
              <w:rPr>
                <w:rFonts w:ascii="Arial" w:hAnsi="Arial" w:cs="Arial"/>
                <w:color w:val="000000" w:themeColor="text1"/>
                <w:sz w:val="18"/>
              </w:rPr>
              <w:t>1</w:t>
            </w:r>
          </w:p>
        </w:tc>
        <w:tc>
          <w:tcPr>
            <w:tcW w:w="1105" w:type="dxa"/>
            <w:noWrap/>
            <w:vAlign w:val="center"/>
            <w:hideMark/>
          </w:tcPr>
          <w:p w14:paraId="6B50F9B6"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1C88B614"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6</w:t>
            </w:r>
          </w:p>
        </w:tc>
        <w:tc>
          <w:tcPr>
            <w:tcW w:w="1588" w:type="dxa"/>
            <w:noWrap/>
            <w:vAlign w:val="center"/>
            <w:hideMark/>
          </w:tcPr>
          <w:p w14:paraId="43BDD397"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646B15C7"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7B2F6FE5" w14:textId="77777777" w:rsidR="003E65AA" w:rsidRPr="003E65AA" w:rsidRDefault="003E65AA" w:rsidP="00F363C3">
            <w:pPr>
              <w:jc w:val="center"/>
              <w:rPr>
                <w:rFonts w:ascii="Arial" w:hAnsi="Arial" w:cs="Arial"/>
                <w:color w:val="000000" w:themeColor="text1"/>
                <w:sz w:val="18"/>
              </w:rPr>
            </w:pPr>
          </w:p>
        </w:tc>
      </w:tr>
      <w:tr w:rsidR="003E65AA" w:rsidRPr="00376A7A" w14:paraId="28C46E7A" w14:textId="77777777" w:rsidTr="000B7CBD">
        <w:trPr>
          <w:trHeight w:val="900"/>
        </w:trPr>
        <w:tc>
          <w:tcPr>
            <w:tcW w:w="1419" w:type="dxa"/>
            <w:noWrap/>
            <w:vAlign w:val="center"/>
            <w:hideMark/>
          </w:tcPr>
          <w:p w14:paraId="0FE823FD"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TAE-iNKT-2</w:t>
            </w:r>
          </w:p>
        </w:tc>
        <w:tc>
          <w:tcPr>
            <w:tcW w:w="1304" w:type="dxa"/>
            <w:noWrap/>
            <w:vAlign w:val="center"/>
            <w:hideMark/>
          </w:tcPr>
          <w:p w14:paraId="57B96B17" w14:textId="3F286947" w:rsidR="003E65AA" w:rsidRPr="003E65AA" w:rsidRDefault="00E0188E" w:rsidP="00F363C3">
            <w:pPr>
              <w:jc w:val="center"/>
              <w:rPr>
                <w:rFonts w:ascii="Arial" w:hAnsi="Arial" w:cs="Arial"/>
                <w:color w:val="000000" w:themeColor="text1"/>
                <w:sz w:val="18"/>
              </w:rPr>
            </w:pPr>
            <w:r>
              <w:rPr>
                <w:rFonts w:ascii="Arial" w:hAnsi="Arial" w:cs="Arial"/>
                <w:color w:val="000000" w:themeColor="text1"/>
                <w:sz w:val="18"/>
              </w:rPr>
              <w:t>1</w:t>
            </w:r>
          </w:p>
        </w:tc>
        <w:tc>
          <w:tcPr>
            <w:tcW w:w="1105" w:type="dxa"/>
            <w:noWrap/>
            <w:vAlign w:val="center"/>
            <w:hideMark/>
          </w:tcPr>
          <w:p w14:paraId="7F4E2473"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73D93A79"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6FA526F8" w14:textId="77777777" w:rsidR="003E65AA" w:rsidRPr="003E65AA" w:rsidRDefault="003E65AA" w:rsidP="00F363C3">
            <w:pPr>
              <w:jc w:val="center"/>
              <w:rPr>
                <w:rFonts w:ascii="Arial" w:hAnsi="Arial" w:cs="Arial"/>
                <w:color w:val="000000" w:themeColor="text1"/>
                <w:sz w:val="18"/>
              </w:rPr>
            </w:pPr>
          </w:p>
        </w:tc>
        <w:tc>
          <w:tcPr>
            <w:tcW w:w="1417" w:type="dxa"/>
            <w:vAlign w:val="center"/>
            <w:hideMark/>
          </w:tcPr>
          <w:p w14:paraId="2DD4F167" w14:textId="200DE0AA" w:rsidR="003E65AA" w:rsidRPr="003E65AA" w:rsidRDefault="00E0188E" w:rsidP="00F363C3">
            <w:pPr>
              <w:jc w:val="center"/>
              <w:rPr>
                <w:rFonts w:ascii="Arial" w:hAnsi="Arial" w:cs="Arial"/>
                <w:color w:val="000000" w:themeColor="text1"/>
                <w:sz w:val="18"/>
              </w:rPr>
            </w:pPr>
            <w:r>
              <w:rPr>
                <w:rFonts w:ascii="Arial" w:hAnsi="Arial" w:cs="Arial"/>
                <w:color w:val="000000" w:themeColor="text1"/>
                <w:sz w:val="18"/>
              </w:rPr>
              <w:t>1</w:t>
            </w:r>
          </w:p>
        </w:tc>
        <w:tc>
          <w:tcPr>
            <w:tcW w:w="1389" w:type="dxa"/>
            <w:noWrap/>
            <w:vAlign w:val="center"/>
            <w:hideMark/>
          </w:tcPr>
          <w:p w14:paraId="5D3DD941" w14:textId="77777777" w:rsidR="003E65AA" w:rsidRPr="003E65AA" w:rsidRDefault="003E65AA" w:rsidP="00F363C3">
            <w:pPr>
              <w:jc w:val="center"/>
              <w:rPr>
                <w:rFonts w:ascii="Arial" w:hAnsi="Arial" w:cs="Arial"/>
                <w:color w:val="000000" w:themeColor="text1"/>
                <w:sz w:val="18"/>
              </w:rPr>
            </w:pPr>
          </w:p>
        </w:tc>
      </w:tr>
      <w:tr w:rsidR="003E65AA" w:rsidRPr="00376A7A" w14:paraId="1F3515EC" w14:textId="77777777" w:rsidTr="000B7CBD">
        <w:trPr>
          <w:trHeight w:val="300"/>
        </w:trPr>
        <w:tc>
          <w:tcPr>
            <w:tcW w:w="1419" w:type="dxa"/>
            <w:noWrap/>
            <w:vAlign w:val="center"/>
            <w:hideMark/>
          </w:tcPr>
          <w:p w14:paraId="12CF0C53"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TAE-iNKT-3</w:t>
            </w:r>
          </w:p>
        </w:tc>
        <w:tc>
          <w:tcPr>
            <w:tcW w:w="1304" w:type="dxa"/>
            <w:noWrap/>
            <w:vAlign w:val="center"/>
            <w:hideMark/>
          </w:tcPr>
          <w:p w14:paraId="2C188300"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43666F57"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4BCA3C5D"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287A9ADF"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1</w:t>
            </w:r>
          </w:p>
        </w:tc>
        <w:tc>
          <w:tcPr>
            <w:tcW w:w="1417" w:type="dxa"/>
            <w:noWrap/>
            <w:vAlign w:val="center"/>
            <w:hideMark/>
          </w:tcPr>
          <w:p w14:paraId="029423C0"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082C1BD9" w14:textId="77777777" w:rsidR="003E65AA" w:rsidRPr="003E65AA" w:rsidRDefault="003E65AA" w:rsidP="00F363C3">
            <w:pPr>
              <w:jc w:val="center"/>
              <w:rPr>
                <w:rFonts w:ascii="Arial" w:hAnsi="Arial" w:cs="Arial"/>
                <w:color w:val="000000" w:themeColor="text1"/>
                <w:sz w:val="18"/>
              </w:rPr>
            </w:pPr>
          </w:p>
        </w:tc>
      </w:tr>
      <w:tr w:rsidR="003E65AA" w:rsidRPr="00376A7A" w14:paraId="2C62F008" w14:textId="77777777" w:rsidTr="000B7CBD">
        <w:trPr>
          <w:trHeight w:val="300"/>
        </w:trPr>
        <w:tc>
          <w:tcPr>
            <w:tcW w:w="1419" w:type="dxa"/>
            <w:noWrap/>
            <w:vAlign w:val="center"/>
            <w:hideMark/>
          </w:tcPr>
          <w:p w14:paraId="5296D125"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TAE-iNKT-4</w:t>
            </w:r>
          </w:p>
        </w:tc>
        <w:tc>
          <w:tcPr>
            <w:tcW w:w="1304" w:type="dxa"/>
            <w:noWrap/>
            <w:vAlign w:val="center"/>
            <w:hideMark/>
          </w:tcPr>
          <w:p w14:paraId="7EE261E6"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4DD2BAD3"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Lenvatinib</w:t>
            </w:r>
          </w:p>
        </w:tc>
        <w:tc>
          <w:tcPr>
            <w:tcW w:w="993" w:type="dxa"/>
            <w:noWrap/>
            <w:vAlign w:val="center"/>
            <w:hideMark/>
          </w:tcPr>
          <w:p w14:paraId="28561DAD"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0ABD3457"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178DB3D1"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323813F8" w14:textId="77777777" w:rsidR="003E65AA" w:rsidRPr="003E65AA" w:rsidRDefault="003E65AA" w:rsidP="00F363C3">
            <w:pPr>
              <w:jc w:val="center"/>
              <w:rPr>
                <w:rFonts w:ascii="Arial" w:hAnsi="Arial" w:cs="Arial"/>
                <w:color w:val="000000" w:themeColor="text1"/>
                <w:sz w:val="18"/>
              </w:rPr>
            </w:pPr>
          </w:p>
        </w:tc>
      </w:tr>
      <w:tr w:rsidR="003E65AA" w:rsidRPr="00376A7A" w14:paraId="653E36FC" w14:textId="77777777" w:rsidTr="000B7CBD">
        <w:trPr>
          <w:trHeight w:val="300"/>
        </w:trPr>
        <w:tc>
          <w:tcPr>
            <w:tcW w:w="1419" w:type="dxa"/>
            <w:noWrap/>
            <w:vAlign w:val="center"/>
            <w:hideMark/>
          </w:tcPr>
          <w:p w14:paraId="6A9F1BB3"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TAE-iNKT-5</w:t>
            </w:r>
          </w:p>
        </w:tc>
        <w:tc>
          <w:tcPr>
            <w:tcW w:w="1304" w:type="dxa"/>
            <w:noWrap/>
            <w:vAlign w:val="center"/>
            <w:hideMark/>
          </w:tcPr>
          <w:p w14:paraId="74F69617"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32E8D80F"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29B579EA"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3212BDE8"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140C3417"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333722C9" w14:textId="77777777" w:rsidR="003E65AA" w:rsidRPr="003E65AA" w:rsidRDefault="003E65AA" w:rsidP="00F363C3">
            <w:pPr>
              <w:jc w:val="center"/>
              <w:rPr>
                <w:rFonts w:ascii="Arial" w:hAnsi="Arial" w:cs="Arial"/>
                <w:color w:val="000000" w:themeColor="text1"/>
                <w:sz w:val="18"/>
              </w:rPr>
            </w:pPr>
          </w:p>
        </w:tc>
      </w:tr>
      <w:tr w:rsidR="003E65AA" w:rsidRPr="00376A7A" w14:paraId="3BA493FE" w14:textId="77777777" w:rsidTr="000B7CBD">
        <w:trPr>
          <w:trHeight w:val="300"/>
        </w:trPr>
        <w:tc>
          <w:tcPr>
            <w:tcW w:w="1419" w:type="dxa"/>
            <w:noWrap/>
            <w:vAlign w:val="center"/>
            <w:hideMark/>
          </w:tcPr>
          <w:p w14:paraId="1ED043B5"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TAE-iNKT-6</w:t>
            </w:r>
          </w:p>
        </w:tc>
        <w:tc>
          <w:tcPr>
            <w:tcW w:w="1304" w:type="dxa"/>
            <w:noWrap/>
            <w:vAlign w:val="center"/>
            <w:hideMark/>
          </w:tcPr>
          <w:p w14:paraId="36C22848"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51902E78"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2353830B"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5</w:t>
            </w:r>
          </w:p>
        </w:tc>
        <w:tc>
          <w:tcPr>
            <w:tcW w:w="1588" w:type="dxa"/>
            <w:noWrap/>
            <w:vAlign w:val="center"/>
            <w:hideMark/>
          </w:tcPr>
          <w:p w14:paraId="55D7017B"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3</w:t>
            </w:r>
          </w:p>
        </w:tc>
        <w:tc>
          <w:tcPr>
            <w:tcW w:w="1417" w:type="dxa"/>
            <w:noWrap/>
            <w:vAlign w:val="center"/>
            <w:hideMark/>
          </w:tcPr>
          <w:p w14:paraId="3460A646"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7AD7960E"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1</w:t>
            </w:r>
          </w:p>
        </w:tc>
      </w:tr>
      <w:tr w:rsidR="003E65AA" w:rsidRPr="00376A7A" w14:paraId="7A0687DB" w14:textId="77777777" w:rsidTr="000B7CBD">
        <w:trPr>
          <w:trHeight w:val="300"/>
        </w:trPr>
        <w:tc>
          <w:tcPr>
            <w:tcW w:w="1419" w:type="dxa"/>
            <w:noWrap/>
            <w:vAlign w:val="center"/>
            <w:hideMark/>
          </w:tcPr>
          <w:p w14:paraId="33CE4952"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TAE-iNKT-7</w:t>
            </w:r>
          </w:p>
        </w:tc>
        <w:tc>
          <w:tcPr>
            <w:tcW w:w="1304" w:type="dxa"/>
            <w:noWrap/>
            <w:vAlign w:val="center"/>
            <w:hideMark/>
          </w:tcPr>
          <w:p w14:paraId="0BDFA4A9"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1DBCA104"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6879E414"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12</w:t>
            </w:r>
          </w:p>
        </w:tc>
        <w:tc>
          <w:tcPr>
            <w:tcW w:w="1588" w:type="dxa"/>
            <w:noWrap/>
            <w:vAlign w:val="center"/>
            <w:hideMark/>
          </w:tcPr>
          <w:p w14:paraId="272FB400"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6C192A95"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1C837404" w14:textId="77777777" w:rsidR="003E65AA" w:rsidRPr="003E65AA" w:rsidRDefault="003E65AA" w:rsidP="00F363C3">
            <w:pPr>
              <w:jc w:val="center"/>
              <w:rPr>
                <w:rFonts w:ascii="Arial" w:hAnsi="Arial" w:cs="Arial"/>
                <w:color w:val="000000" w:themeColor="text1"/>
                <w:sz w:val="18"/>
              </w:rPr>
            </w:pPr>
          </w:p>
        </w:tc>
      </w:tr>
      <w:tr w:rsidR="003E65AA" w:rsidRPr="00376A7A" w14:paraId="52759871" w14:textId="77777777" w:rsidTr="000B7CBD">
        <w:trPr>
          <w:trHeight w:val="300"/>
        </w:trPr>
        <w:tc>
          <w:tcPr>
            <w:tcW w:w="1419" w:type="dxa"/>
            <w:noWrap/>
            <w:vAlign w:val="center"/>
            <w:hideMark/>
          </w:tcPr>
          <w:p w14:paraId="6796C48F"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TAE-iNKT-8</w:t>
            </w:r>
          </w:p>
        </w:tc>
        <w:tc>
          <w:tcPr>
            <w:tcW w:w="1304" w:type="dxa"/>
            <w:noWrap/>
            <w:vAlign w:val="center"/>
            <w:hideMark/>
          </w:tcPr>
          <w:p w14:paraId="1DFF8049"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6DE93E4B"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2807B1EB"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4A4142C9"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44ABFE9F"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1553FF4B"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1</w:t>
            </w:r>
          </w:p>
        </w:tc>
      </w:tr>
      <w:tr w:rsidR="003E65AA" w:rsidRPr="00376A7A" w14:paraId="3FCE5109" w14:textId="77777777" w:rsidTr="000B7CBD">
        <w:trPr>
          <w:trHeight w:val="300"/>
        </w:trPr>
        <w:tc>
          <w:tcPr>
            <w:tcW w:w="1419" w:type="dxa"/>
            <w:noWrap/>
            <w:vAlign w:val="center"/>
            <w:hideMark/>
          </w:tcPr>
          <w:p w14:paraId="046609BC"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TAE-iNKT-9</w:t>
            </w:r>
          </w:p>
        </w:tc>
        <w:tc>
          <w:tcPr>
            <w:tcW w:w="1304" w:type="dxa"/>
            <w:noWrap/>
            <w:vAlign w:val="center"/>
            <w:hideMark/>
          </w:tcPr>
          <w:p w14:paraId="59902D3D" w14:textId="2F44D783" w:rsidR="003E65AA" w:rsidRPr="003E65AA" w:rsidRDefault="00E0188E" w:rsidP="00F363C3">
            <w:pPr>
              <w:jc w:val="center"/>
              <w:rPr>
                <w:rFonts w:ascii="Arial" w:hAnsi="Arial" w:cs="Arial"/>
                <w:color w:val="000000" w:themeColor="text1"/>
                <w:sz w:val="18"/>
              </w:rPr>
            </w:pPr>
            <w:r>
              <w:rPr>
                <w:rFonts w:ascii="Arial" w:hAnsi="Arial" w:cs="Arial"/>
                <w:color w:val="000000" w:themeColor="text1"/>
                <w:sz w:val="18"/>
              </w:rPr>
              <w:t>1</w:t>
            </w:r>
          </w:p>
        </w:tc>
        <w:tc>
          <w:tcPr>
            <w:tcW w:w="1105" w:type="dxa"/>
            <w:noWrap/>
            <w:vAlign w:val="center"/>
            <w:hideMark/>
          </w:tcPr>
          <w:p w14:paraId="0B2462FE"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0DF657FC"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3E9A0A61"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368D0F0B"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5C86F0BC" w14:textId="77777777" w:rsidR="003E65AA" w:rsidRPr="003E65AA" w:rsidRDefault="003E65AA" w:rsidP="00F363C3">
            <w:pPr>
              <w:jc w:val="center"/>
              <w:rPr>
                <w:rFonts w:ascii="Arial" w:hAnsi="Arial" w:cs="Arial"/>
                <w:color w:val="000000" w:themeColor="text1"/>
                <w:sz w:val="18"/>
              </w:rPr>
            </w:pPr>
          </w:p>
        </w:tc>
      </w:tr>
      <w:tr w:rsidR="003E65AA" w:rsidRPr="00376A7A" w14:paraId="45D999DB" w14:textId="77777777" w:rsidTr="000B7CBD">
        <w:trPr>
          <w:trHeight w:val="300"/>
        </w:trPr>
        <w:tc>
          <w:tcPr>
            <w:tcW w:w="1419" w:type="dxa"/>
            <w:noWrap/>
            <w:vAlign w:val="center"/>
            <w:hideMark/>
          </w:tcPr>
          <w:p w14:paraId="69079FF5"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TAE-iNKT-10</w:t>
            </w:r>
          </w:p>
        </w:tc>
        <w:tc>
          <w:tcPr>
            <w:tcW w:w="1304" w:type="dxa"/>
            <w:noWrap/>
            <w:vAlign w:val="center"/>
            <w:hideMark/>
          </w:tcPr>
          <w:p w14:paraId="6490641A"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125D1B14"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18E49BBF"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7</w:t>
            </w:r>
          </w:p>
        </w:tc>
        <w:tc>
          <w:tcPr>
            <w:tcW w:w="1588" w:type="dxa"/>
            <w:noWrap/>
            <w:vAlign w:val="center"/>
            <w:hideMark/>
          </w:tcPr>
          <w:p w14:paraId="15379AD2"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6</w:t>
            </w:r>
          </w:p>
        </w:tc>
        <w:tc>
          <w:tcPr>
            <w:tcW w:w="1417" w:type="dxa"/>
            <w:noWrap/>
            <w:vAlign w:val="center"/>
            <w:hideMark/>
          </w:tcPr>
          <w:p w14:paraId="113B391E"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280AEAAC" w14:textId="77777777" w:rsidR="003E65AA" w:rsidRPr="003E65AA" w:rsidRDefault="003E65AA" w:rsidP="00F363C3">
            <w:pPr>
              <w:jc w:val="center"/>
              <w:rPr>
                <w:rFonts w:ascii="Arial" w:hAnsi="Arial" w:cs="Arial"/>
                <w:color w:val="000000" w:themeColor="text1"/>
                <w:sz w:val="18"/>
              </w:rPr>
            </w:pPr>
          </w:p>
        </w:tc>
      </w:tr>
      <w:tr w:rsidR="003E65AA" w:rsidRPr="00376A7A" w14:paraId="3E5213F3" w14:textId="77777777" w:rsidTr="000B7CBD">
        <w:trPr>
          <w:trHeight w:val="300"/>
        </w:trPr>
        <w:tc>
          <w:tcPr>
            <w:tcW w:w="1419" w:type="dxa"/>
            <w:noWrap/>
            <w:vAlign w:val="center"/>
            <w:hideMark/>
          </w:tcPr>
          <w:p w14:paraId="47F04A70"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TAE-iNKT-11</w:t>
            </w:r>
          </w:p>
        </w:tc>
        <w:tc>
          <w:tcPr>
            <w:tcW w:w="1304" w:type="dxa"/>
            <w:noWrap/>
            <w:vAlign w:val="center"/>
            <w:hideMark/>
          </w:tcPr>
          <w:p w14:paraId="68648965"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73F7D84E"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063228C4"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4D52A791"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417" w:type="dxa"/>
            <w:noWrap/>
            <w:vAlign w:val="center"/>
            <w:hideMark/>
          </w:tcPr>
          <w:p w14:paraId="76F340A3"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6D039AAF" w14:textId="77777777" w:rsidR="003E65AA" w:rsidRPr="003E65AA" w:rsidRDefault="003E65AA" w:rsidP="00F363C3">
            <w:pPr>
              <w:jc w:val="center"/>
              <w:rPr>
                <w:rFonts w:ascii="Arial" w:hAnsi="Arial" w:cs="Arial"/>
                <w:color w:val="000000" w:themeColor="text1"/>
                <w:sz w:val="18"/>
              </w:rPr>
            </w:pPr>
          </w:p>
        </w:tc>
      </w:tr>
      <w:tr w:rsidR="003E65AA" w:rsidRPr="00376A7A" w14:paraId="576E955C" w14:textId="77777777" w:rsidTr="000B7CBD">
        <w:trPr>
          <w:trHeight w:val="300"/>
        </w:trPr>
        <w:tc>
          <w:tcPr>
            <w:tcW w:w="1419" w:type="dxa"/>
            <w:noWrap/>
            <w:vAlign w:val="center"/>
            <w:hideMark/>
          </w:tcPr>
          <w:p w14:paraId="6DD42C2A"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TAE-iNKT-12</w:t>
            </w:r>
          </w:p>
        </w:tc>
        <w:tc>
          <w:tcPr>
            <w:tcW w:w="1304" w:type="dxa"/>
            <w:noWrap/>
            <w:vAlign w:val="center"/>
            <w:hideMark/>
          </w:tcPr>
          <w:p w14:paraId="7FAF2DC2"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7E7B57E5"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5CE7E619"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47733B4D"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3</w:t>
            </w:r>
          </w:p>
        </w:tc>
        <w:tc>
          <w:tcPr>
            <w:tcW w:w="1417" w:type="dxa"/>
            <w:noWrap/>
            <w:vAlign w:val="center"/>
            <w:hideMark/>
          </w:tcPr>
          <w:p w14:paraId="2AB6DA3B"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43DEDA6E" w14:textId="77777777" w:rsidR="003E65AA" w:rsidRPr="003E65AA" w:rsidRDefault="003E65AA" w:rsidP="00F363C3">
            <w:pPr>
              <w:jc w:val="center"/>
              <w:rPr>
                <w:rFonts w:ascii="Arial" w:hAnsi="Arial" w:cs="Arial"/>
                <w:color w:val="000000" w:themeColor="text1"/>
                <w:sz w:val="18"/>
              </w:rPr>
            </w:pPr>
          </w:p>
        </w:tc>
      </w:tr>
      <w:tr w:rsidR="003E65AA" w:rsidRPr="00376A7A" w14:paraId="70169DD4" w14:textId="77777777" w:rsidTr="000B7CBD">
        <w:trPr>
          <w:trHeight w:val="300"/>
        </w:trPr>
        <w:tc>
          <w:tcPr>
            <w:tcW w:w="1419" w:type="dxa"/>
            <w:noWrap/>
            <w:vAlign w:val="center"/>
            <w:hideMark/>
          </w:tcPr>
          <w:p w14:paraId="4864DDBC"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TAE-iNKT-13</w:t>
            </w:r>
          </w:p>
        </w:tc>
        <w:tc>
          <w:tcPr>
            <w:tcW w:w="1304" w:type="dxa"/>
            <w:noWrap/>
            <w:vAlign w:val="center"/>
            <w:hideMark/>
          </w:tcPr>
          <w:p w14:paraId="609B640A" w14:textId="1F4A5EC6" w:rsidR="003E65AA" w:rsidRPr="003E65AA" w:rsidRDefault="00E0188E" w:rsidP="00F363C3">
            <w:pPr>
              <w:jc w:val="center"/>
              <w:rPr>
                <w:rFonts w:ascii="Arial" w:hAnsi="Arial" w:cs="Arial"/>
                <w:color w:val="000000" w:themeColor="text1"/>
                <w:sz w:val="18"/>
              </w:rPr>
            </w:pPr>
            <w:r>
              <w:rPr>
                <w:rFonts w:ascii="Arial" w:hAnsi="Arial" w:cs="Arial"/>
                <w:color w:val="000000" w:themeColor="text1"/>
                <w:sz w:val="18"/>
              </w:rPr>
              <w:t>1</w:t>
            </w:r>
          </w:p>
        </w:tc>
        <w:tc>
          <w:tcPr>
            <w:tcW w:w="1105" w:type="dxa"/>
            <w:noWrap/>
            <w:vAlign w:val="center"/>
            <w:hideMark/>
          </w:tcPr>
          <w:p w14:paraId="4459BF4E"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420CEDD9"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050D87DC"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7321B738"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6F7ED74D" w14:textId="77777777" w:rsidR="003E65AA" w:rsidRPr="003E65AA" w:rsidRDefault="003E65AA" w:rsidP="00F363C3">
            <w:pPr>
              <w:jc w:val="center"/>
              <w:rPr>
                <w:rFonts w:ascii="Arial" w:hAnsi="Arial" w:cs="Arial"/>
                <w:color w:val="000000" w:themeColor="text1"/>
                <w:sz w:val="18"/>
              </w:rPr>
            </w:pPr>
          </w:p>
        </w:tc>
      </w:tr>
      <w:tr w:rsidR="003E65AA" w:rsidRPr="00376A7A" w14:paraId="59E0129D" w14:textId="77777777" w:rsidTr="000B7CBD">
        <w:trPr>
          <w:trHeight w:val="300"/>
        </w:trPr>
        <w:tc>
          <w:tcPr>
            <w:tcW w:w="1419" w:type="dxa"/>
            <w:noWrap/>
            <w:vAlign w:val="center"/>
            <w:hideMark/>
          </w:tcPr>
          <w:p w14:paraId="2EB1CDC5"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TAE-iNKT-14</w:t>
            </w:r>
          </w:p>
        </w:tc>
        <w:tc>
          <w:tcPr>
            <w:tcW w:w="1304" w:type="dxa"/>
            <w:noWrap/>
            <w:vAlign w:val="center"/>
            <w:hideMark/>
          </w:tcPr>
          <w:p w14:paraId="762FCCDD"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22D3335F"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1B668B5F"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4</w:t>
            </w:r>
          </w:p>
        </w:tc>
        <w:tc>
          <w:tcPr>
            <w:tcW w:w="1588" w:type="dxa"/>
            <w:noWrap/>
            <w:vAlign w:val="center"/>
            <w:hideMark/>
          </w:tcPr>
          <w:p w14:paraId="47FD7668"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3</w:t>
            </w:r>
          </w:p>
        </w:tc>
        <w:tc>
          <w:tcPr>
            <w:tcW w:w="1417" w:type="dxa"/>
            <w:noWrap/>
            <w:vAlign w:val="center"/>
            <w:hideMark/>
          </w:tcPr>
          <w:p w14:paraId="61B444C7"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5BBF6DB1" w14:textId="77777777" w:rsidR="003E65AA" w:rsidRPr="003E65AA" w:rsidRDefault="003E65AA" w:rsidP="00F363C3">
            <w:pPr>
              <w:jc w:val="center"/>
              <w:rPr>
                <w:rFonts w:ascii="Arial" w:hAnsi="Arial" w:cs="Arial"/>
                <w:color w:val="000000" w:themeColor="text1"/>
                <w:sz w:val="18"/>
              </w:rPr>
            </w:pPr>
          </w:p>
        </w:tc>
      </w:tr>
      <w:tr w:rsidR="003E65AA" w:rsidRPr="00376A7A" w14:paraId="480793AE" w14:textId="77777777" w:rsidTr="000B7CBD">
        <w:trPr>
          <w:trHeight w:val="300"/>
        </w:trPr>
        <w:tc>
          <w:tcPr>
            <w:tcW w:w="1419" w:type="dxa"/>
            <w:noWrap/>
            <w:vAlign w:val="center"/>
            <w:hideMark/>
          </w:tcPr>
          <w:p w14:paraId="0436FFC8"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TAE-iNKT-15</w:t>
            </w:r>
          </w:p>
        </w:tc>
        <w:tc>
          <w:tcPr>
            <w:tcW w:w="1304" w:type="dxa"/>
            <w:noWrap/>
            <w:vAlign w:val="center"/>
            <w:hideMark/>
          </w:tcPr>
          <w:p w14:paraId="4CFF60F7"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7C37BE3E"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018A3A8D"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2EF4E799"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0465B127"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4C49D89B" w14:textId="77777777" w:rsidR="003E65AA" w:rsidRPr="003E65AA" w:rsidRDefault="003E65AA" w:rsidP="00F363C3">
            <w:pPr>
              <w:jc w:val="center"/>
              <w:rPr>
                <w:rFonts w:ascii="Arial" w:hAnsi="Arial" w:cs="Arial"/>
                <w:color w:val="000000" w:themeColor="text1"/>
                <w:sz w:val="18"/>
              </w:rPr>
            </w:pPr>
          </w:p>
        </w:tc>
      </w:tr>
      <w:tr w:rsidR="003E65AA" w:rsidRPr="00376A7A" w14:paraId="1730588C" w14:textId="77777777" w:rsidTr="000B7CBD">
        <w:trPr>
          <w:trHeight w:val="300"/>
        </w:trPr>
        <w:tc>
          <w:tcPr>
            <w:tcW w:w="1419" w:type="dxa"/>
            <w:noWrap/>
            <w:vAlign w:val="center"/>
            <w:hideMark/>
          </w:tcPr>
          <w:p w14:paraId="65B94271"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TAE-iNKT-16</w:t>
            </w:r>
          </w:p>
        </w:tc>
        <w:tc>
          <w:tcPr>
            <w:tcW w:w="1304" w:type="dxa"/>
            <w:noWrap/>
            <w:vAlign w:val="center"/>
            <w:hideMark/>
          </w:tcPr>
          <w:p w14:paraId="0F36C6CA"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4374EFC6"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781F6833"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67ED7498"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1B9EE607"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39EB6938" w14:textId="77777777" w:rsidR="003E65AA" w:rsidRPr="003E65AA" w:rsidRDefault="003E65AA" w:rsidP="00F363C3">
            <w:pPr>
              <w:jc w:val="center"/>
              <w:rPr>
                <w:rFonts w:ascii="Arial" w:hAnsi="Arial" w:cs="Arial"/>
                <w:color w:val="000000" w:themeColor="text1"/>
                <w:sz w:val="18"/>
              </w:rPr>
            </w:pPr>
          </w:p>
        </w:tc>
      </w:tr>
      <w:tr w:rsidR="003E65AA" w:rsidRPr="00376A7A" w14:paraId="7FF855D6" w14:textId="77777777" w:rsidTr="000B7CBD">
        <w:trPr>
          <w:trHeight w:val="300"/>
        </w:trPr>
        <w:tc>
          <w:tcPr>
            <w:tcW w:w="1419" w:type="dxa"/>
            <w:noWrap/>
            <w:vAlign w:val="center"/>
            <w:hideMark/>
          </w:tcPr>
          <w:p w14:paraId="34C1A61D"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TAE-iNKT-17</w:t>
            </w:r>
          </w:p>
        </w:tc>
        <w:tc>
          <w:tcPr>
            <w:tcW w:w="1304" w:type="dxa"/>
            <w:noWrap/>
            <w:vAlign w:val="center"/>
            <w:hideMark/>
          </w:tcPr>
          <w:p w14:paraId="040E634E" w14:textId="63837D7B" w:rsidR="003E65AA" w:rsidRPr="003E65AA" w:rsidRDefault="00E0188E" w:rsidP="00F363C3">
            <w:pPr>
              <w:jc w:val="center"/>
              <w:rPr>
                <w:rFonts w:ascii="Arial" w:hAnsi="Arial" w:cs="Arial"/>
                <w:color w:val="000000" w:themeColor="text1"/>
                <w:sz w:val="18"/>
              </w:rPr>
            </w:pPr>
            <w:r>
              <w:rPr>
                <w:rFonts w:ascii="Arial" w:hAnsi="Arial" w:cs="Arial"/>
                <w:color w:val="000000" w:themeColor="text1"/>
                <w:sz w:val="18"/>
              </w:rPr>
              <w:t>1</w:t>
            </w:r>
          </w:p>
        </w:tc>
        <w:tc>
          <w:tcPr>
            <w:tcW w:w="1105" w:type="dxa"/>
            <w:noWrap/>
            <w:vAlign w:val="center"/>
            <w:hideMark/>
          </w:tcPr>
          <w:p w14:paraId="370466BA"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3EE5BAAC"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0E372ECE"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760B51E6"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2B51E62F" w14:textId="77777777" w:rsidR="003E65AA" w:rsidRPr="003E65AA" w:rsidRDefault="003E65AA" w:rsidP="00F363C3">
            <w:pPr>
              <w:jc w:val="center"/>
              <w:rPr>
                <w:rFonts w:ascii="Arial" w:hAnsi="Arial" w:cs="Arial"/>
                <w:color w:val="000000" w:themeColor="text1"/>
                <w:sz w:val="18"/>
              </w:rPr>
            </w:pPr>
          </w:p>
        </w:tc>
      </w:tr>
      <w:tr w:rsidR="003E65AA" w:rsidRPr="00376A7A" w14:paraId="255DF340" w14:textId="77777777" w:rsidTr="000B7CBD">
        <w:trPr>
          <w:trHeight w:val="300"/>
        </w:trPr>
        <w:tc>
          <w:tcPr>
            <w:tcW w:w="1419" w:type="dxa"/>
            <w:noWrap/>
            <w:vAlign w:val="center"/>
            <w:hideMark/>
          </w:tcPr>
          <w:p w14:paraId="7501FEDB"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TAE-iNKT-18</w:t>
            </w:r>
          </w:p>
        </w:tc>
        <w:tc>
          <w:tcPr>
            <w:tcW w:w="1304" w:type="dxa"/>
            <w:noWrap/>
            <w:vAlign w:val="center"/>
            <w:hideMark/>
          </w:tcPr>
          <w:p w14:paraId="689B0B2C"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1F087B51"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236F8E38"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9</w:t>
            </w:r>
          </w:p>
        </w:tc>
        <w:tc>
          <w:tcPr>
            <w:tcW w:w="1588" w:type="dxa"/>
            <w:noWrap/>
            <w:vAlign w:val="center"/>
            <w:hideMark/>
          </w:tcPr>
          <w:p w14:paraId="09AFD23D"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3921241C"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4773179E" w14:textId="77777777" w:rsidR="003E65AA" w:rsidRPr="003E65AA" w:rsidRDefault="003E65AA" w:rsidP="00F363C3">
            <w:pPr>
              <w:jc w:val="center"/>
              <w:rPr>
                <w:rFonts w:ascii="Arial" w:hAnsi="Arial" w:cs="Arial"/>
                <w:color w:val="000000" w:themeColor="text1"/>
                <w:sz w:val="18"/>
              </w:rPr>
            </w:pPr>
          </w:p>
        </w:tc>
      </w:tr>
      <w:tr w:rsidR="003E65AA" w:rsidRPr="00376A7A" w14:paraId="498E48E5" w14:textId="77777777" w:rsidTr="000B7CBD">
        <w:trPr>
          <w:trHeight w:val="300"/>
        </w:trPr>
        <w:tc>
          <w:tcPr>
            <w:tcW w:w="1419" w:type="dxa"/>
            <w:noWrap/>
            <w:vAlign w:val="center"/>
            <w:hideMark/>
          </w:tcPr>
          <w:p w14:paraId="2049927A"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TAE-iNKT-19</w:t>
            </w:r>
          </w:p>
        </w:tc>
        <w:tc>
          <w:tcPr>
            <w:tcW w:w="1304" w:type="dxa"/>
            <w:noWrap/>
            <w:vAlign w:val="center"/>
            <w:hideMark/>
          </w:tcPr>
          <w:p w14:paraId="41851CF3"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2AB46CD2"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66BF8642"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4</w:t>
            </w:r>
          </w:p>
        </w:tc>
        <w:tc>
          <w:tcPr>
            <w:tcW w:w="1588" w:type="dxa"/>
            <w:noWrap/>
            <w:vAlign w:val="center"/>
            <w:hideMark/>
          </w:tcPr>
          <w:p w14:paraId="5C8E873D"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4</w:t>
            </w:r>
          </w:p>
        </w:tc>
        <w:tc>
          <w:tcPr>
            <w:tcW w:w="1417" w:type="dxa"/>
            <w:noWrap/>
            <w:vAlign w:val="center"/>
            <w:hideMark/>
          </w:tcPr>
          <w:p w14:paraId="62E71343"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55DAE4F4" w14:textId="77777777" w:rsidR="003E65AA" w:rsidRPr="003E65AA" w:rsidRDefault="003E65AA" w:rsidP="00F363C3">
            <w:pPr>
              <w:jc w:val="center"/>
              <w:rPr>
                <w:rFonts w:ascii="Arial" w:hAnsi="Arial" w:cs="Arial"/>
                <w:color w:val="000000" w:themeColor="text1"/>
                <w:sz w:val="18"/>
              </w:rPr>
            </w:pPr>
          </w:p>
        </w:tc>
      </w:tr>
      <w:tr w:rsidR="003E65AA" w:rsidRPr="00376A7A" w14:paraId="175E84FE" w14:textId="77777777" w:rsidTr="000B7CBD">
        <w:trPr>
          <w:trHeight w:val="300"/>
        </w:trPr>
        <w:tc>
          <w:tcPr>
            <w:tcW w:w="1419" w:type="dxa"/>
            <w:noWrap/>
            <w:vAlign w:val="center"/>
            <w:hideMark/>
          </w:tcPr>
          <w:p w14:paraId="728F5460"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TAE-iNKT-20</w:t>
            </w:r>
          </w:p>
        </w:tc>
        <w:tc>
          <w:tcPr>
            <w:tcW w:w="1304" w:type="dxa"/>
            <w:noWrap/>
            <w:vAlign w:val="center"/>
            <w:hideMark/>
          </w:tcPr>
          <w:p w14:paraId="7FA4E93F"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7495182F"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16CDBE7C"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6E1154D0"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29EFB17D"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6B78E10C" w14:textId="77777777" w:rsidR="003E65AA" w:rsidRPr="003E65AA" w:rsidRDefault="003E65AA" w:rsidP="00F363C3">
            <w:pPr>
              <w:jc w:val="center"/>
              <w:rPr>
                <w:rFonts w:ascii="Arial" w:hAnsi="Arial" w:cs="Arial"/>
                <w:color w:val="000000" w:themeColor="text1"/>
                <w:sz w:val="18"/>
              </w:rPr>
            </w:pPr>
          </w:p>
        </w:tc>
      </w:tr>
      <w:tr w:rsidR="003E65AA" w:rsidRPr="00376A7A" w14:paraId="6F9D602A" w14:textId="77777777" w:rsidTr="000B7CBD">
        <w:trPr>
          <w:trHeight w:val="300"/>
        </w:trPr>
        <w:tc>
          <w:tcPr>
            <w:tcW w:w="1419" w:type="dxa"/>
            <w:noWrap/>
            <w:vAlign w:val="center"/>
            <w:hideMark/>
          </w:tcPr>
          <w:p w14:paraId="2020D306"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TAE-iNKT-21</w:t>
            </w:r>
          </w:p>
        </w:tc>
        <w:tc>
          <w:tcPr>
            <w:tcW w:w="1304" w:type="dxa"/>
            <w:noWrap/>
            <w:vAlign w:val="center"/>
            <w:hideMark/>
          </w:tcPr>
          <w:p w14:paraId="264C6359" w14:textId="12BA0A19" w:rsidR="003E65AA" w:rsidRPr="003E65AA" w:rsidRDefault="00E0188E" w:rsidP="00F363C3">
            <w:pPr>
              <w:jc w:val="center"/>
              <w:rPr>
                <w:rFonts w:ascii="Arial" w:hAnsi="Arial" w:cs="Arial"/>
                <w:color w:val="000000" w:themeColor="text1"/>
                <w:sz w:val="18"/>
              </w:rPr>
            </w:pPr>
            <w:r>
              <w:rPr>
                <w:rFonts w:ascii="Arial" w:hAnsi="Arial" w:cs="Arial"/>
                <w:color w:val="000000" w:themeColor="text1"/>
                <w:sz w:val="18"/>
              </w:rPr>
              <w:t>1</w:t>
            </w:r>
          </w:p>
        </w:tc>
        <w:tc>
          <w:tcPr>
            <w:tcW w:w="1105" w:type="dxa"/>
            <w:noWrap/>
            <w:vAlign w:val="center"/>
            <w:hideMark/>
          </w:tcPr>
          <w:p w14:paraId="5B8C22D3"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2A20DC29"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5</w:t>
            </w:r>
          </w:p>
        </w:tc>
        <w:tc>
          <w:tcPr>
            <w:tcW w:w="1588" w:type="dxa"/>
            <w:noWrap/>
            <w:vAlign w:val="center"/>
            <w:hideMark/>
          </w:tcPr>
          <w:p w14:paraId="49AACCC3"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1</w:t>
            </w:r>
          </w:p>
        </w:tc>
        <w:tc>
          <w:tcPr>
            <w:tcW w:w="1417" w:type="dxa"/>
            <w:noWrap/>
            <w:vAlign w:val="center"/>
            <w:hideMark/>
          </w:tcPr>
          <w:p w14:paraId="387E33B3" w14:textId="74E31568" w:rsidR="003E65AA" w:rsidRPr="003E65AA" w:rsidRDefault="00AB62DD" w:rsidP="00F363C3">
            <w:pPr>
              <w:jc w:val="center"/>
              <w:rPr>
                <w:rFonts w:ascii="Arial" w:hAnsi="Arial" w:cs="Arial"/>
                <w:color w:val="000000" w:themeColor="text1"/>
                <w:sz w:val="18"/>
              </w:rPr>
            </w:pPr>
            <w:r>
              <w:rPr>
                <w:rFonts w:ascii="Arial" w:hAnsi="Arial" w:cs="Arial"/>
                <w:color w:val="000000" w:themeColor="text1"/>
                <w:sz w:val="18"/>
              </w:rPr>
              <w:t>1</w:t>
            </w:r>
          </w:p>
        </w:tc>
        <w:tc>
          <w:tcPr>
            <w:tcW w:w="1389" w:type="dxa"/>
            <w:noWrap/>
            <w:vAlign w:val="center"/>
            <w:hideMark/>
          </w:tcPr>
          <w:p w14:paraId="5C923237" w14:textId="77777777" w:rsidR="003E65AA" w:rsidRPr="003E65AA" w:rsidRDefault="003E65AA" w:rsidP="00F363C3">
            <w:pPr>
              <w:jc w:val="center"/>
              <w:rPr>
                <w:rFonts w:ascii="Arial" w:hAnsi="Arial" w:cs="Arial"/>
                <w:color w:val="000000" w:themeColor="text1"/>
                <w:sz w:val="18"/>
              </w:rPr>
            </w:pPr>
          </w:p>
        </w:tc>
      </w:tr>
      <w:tr w:rsidR="003E65AA" w:rsidRPr="00376A7A" w14:paraId="2588A5C6" w14:textId="77777777" w:rsidTr="000B7CBD">
        <w:trPr>
          <w:trHeight w:val="300"/>
        </w:trPr>
        <w:tc>
          <w:tcPr>
            <w:tcW w:w="1419" w:type="dxa"/>
            <w:noWrap/>
            <w:vAlign w:val="center"/>
            <w:hideMark/>
          </w:tcPr>
          <w:p w14:paraId="037F1297"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TAE-iNKT-22</w:t>
            </w:r>
          </w:p>
        </w:tc>
        <w:tc>
          <w:tcPr>
            <w:tcW w:w="1304" w:type="dxa"/>
            <w:noWrap/>
            <w:vAlign w:val="center"/>
            <w:hideMark/>
          </w:tcPr>
          <w:p w14:paraId="3CF8CA8D"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2F7F56B2"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Sorafenib</w:t>
            </w:r>
          </w:p>
        </w:tc>
        <w:tc>
          <w:tcPr>
            <w:tcW w:w="993" w:type="dxa"/>
            <w:noWrap/>
            <w:vAlign w:val="center"/>
            <w:hideMark/>
          </w:tcPr>
          <w:p w14:paraId="432DAB7A"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4A1845BB"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2037EBAE"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1C593666" w14:textId="77777777" w:rsidR="003E65AA" w:rsidRPr="003E65AA" w:rsidRDefault="003E65AA" w:rsidP="00F363C3">
            <w:pPr>
              <w:jc w:val="center"/>
              <w:rPr>
                <w:rFonts w:ascii="Arial" w:hAnsi="Arial" w:cs="Arial"/>
                <w:color w:val="000000" w:themeColor="text1"/>
                <w:sz w:val="18"/>
              </w:rPr>
            </w:pPr>
          </w:p>
        </w:tc>
      </w:tr>
      <w:tr w:rsidR="003E65AA" w:rsidRPr="00376A7A" w14:paraId="34A013B9" w14:textId="77777777" w:rsidTr="000B7CBD">
        <w:trPr>
          <w:trHeight w:val="300"/>
        </w:trPr>
        <w:tc>
          <w:tcPr>
            <w:tcW w:w="1419" w:type="dxa"/>
            <w:noWrap/>
            <w:vAlign w:val="center"/>
            <w:hideMark/>
          </w:tcPr>
          <w:p w14:paraId="064C51AF"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TAE-iNKT-23</w:t>
            </w:r>
          </w:p>
        </w:tc>
        <w:tc>
          <w:tcPr>
            <w:tcW w:w="1304" w:type="dxa"/>
            <w:noWrap/>
            <w:vAlign w:val="center"/>
            <w:hideMark/>
          </w:tcPr>
          <w:p w14:paraId="38E65541"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77617EAB"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72456113"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6AAA18F3"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1A8C16A5"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0B4D6ECB" w14:textId="77777777" w:rsidR="003E65AA" w:rsidRPr="003E65AA" w:rsidRDefault="003E65AA" w:rsidP="00F363C3">
            <w:pPr>
              <w:jc w:val="center"/>
              <w:rPr>
                <w:rFonts w:ascii="Arial" w:hAnsi="Arial" w:cs="Arial"/>
                <w:color w:val="000000" w:themeColor="text1"/>
                <w:sz w:val="18"/>
              </w:rPr>
            </w:pPr>
          </w:p>
        </w:tc>
      </w:tr>
      <w:tr w:rsidR="003E65AA" w:rsidRPr="00376A7A" w14:paraId="41958439" w14:textId="77777777" w:rsidTr="000B7CBD">
        <w:trPr>
          <w:trHeight w:val="300"/>
        </w:trPr>
        <w:tc>
          <w:tcPr>
            <w:tcW w:w="1419" w:type="dxa"/>
            <w:noWrap/>
            <w:vAlign w:val="center"/>
            <w:hideMark/>
          </w:tcPr>
          <w:p w14:paraId="7C217FF6"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TAE-iNKT-24</w:t>
            </w:r>
          </w:p>
        </w:tc>
        <w:tc>
          <w:tcPr>
            <w:tcW w:w="1304" w:type="dxa"/>
            <w:noWrap/>
            <w:vAlign w:val="center"/>
            <w:hideMark/>
          </w:tcPr>
          <w:p w14:paraId="2C3705D1"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55E6E9BB"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16A19DBA"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512CA689"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38FDB7ED"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7885D6FC" w14:textId="77777777" w:rsidR="003E65AA" w:rsidRPr="003E65AA" w:rsidRDefault="003E65AA" w:rsidP="00F363C3">
            <w:pPr>
              <w:jc w:val="center"/>
              <w:rPr>
                <w:rFonts w:ascii="Arial" w:hAnsi="Arial" w:cs="Arial"/>
                <w:color w:val="000000" w:themeColor="text1"/>
                <w:sz w:val="18"/>
              </w:rPr>
            </w:pPr>
          </w:p>
        </w:tc>
      </w:tr>
      <w:tr w:rsidR="003E65AA" w:rsidRPr="00376A7A" w14:paraId="58E5D4DF" w14:textId="77777777" w:rsidTr="000B7CBD">
        <w:trPr>
          <w:trHeight w:val="300"/>
        </w:trPr>
        <w:tc>
          <w:tcPr>
            <w:tcW w:w="1419" w:type="dxa"/>
            <w:noWrap/>
            <w:vAlign w:val="center"/>
            <w:hideMark/>
          </w:tcPr>
          <w:p w14:paraId="1FFE5028"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TAE-iNKT-25</w:t>
            </w:r>
          </w:p>
        </w:tc>
        <w:tc>
          <w:tcPr>
            <w:tcW w:w="1304" w:type="dxa"/>
            <w:noWrap/>
            <w:vAlign w:val="center"/>
            <w:hideMark/>
          </w:tcPr>
          <w:p w14:paraId="7A55D303"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498D1B0B"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45533FB3"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25BF938A"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418BE2FC"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2E8FACD3" w14:textId="77777777" w:rsidR="003E65AA" w:rsidRPr="003E65AA" w:rsidRDefault="003E65AA" w:rsidP="00F363C3">
            <w:pPr>
              <w:jc w:val="center"/>
              <w:rPr>
                <w:rFonts w:ascii="Arial" w:hAnsi="Arial" w:cs="Arial"/>
                <w:color w:val="000000" w:themeColor="text1"/>
                <w:sz w:val="18"/>
              </w:rPr>
            </w:pPr>
          </w:p>
        </w:tc>
      </w:tr>
      <w:tr w:rsidR="003E65AA" w:rsidRPr="00376A7A" w14:paraId="5F6D8B80" w14:textId="77777777" w:rsidTr="000B7CBD">
        <w:trPr>
          <w:trHeight w:val="300"/>
        </w:trPr>
        <w:tc>
          <w:tcPr>
            <w:tcW w:w="1419" w:type="dxa"/>
            <w:noWrap/>
            <w:vAlign w:val="center"/>
            <w:hideMark/>
          </w:tcPr>
          <w:p w14:paraId="04244E06"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TAE-iNKT-26</w:t>
            </w:r>
          </w:p>
        </w:tc>
        <w:tc>
          <w:tcPr>
            <w:tcW w:w="1304" w:type="dxa"/>
            <w:noWrap/>
            <w:vAlign w:val="center"/>
            <w:hideMark/>
          </w:tcPr>
          <w:p w14:paraId="7FD1FBF1" w14:textId="6792000E" w:rsidR="003E65AA" w:rsidRPr="003E65AA" w:rsidRDefault="00E0188E" w:rsidP="00F363C3">
            <w:pPr>
              <w:jc w:val="center"/>
              <w:rPr>
                <w:rFonts w:ascii="Arial" w:hAnsi="Arial" w:cs="Arial"/>
                <w:color w:val="000000" w:themeColor="text1"/>
                <w:sz w:val="18"/>
              </w:rPr>
            </w:pPr>
            <w:r>
              <w:rPr>
                <w:rFonts w:ascii="Arial" w:hAnsi="Arial" w:cs="Arial"/>
                <w:color w:val="000000" w:themeColor="text1"/>
                <w:sz w:val="18"/>
              </w:rPr>
              <w:t>1</w:t>
            </w:r>
          </w:p>
        </w:tc>
        <w:tc>
          <w:tcPr>
            <w:tcW w:w="1105" w:type="dxa"/>
            <w:noWrap/>
            <w:vAlign w:val="center"/>
            <w:hideMark/>
          </w:tcPr>
          <w:p w14:paraId="35BB3C7F"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6B0C95FF"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5CE34AE0"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16BC5B4E"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53077057" w14:textId="77777777" w:rsidR="003E65AA" w:rsidRPr="003E65AA" w:rsidRDefault="003E65AA" w:rsidP="00F363C3">
            <w:pPr>
              <w:jc w:val="center"/>
              <w:rPr>
                <w:rFonts w:ascii="Arial" w:hAnsi="Arial" w:cs="Arial"/>
                <w:color w:val="000000" w:themeColor="text1"/>
                <w:sz w:val="18"/>
              </w:rPr>
            </w:pPr>
          </w:p>
        </w:tc>
      </w:tr>
      <w:tr w:rsidR="003E65AA" w:rsidRPr="00376A7A" w14:paraId="6087888D" w14:textId="77777777" w:rsidTr="000B7CBD">
        <w:trPr>
          <w:trHeight w:val="300"/>
        </w:trPr>
        <w:tc>
          <w:tcPr>
            <w:tcW w:w="1419" w:type="dxa"/>
            <w:noWrap/>
            <w:vAlign w:val="center"/>
            <w:hideMark/>
          </w:tcPr>
          <w:p w14:paraId="088D9BCC"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TAE-iNKT-27</w:t>
            </w:r>
          </w:p>
        </w:tc>
        <w:tc>
          <w:tcPr>
            <w:tcW w:w="1304" w:type="dxa"/>
            <w:noWrap/>
            <w:vAlign w:val="center"/>
            <w:hideMark/>
          </w:tcPr>
          <w:p w14:paraId="3B9EA2F9"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4FDEF755"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37C35FA8"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5D397976"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1</w:t>
            </w:r>
          </w:p>
        </w:tc>
        <w:tc>
          <w:tcPr>
            <w:tcW w:w="1417" w:type="dxa"/>
            <w:noWrap/>
            <w:vAlign w:val="center"/>
            <w:hideMark/>
          </w:tcPr>
          <w:p w14:paraId="00F57E03"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64EFD9E8" w14:textId="77777777" w:rsidR="003E65AA" w:rsidRPr="003E65AA" w:rsidRDefault="003E65AA" w:rsidP="00F363C3">
            <w:pPr>
              <w:jc w:val="center"/>
              <w:rPr>
                <w:rFonts w:ascii="Arial" w:hAnsi="Arial" w:cs="Arial"/>
                <w:color w:val="000000" w:themeColor="text1"/>
                <w:sz w:val="18"/>
              </w:rPr>
            </w:pPr>
          </w:p>
        </w:tc>
      </w:tr>
      <w:tr w:rsidR="003E65AA" w:rsidRPr="00376A7A" w14:paraId="4DE306D0" w14:textId="77777777" w:rsidTr="000B7CBD">
        <w:trPr>
          <w:trHeight w:val="300"/>
        </w:trPr>
        <w:tc>
          <w:tcPr>
            <w:tcW w:w="1419" w:type="dxa"/>
            <w:noWrap/>
            <w:vAlign w:val="center"/>
            <w:hideMark/>
          </w:tcPr>
          <w:p w14:paraId="4A8E6469"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TAE-1</w:t>
            </w:r>
          </w:p>
        </w:tc>
        <w:tc>
          <w:tcPr>
            <w:tcW w:w="1304" w:type="dxa"/>
            <w:noWrap/>
            <w:vAlign w:val="center"/>
            <w:hideMark/>
          </w:tcPr>
          <w:p w14:paraId="53AEEC28"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78A69677"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29E74E90"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29BDC38E"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7003DEDF"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5F8A0B5E" w14:textId="77777777" w:rsidR="003E65AA" w:rsidRPr="003E65AA" w:rsidRDefault="003E65AA" w:rsidP="00F363C3">
            <w:pPr>
              <w:jc w:val="center"/>
              <w:rPr>
                <w:rFonts w:ascii="Arial" w:hAnsi="Arial" w:cs="Arial"/>
                <w:color w:val="000000" w:themeColor="text1"/>
                <w:sz w:val="18"/>
              </w:rPr>
            </w:pPr>
          </w:p>
        </w:tc>
      </w:tr>
      <w:tr w:rsidR="003E65AA" w:rsidRPr="00376A7A" w14:paraId="5FC2FD3F" w14:textId="77777777" w:rsidTr="000B7CBD">
        <w:trPr>
          <w:trHeight w:val="300"/>
        </w:trPr>
        <w:tc>
          <w:tcPr>
            <w:tcW w:w="1419" w:type="dxa"/>
            <w:noWrap/>
            <w:vAlign w:val="center"/>
            <w:hideMark/>
          </w:tcPr>
          <w:p w14:paraId="19894876"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TAE-2</w:t>
            </w:r>
          </w:p>
        </w:tc>
        <w:tc>
          <w:tcPr>
            <w:tcW w:w="1304" w:type="dxa"/>
            <w:noWrap/>
            <w:vAlign w:val="center"/>
            <w:hideMark/>
          </w:tcPr>
          <w:p w14:paraId="42AD83C0"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15A42F06"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56ACBD97"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3BF21D7A"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1</w:t>
            </w:r>
          </w:p>
        </w:tc>
        <w:tc>
          <w:tcPr>
            <w:tcW w:w="1417" w:type="dxa"/>
            <w:noWrap/>
            <w:vAlign w:val="center"/>
            <w:hideMark/>
          </w:tcPr>
          <w:p w14:paraId="5261A012"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0646A8B6" w14:textId="77777777" w:rsidR="003E65AA" w:rsidRPr="003E65AA" w:rsidRDefault="003E65AA" w:rsidP="00F363C3">
            <w:pPr>
              <w:jc w:val="center"/>
              <w:rPr>
                <w:rFonts w:ascii="Arial" w:hAnsi="Arial" w:cs="Arial"/>
                <w:color w:val="000000" w:themeColor="text1"/>
                <w:sz w:val="18"/>
              </w:rPr>
            </w:pPr>
          </w:p>
        </w:tc>
      </w:tr>
      <w:tr w:rsidR="003E65AA" w:rsidRPr="00376A7A" w14:paraId="2545366E" w14:textId="77777777" w:rsidTr="000B7CBD">
        <w:trPr>
          <w:trHeight w:val="300"/>
        </w:trPr>
        <w:tc>
          <w:tcPr>
            <w:tcW w:w="1419" w:type="dxa"/>
            <w:noWrap/>
            <w:vAlign w:val="center"/>
            <w:hideMark/>
          </w:tcPr>
          <w:p w14:paraId="567A3D64"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TAE-3</w:t>
            </w:r>
          </w:p>
        </w:tc>
        <w:tc>
          <w:tcPr>
            <w:tcW w:w="1304" w:type="dxa"/>
            <w:noWrap/>
            <w:vAlign w:val="center"/>
            <w:hideMark/>
          </w:tcPr>
          <w:p w14:paraId="2A920790"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3F38D7CF"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02BBF865"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0034E627"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086E2723"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04E02056" w14:textId="77777777" w:rsidR="003E65AA" w:rsidRPr="003E65AA" w:rsidRDefault="003E65AA" w:rsidP="00F363C3">
            <w:pPr>
              <w:jc w:val="center"/>
              <w:rPr>
                <w:rFonts w:ascii="Arial" w:hAnsi="Arial" w:cs="Arial"/>
                <w:color w:val="000000" w:themeColor="text1"/>
                <w:sz w:val="18"/>
              </w:rPr>
            </w:pPr>
          </w:p>
        </w:tc>
      </w:tr>
      <w:tr w:rsidR="003E65AA" w:rsidRPr="00376A7A" w14:paraId="1C5838D7" w14:textId="77777777" w:rsidTr="000B7CBD">
        <w:trPr>
          <w:trHeight w:val="300"/>
        </w:trPr>
        <w:tc>
          <w:tcPr>
            <w:tcW w:w="1419" w:type="dxa"/>
            <w:noWrap/>
            <w:vAlign w:val="center"/>
            <w:hideMark/>
          </w:tcPr>
          <w:p w14:paraId="6B45DF04"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TAE-4</w:t>
            </w:r>
          </w:p>
        </w:tc>
        <w:tc>
          <w:tcPr>
            <w:tcW w:w="1304" w:type="dxa"/>
            <w:noWrap/>
            <w:vAlign w:val="center"/>
            <w:hideMark/>
          </w:tcPr>
          <w:p w14:paraId="72898101"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2026FA94"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1267B2F2"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2F48A3B7"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10BD66FE"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4D24EB00" w14:textId="77777777" w:rsidR="003E65AA" w:rsidRPr="003E65AA" w:rsidRDefault="003E65AA" w:rsidP="00F363C3">
            <w:pPr>
              <w:jc w:val="center"/>
              <w:rPr>
                <w:rFonts w:ascii="Arial" w:hAnsi="Arial" w:cs="Arial"/>
                <w:color w:val="000000" w:themeColor="text1"/>
                <w:sz w:val="18"/>
              </w:rPr>
            </w:pPr>
          </w:p>
        </w:tc>
      </w:tr>
      <w:tr w:rsidR="003E65AA" w:rsidRPr="00376A7A" w14:paraId="33E79896" w14:textId="77777777" w:rsidTr="000B7CBD">
        <w:trPr>
          <w:trHeight w:val="300"/>
        </w:trPr>
        <w:tc>
          <w:tcPr>
            <w:tcW w:w="1419" w:type="dxa"/>
            <w:noWrap/>
            <w:vAlign w:val="center"/>
            <w:hideMark/>
          </w:tcPr>
          <w:p w14:paraId="7F8961C6"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TAE-5</w:t>
            </w:r>
          </w:p>
        </w:tc>
        <w:tc>
          <w:tcPr>
            <w:tcW w:w="1304" w:type="dxa"/>
            <w:noWrap/>
            <w:vAlign w:val="center"/>
            <w:hideMark/>
          </w:tcPr>
          <w:p w14:paraId="5478E8AE"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3D834FE0"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719C1718"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5</w:t>
            </w:r>
          </w:p>
        </w:tc>
        <w:tc>
          <w:tcPr>
            <w:tcW w:w="1588" w:type="dxa"/>
            <w:noWrap/>
            <w:vAlign w:val="center"/>
            <w:hideMark/>
          </w:tcPr>
          <w:p w14:paraId="0C2EE1F1"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7D9E9584"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47DAE748" w14:textId="77777777" w:rsidR="003E65AA" w:rsidRPr="003E65AA" w:rsidRDefault="003E65AA" w:rsidP="00F363C3">
            <w:pPr>
              <w:jc w:val="center"/>
              <w:rPr>
                <w:rFonts w:ascii="Arial" w:hAnsi="Arial" w:cs="Arial"/>
                <w:color w:val="000000" w:themeColor="text1"/>
                <w:sz w:val="18"/>
              </w:rPr>
            </w:pPr>
          </w:p>
        </w:tc>
      </w:tr>
      <w:tr w:rsidR="003E65AA" w:rsidRPr="00376A7A" w14:paraId="396CC0EB" w14:textId="77777777" w:rsidTr="000B7CBD">
        <w:trPr>
          <w:trHeight w:val="300"/>
        </w:trPr>
        <w:tc>
          <w:tcPr>
            <w:tcW w:w="1419" w:type="dxa"/>
            <w:noWrap/>
            <w:vAlign w:val="center"/>
            <w:hideMark/>
          </w:tcPr>
          <w:p w14:paraId="56D58DC1"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TAE-6</w:t>
            </w:r>
          </w:p>
        </w:tc>
        <w:tc>
          <w:tcPr>
            <w:tcW w:w="1304" w:type="dxa"/>
            <w:noWrap/>
            <w:vAlign w:val="center"/>
            <w:hideMark/>
          </w:tcPr>
          <w:p w14:paraId="59AC0818"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37BF5889"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Sorafenib</w:t>
            </w:r>
          </w:p>
        </w:tc>
        <w:tc>
          <w:tcPr>
            <w:tcW w:w="993" w:type="dxa"/>
            <w:noWrap/>
            <w:vAlign w:val="center"/>
            <w:hideMark/>
          </w:tcPr>
          <w:p w14:paraId="42B4551D"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1B320F1B"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6A7A42EB"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6F660F7A" w14:textId="77777777" w:rsidR="003E65AA" w:rsidRPr="003E65AA" w:rsidRDefault="003E65AA" w:rsidP="00F363C3">
            <w:pPr>
              <w:jc w:val="center"/>
              <w:rPr>
                <w:rFonts w:ascii="Arial" w:hAnsi="Arial" w:cs="Arial"/>
                <w:color w:val="000000" w:themeColor="text1"/>
                <w:sz w:val="18"/>
              </w:rPr>
            </w:pPr>
          </w:p>
        </w:tc>
      </w:tr>
      <w:tr w:rsidR="003E65AA" w:rsidRPr="00376A7A" w14:paraId="5A6C1210" w14:textId="77777777" w:rsidTr="000B7CBD">
        <w:trPr>
          <w:trHeight w:val="300"/>
        </w:trPr>
        <w:tc>
          <w:tcPr>
            <w:tcW w:w="1419" w:type="dxa"/>
            <w:noWrap/>
            <w:vAlign w:val="center"/>
            <w:hideMark/>
          </w:tcPr>
          <w:p w14:paraId="1C31CC1E"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TAE-7</w:t>
            </w:r>
          </w:p>
        </w:tc>
        <w:tc>
          <w:tcPr>
            <w:tcW w:w="1304" w:type="dxa"/>
            <w:noWrap/>
            <w:vAlign w:val="center"/>
            <w:hideMark/>
          </w:tcPr>
          <w:p w14:paraId="3D705F15" w14:textId="45BE8227" w:rsidR="003E65AA" w:rsidRPr="003E65AA" w:rsidRDefault="00E0188E" w:rsidP="00F363C3">
            <w:pPr>
              <w:jc w:val="center"/>
              <w:rPr>
                <w:rFonts w:ascii="Arial" w:hAnsi="Arial" w:cs="Arial"/>
                <w:color w:val="000000" w:themeColor="text1"/>
                <w:sz w:val="18"/>
              </w:rPr>
            </w:pPr>
            <w:r>
              <w:rPr>
                <w:rFonts w:ascii="Arial" w:hAnsi="Arial" w:cs="Arial"/>
                <w:color w:val="000000" w:themeColor="text1"/>
                <w:sz w:val="18"/>
              </w:rPr>
              <w:t>1</w:t>
            </w:r>
          </w:p>
        </w:tc>
        <w:tc>
          <w:tcPr>
            <w:tcW w:w="1105" w:type="dxa"/>
            <w:noWrap/>
            <w:vAlign w:val="center"/>
            <w:hideMark/>
          </w:tcPr>
          <w:p w14:paraId="1AFC8DB6"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65D533DD"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3F33A0B1"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7</w:t>
            </w:r>
          </w:p>
        </w:tc>
        <w:tc>
          <w:tcPr>
            <w:tcW w:w="1417" w:type="dxa"/>
            <w:noWrap/>
            <w:vAlign w:val="center"/>
            <w:hideMark/>
          </w:tcPr>
          <w:p w14:paraId="3AA8865C"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6E374C03" w14:textId="77777777" w:rsidR="003E65AA" w:rsidRPr="003E65AA" w:rsidRDefault="003E65AA" w:rsidP="00F363C3">
            <w:pPr>
              <w:jc w:val="center"/>
              <w:rPr>
                <w:rFonts w:ascii="Arial" w:hAnsi="Arial" w:cs="Arial"/>
                <w:color w:val="000000" w:themeColor="text1"/>
                <w:sz w:val="18"/>
              </w:rPr>
            </w:pPr>
          </w:p>
        </w:tc>
      </w:tr>
      <w:tr w:rsidR="003E65AA" w:rsidRPr="00376A7A" w14:paraId="58621213" w14:textId="77777777" w:rsidTr="000B7CBD">
        <w:trPr>
          <w:trHeight w:val="300"/>
        </w:trPr>
        <w:tc>
          <w:tcPr>
            <w:tcW w:w="1419" w:type="dxa"/>
            <w:noWrap/>
            <w:vAlign w:val="center"/>
            <w:hideMark/>
          </w:tcPr>
          <w:p w14:paraId="7EFDDD21"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TAE-8</w:t>
            </w:r>
          </w:p>
        </w:tc>
        <w:tc>
          <w:tcPr>
            <w:tcW w:w="1304" w:type="dxa"/>
            <w:noWrap/>
            <w:vAlign w:val="center"/>
            <w:hideMark/>
          </w:tcPr>
          <w:p w14:paraId="6C193BB6"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1F14B7B8"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78D8D865"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31F290A1"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41A346BB"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2FDD5065" w14:textId="77777777" w:rsidR="003E65AA" w:rsidRPr="003E65AA" w:rsidRDefault="003E65AA" w:rsidP="00F363C3">
            <w:pPr>
              <w:jc w:val="center"/>
              <w:rPr>
                <w:rFonts w:ascii="Arial" w:hAnsi="Arial" w:cs="Arial"/>
                <w:color w:val="000000" w:themeColor="text1"/>
                <w:sz w:val="18"/>
              </w:rPr>
            </w:pPr>
          </w:p>
        </w:tc>
      </w:tr>
      <w:tr w:rsidR="003E65AA" w:rsidRPr="00376A7A" w14:paraId="29AB81BC" w14:textId="77777777" w:rsidTr="000B7CBD">
        <w:trPr>
          <w:trHeight w:val="300"/>
        </w:trPr>
        <w:tc>
          <w:tcPr>
            <w:tcW w:w="1419" w:type="dxa"/>
            <w:noWrap/>
            <w:vAlign w:val="center"/>
            <w:hideMark/>
          </w:tcPr>
          <w:p w14:paraId="455C4582"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lastRenderedPageBreak/>
              <w:t>TAE-9</w:t>
            </w:r>
          </w:p>
        </w:tc>
        <w:tc>
          <w:tcPr>
            <w:tcW w:w="1304" w:type="dxa"/>
            <w:noWrap/>
            <w:vAlign w:val="center"/>
            <w:hideMark/>
          </w:tcPr>
          <w:p w14:paraId="7FE36790"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5208E943"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3AE9832F"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2B5A85BB"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4AC920BD"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20F9C948" w14:textId="77777777" w:rsidR="003E65AA" w:rsidRPr="003E65AA" w:rsidRDefault="003E65AA" w:rsidP="00F363C3">
            <w:pPr>
              <w:jc w:val="center"/>
              <w:rPr>
                <w:rFonts w:ascii="Arial" w:hAnsi="Arial" w:cs="Arial"/>
                <w:color w:val="000000" w:themeColor="text1"/>
                <w:sz w:val="18"/>
              </w:rPr>
            </w:pPr>
          </w:p>
        </w:tc>
      </w:tr>
      <w:tr w:rsidR="003E65AA" w:rsidRPr="00376A7A" w14:paraId="3D1AB69B" w14:textId="77777777" w:rsidTr="000B7CBD">
        <w:trPr>
          <w:trHeight w:val="300"/>
        </w:trPr>
        <w:tc>
          <w:tcPr>
            <w:tcW w:w="1419" w:type="dxa"/>
            <w:noWrap/>
            <w:vAlign w:val="center"/>
            <w:hideMark/>
          </w:tcPr>
          <w:p w14:paraId="339CD414"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TAE-10</w:t>
            </w:r>
          </w:p>
        </w:tc>
        <w:tc>
          <w:tcPr>
            <w:tcW w:w="1304" w:type="dxa"/>
            <w:noWrap/>
            <w:vAlign w:val="center"/>
            <w:hideMark/>
          </w:tcPr>
          <w:p w14:paraId="2280C162"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40879655"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2C9F0A87"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3</w:t>
            </w:r>
          </w:p>
        </w:tc>
        <w:tc>
          <w:tcPr>
            <w:tcW w:w="1588" w:type="dxa"/>
            <w:noWrap/>
            <w:vAlign w:val="center"/>
            <w:hideMark/>
          </w:tcPr>
          <w:p w14:paraId="6C63BA1A"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3</w:t>
            </w:r>
          </w:p>
        </w:tc>
        <w:tc>
          <w:tcPr>
            <w:tcW w:w="1417" w:type="dxa"/>
            <w:noWrap/>
            <w:vAlign w:val="center"/>
            <w:hideMark/>
          </w:tcPr>
          <w:p w14:paraId="48E76836"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7095C7B1" w14:textId="77777777" w:rsidR="003E65AA" w:rsidRPr="003E65AA" w:rsidRDefault="003E65AA" w:rsidP="00F363C3">
            <w:pPr>
              <w:jc w:val="center"/>
              <w:rPr>
                <w:rFonts w:ascii="Arial" w:hAnsi="Arial" w:cs="Arial"/>
                <w:color w:val="000000" w:themeColor="text1"/>
                <w:sz w:val="18"/>
              </w:rPr>
            </w:pPr>
          </w:p>
        </w:tc>
      </w:tr>
      <w:tr w:rsidR="003E65AA" w:rsidRPr="00376A7A" w14:paraId="47401D35" w14:textId="77777777" w:rsidTr="000B7CBD">
        <w:trPr>
          <w:trHeight w:val="300"/>
        </w:trPr>
        <w:tc>
          <w:tcPr>
            <w:tcW w:w="1419" w:type="dxa"/>
            <w:noWrap/>
            <w:vAlign w:val="center"/>
            <w:hideMark/>
          </w:tcPr>
          <w:p w14:paraId="44DC21F7"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TAE-11</w:t>
            </w:r>
          </w:p>
        </w:tc>
        <w:tc>
          <w:tcPr>
            <w:tcW w:w="1304" w:type="dxa"/>
            <w:noWrap/>
            <w:vAlign w:val="center"/>
            <w:hideMark/>
          </w:tcPr>
          <w:p w14:paraId="4C0FC969"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14AEA254"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0A963A8C"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4050D205"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7795D664"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4A4EAC98" w14:textId="77777777" w:rsidR="003E65AA" w:rsidRPr="003E65AA" w:rsidRDefault="003E65AA" w:rsidP="00F363C3">
            <w:pPr>
              <w:jc w:val="center"/>
              <w:rPr>
                <w:rFonts w:ascii="Arial" w:hAnsi="Arial" w:cs="Arial"/>
                <w:color w:val="000000" w:themeColor="text1"/>
                <w:sz w:val="18"/>
              </w:rPr>
            </w:pPr>
          </w:p>
        </w:tc>
      </w:tr>
      <w:tr w:rsidR="003E65AA" w:rsidRPr="00376A7A" w14:paraId="6EA1EC4E" w14:textId="77777777" w:rsidTr="000B7CBD">
        <w:trPr>
          <w:trHeight w:val="300"/>
        </w:trPr>
        <w:tc>
          <w:tcPr>
            <w:tcW w:w="1419" w:type="dxa"/>
            <w:noWrap/>
            <w:vAlign w:val="center"/>
            <w:hideMark/>
          </w:tcPr>
          <w:p w14:paraId="01AD59DE"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TAE-12</w:t>
            </w:r>
          </w:p>
        </w:tc>
        <w:tc>
          <w:tcPr>
            <w:tcW w:w="1304" w:type="dxa"/>
            <w:noWrap/>
            <w:vAlign w:val="center"/>
            <w:hideMark/>
          </w:tcPr>
          <w:p w14:paraId="725D446E"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7F17254C"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35FED6C3"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4</w:t>
            </w:r>
          </w:p>
        </w:tc>
        <w:tc>
          <w:tcPr>
            <w:tcW w:w="1588" w:type="dxa"/>
            <w:noWrap/>
            <w:vAlign w:val="center"/>
            <w:hideMark/>
          </w:tcPr>
          <w:p w14:paraId="0C81BDF3"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4</w:t>
            </w:r>
          </w:p>
        </w:tc>
        <w:tc>
          <w:tcPr>
            <w:tcW w:w="1417" w:type="dxa"/>
            <w:noWrap/>
            <w:vAlign w:val="center"/>
            <w:hideMark/>
          </w:tcPr>
          <w:p w14:paraId="6860D536"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65E072D3"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1</w:t>
            </w:r>
          </w:p>
        </w:tc>
      </w:tr>
      <w:tr w:rsidR="003E65AA" w:rsidRPr="00376A7A" w14:paraId="0B60DD57" w14:textId="77777777" w:rsidTr="000B7CBD">
        <w:trPr>
          <w:trHeight w:val="300"/>
        </w:trPr>
        <w:tc>
          <w:tcPr>
            <w:tcW w:w="1419" w:type="dxa"/>
            <w:noWrap/>
            <w:vAlign w:val="center"/>
            <w:hideMark/>
          </w:tcPr>
          <w:p w14:paraId="54F35C81"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TAE-13</w:t>
            </w:r>
          </w:p>
        </w:tc>
        <w:tc>
          <w:tcPr>
            <w:tcW w:w="1304" w:type="dxa"/>
            <w:noWrap/>
            <w:vAlign w:val="center"/>
            <w:hideMark/>
          </w:tcPr>
          <w:p w14:paraId="1730978F"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3E33027F"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45F388CB"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2AD3B89A"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175DB228"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00886394" w14:textId="77777777" w:rsidR="003E65AA" w:rsidRPr="003E65AA" w:rsidRDefault="003E65AA" w:rsidP="00F363C3">
            <w:pPr>
              <w:jc w:val="center"/>
              <w:rPr>
                <w:rFonts w:ascii="Arial" w:hAnsi="Arial" w:cs="Arial"/>
                <w:color w:val="000000" w:themeColor="text1"/>
                <w:sz w:val="18"/>
              </w:rPr>
            </w:pPr>
          </w:p>
        </w:tc>
      </w:tr>
      <w:tr w:rsidR="003E65AA" w:rsidRPr="00376A7A" w14:paraId="03397D7C" w14:textId="77777777" w:rsidTr="000B7CBD">
        <w:trPr>
          <w:trHeight w:val="300"/>
        </w:trPr>
        <w:tc>
          <w:tcPr>
            <w:tcW w:w="1419" w:type="dxa"/>
            <w:noWrap/>
            <w:vAlign w:val="center"/>
            <w:hideMark/>
          </w:tcPr>
          <w:p w14:paraId="1E180B68"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TAE-14</w:t>
            </w:r>
          </w:p>
        </w:tc>
        <w:tc>
          <w:tcPr>
            <w:tcW w:w="1304" w:type="dxa"/>
            <w:noWrap/>
            <w:vAlign w:val="center"/>
            <w:hideMark/>
          </w:tcPr>
          <w:p w14:paraId="1B7A479F"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3D1A6EC0"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3A177EA0"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3</w:t>
            </w:r>
          </w:p>
        </w:tc>
        <w:tc>
          <w:tcPr>
            <w:tcW w:w="1588" w:type="dxa"/>
            <w:noWrap/>
            <w:vAlign w:val="center"/>
            <w:hideMark/>
          </w:tcPr>
          <w:p w14:paraId="32618B34"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417" w:type="dxa"/>
            <w:noWrap/>
            <w:vAlign w:val="center"/>
            <w:hideMark/>
          </w:tcPr>
          <w:p w14:paraId="632623E1"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493B4E59" w14:textId="77777777" w:rsidR="003E65AA" w:rsidRPr="003E65AA" w:rsidRDefault="003E65AA" w:rsidP="00F363C3">
            <w:pPr>
              <w:jc w:val="center"/>
              <w:rPr>
                <w:rFonts w:ascii="Arial" w:hAnsi="Arial" w:cs="Arial"/>
                <w:color w:val="000000" w:themeColor="text1"/>
                <w:sz w:val="18"/>
              </w:rPr>
            </w:pPr>
          </w:p>
        </w:tc>
      </w:tr>
      <w:tr w:rsidR="003E65AA" w:rsidRPr="00376A7A" w14:paraId="46DC023B" w14:textId="77777777" w:rsidTr="000B7CBD">
        <w:trPr>
          <w:trHeight w:val="300"/>
        </w:trPr>
        <w:tc>
          <w:tcPr>
            <w:tcW w:w="1419" w:type="dxa"/>
            <w:noWrap/>
            <w:vAlign w:val="center"/>
            <w:hideMark/>
          </w:tcPr>
          <w:p w14:paraId="4F8FA6A8"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TAE-15</w:t>
            </w:r>
          </w:p>
        </w:tc>
        <w:tc>
          <w:tcPr>
            <w:tcW w:w="1304" w:type="dxa"/>
            <w:noWrap/>
            <w:vAlign w:val="center"/>
            <w:hideMark/>
          </w:tcPr>
          <w:p w14:paraId="54F9661B"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7ECEF9F0"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65576E1C"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6628272C"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1</w:t>
            </w:r>
          </w:p>
        </w:tc>
        <w:tc>
          <w:tcPr>
            <w:tcW w:w="1417" w:type="dxa"/>
            <w:noWrap/>
            <w:vAlign w:val="center"/>
            <w:hideMark/>
          </w:tcPr>
          <w:p w14:paraId="2D73BE9E"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4C6481FF" w14:textId="77777777" w:rsidR="003E65AA" w:rsidRPr="003E65AA" w:rsidRDefault="003E65AA" w:rsidP="00F363C3">
            <w:pPr>
              <w:jc w:val="center"/>
              <w:rPr>
                <w:rFonts w:ascii="Arial" w:hAnsi="Arial" w:cs="Arial"/>
                <w:color w:val="000000" w:themeColor="text1"/>
                <w:sz w:val="18"/>
              </w:rPr>
            </w:pPr>
          </w:p>
        </w:tc>
      </w:tr>
      <w:tr w:rsidR="003E65AA" w:rsidRPr="00376A7A" w14:paraId="36C96BC2" w14:textId="77777777" w:rsidTr="000B7CBD">
        <w:trPr>
          <w:trHeight w:val="300"/>
        </w:trPr>
        <w:tc>
          <w:tcPr>
            <w:tcW w:w="1419" w:type="dxa"/>
            <w:noWrap/>
            <w:vAlign w:val="center"/>
            <w:hideMark/>
          </w:tcPr>
          <w:p w14:paraId="014E6F2C"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TAE-16</w:t>
            </w:r>
          </w:p>
        </w:tc>
        <w:tc>
          <w:tcPr>
            <w:tcW w:w="1304" w:type="dxa"/>
            <w:noWrap/>
            <w:vAlign w:val="center"/>
            <w:hideMark/>
          </w:tcPr>
          <w:p w14:paraId="390BA761"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0F20F727"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7EB659F9"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34A69840"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417" w:type="dxa"/>
            <w:noWrap/>
            <w:vAlign w:val="center"/>
            <w:hideMark/>
          </w:tcPr>
          <w:p w14:paraId="762B8D36"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7FD55922" w14:textId="77777777" w:rsidR="003E65AA" w:rsidRPr="003E65AA" w:rsidRDefault="003E65AA" w:rsidP="00F363C3">
            <w:pPr>
              <w:jc w:val="center"/>
              <w:rPr>
                <w:rFonts w:ascii="Arial" w:hAnsi="Arial" w:cs="Arial"/>
                <w:color w:val="000000" w:themeColor="text1"/>
                <w:sz w:val="18"/>
              </w:rPr>
            </w:pPr>
          </w:p>
        </w:tc>
      </w:tr>
      <w:tr w:rsidR="003E65AA" w:rsidRPr="00376A7A" w14:paraId="21E09C95" w14:textId="77777777" w:rsidTr="000B7CBD">
        <w:trPr>
          <w:trHeight w:val="300"/>
        </w:trPr>
        <w:tc>
          <w:tcPr>
            <w:tcW w:w="1419" w:type="dxa"/>
            <w:noWrap/>
            <w:vAlign w:val="center"/>
            <w:hideMark/>
          </w:tcPr>
          <w:p w14:paraId="6837B56F"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TAE-17</w:t>
            </w:r>
          </w:p>
        </w:tc>
        <w:tc>
          <w:tcPr>
            <w:tcW w:w="1304" w:type="dxa"/>
            <w:noWrap/>
            <w:vAlign w:val="center"/>
            <w:hideMark/>
          </w:tcPr>
          <w:p w14:paraId="3C3859DD" w14:textId="77777777" w:rsidR="003E65AA" w:rsidRPr="003E65AA" w:rsidRDefault="003E65AA" w:rsidP="00F363C3">
            <w:pPr>
              <w:jc w:val="center"/>
              <w:rPr>
                <w:rFonts w:ascii="Arial" w:hAnsi="Arial" w:cs="Arial"/>
                <w:color w:val="000000" w:themeColor="text1"/>
                <w:sz w:val="18"/>
              </w:rPr>
            </w:pPr>
          </w:p>
        </w:tc>
        <w:tc>
          <w:tcPr>
            <w:tcW w:w="1105" w:type="dxa"/>
            <w:noWrap/>
            <w:vAlign w:val="center"/>
            <w:hideMark/>
          </w:tcPr>
          <w:p w14:paraId="58DC3466" w14:textId="77777777" w:rsidR="003E65AA" w:rsidRPr="003E65AA" w:rsidRDefault="003E65AA" w:rsidP="00F363C3">
            <w:pPr>
              <w:jc w:val="center"/>
              <w:rPr>
                <w:rFonts w:ascii="Arial" w:hAnsi="Arial" w:cs="Arial"/>
                <w:color w:val="000000" w:themeColor="text1"/>
                <w:sz w:val="18"/>
              </w:rPr>
            </w:pPr>
          </w:p>
        </w:tc>
        <w:tc>
          <w:tcPr>
            <w:tcW w:w="993" w:type="dxa"/>
            <w:noWrap/>
            <w:vAlign w:val="center"/>
            <w:hideMark/>
          </w:tcPr>
          <w:p w14:paraId="12D300FA"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vAlign w:val="center"/>
            <w:hideMark/>
          </w:tcPr>
          <w:p w14:paraId="43D93B15" w14:textId="77777777" w:rsidR="003E65AA" w:rsidRPr="003E65AA" w:rsidRDefault="003E65AA" w:rsidP="00F363C3">
            <w:pPr>
              <w:jc w:val="center"/>
              <w:rPr>
                <w:rFonts w:ascii="Arial" w:hAnsi="Arial" w:cs="Arial"/>
                <w:color w:val="000000" w:themeColor="text1"/>
                <w:sz w:val="18"/>
              </w:rPr>
            </w:pPr>
          </w:p>
        </w:tc>
        <w:tc>
          <w:tcPr>
            <w:tcW w:w="1417" w:type="dxa"/>
            <w:noWrap/>
            <w:vAlign w:val="center"/>
            <w:hideMark/>
          </w:tcPr>
          <w:p w14:paraId="7FBC5A4F" w14:textId="77777777" w:rsidR="003E65AA" w:rsidRPr="003E65AA" w:rsidRDefault="003E65AA" w:rsidP="00F363C3">
            <w:pPr>
              <w:jc w:val="center"/>
              <w:rPr>
                <w:rFonts w:ascii="Arial" w:hAnsi="Arial" w:cs="Arial"/>
                <w:color w:val="000000" w:themeColor="text1"/>
                <w:sz w:val="18"/>
              </w:rPr>
            </w:pPr>
          </w:p>
        </w:tc>
        <w:tc>
          <w:tcPr>
            <w:tcW w:w="1389" w:type="dxa"/>
            <w:noWrap/>
            <w:vAlign w:val="center"/>
            <w:hideMark/>
          </w:tcPr>
          <w:p w14:paraId="77E1860D" w14:textId="77777777" w:rsidR="003E65AA" w:rsidRPr="003E65AA" w:rsidRDefault="003E65AA" w:rsidP="00F363C3">
            <w:pPr>
              <w:jc w:val="center"/>
              <w:rPr>
                <w:rFonts w:ascii="Arial" w:hAnsi="Arial" w:cs="Arial"/>
                <w:color w:val="000000" w:themeColor="text1"/>
                <w:sz w:val="18"/>
              </w:rPr>
            </w:pPr>
          </w:p>
        </w:tc>
      </w:tr>
      <w:tr w:rsidR="003E65AA" w:rsidRPr="00376A7A" w14:paraId="27B41F97" w14:textId="77777777" w:rsidTr="000B7CBD">
        <w:trPr>
          <w:trHeight w:val="300"/>
        </w:trPr>
        <w:tc>
          <w:tcPr>
            <w:tcW w:w="1419" w:type="dxa"/>
            <w:noWrap/>
            <w:hideMark/>
          </w:tcPr>
          <w:p w14:paraId="40E3BD58"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TAE-18</w:t>
            </w:r>
          </w:p>
        </w:tc>
        <w:tc>
          <w:tcPr>
            <w:tcW w:w="1304" w:type="dxa"/>
            <w:noWrap/>
            <w:hideMark/>
          </w:tcPr>
          <w:p w14:paraId="7BE3C22A" w14:textId="77777777" w:rsidR="003E65AA" w:rsidRPr="003E65AA" w:rsidRDefault="003E65AA" w:rsidP="00F363C3">
            <w:pPr>
              <w:jc w:val="center"/>
              <w:rPr>
                <w:rFonts w:ascii="Arial" w:hAnsi="Arial" w:cs="Arial"/>
                <w:color w:val="000000" w:themeColor="text1"/>
                <w:sz w:val="18"/>
              </w:rPr>
            </w:pPr>
          </w:p>
        </w:tc>
        <w:tc>
          <w:tcPr>
            <w:tcW w:w="1105" w:type="dxa"/>
            <w:noWrap/>
            <w:hideMark/>
          </w:tcPr>
          <w:p w14:paraId="6B9CC65B" w14:textId="77777777" w:rsidR="003E65AA" w:rsidRPr="003E65AA" w:rsidRDefault="003E65AA" w:rsidP="00F363C3">
            <w:pPr>
              <w:jc w:val="center"/>
              <w:rPr>
                <w:rFonts w:ascii="Arial" w:hAnsi="Arial" w:cs="Arial"/>
                <w:color w:val="000000" w:themeColor="text1"/>
                <w:sz w:val="18"/>
              </w:rPr>
            </w:pPr>
          </w:p>
        </w:tc>
        <w:tc>
          <w:tcPr>
            <w:tcW w:w="993" w:type="dxa"/>
            <w:noWrap/>
            <w:hideMark/>
          </w:tcPr>
          <w:p w14:paraId="7872900F"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4</w:t>
            </w:r>
          </w:p>
        </w:tc>
        <w:tc>
          <w:tcPr>
            <w:tcW w:w="1588" w:type="dxa"/>
            <w:noWrap/>
            <w:hideMark/>
          </w:tcPr>
          <w:p w14:paraId="5E0D8B28"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4</w:t>
            </w:r>
          </w:p>
        </w:tc>
        <w:tc>
          <w:tcPr>
            <w:tcW w:w="1417" w:type="dxa"/>
            <w:noWrap/>
            <w:hideMark/>
          </w:tcPr>
          <w:p w14:paraId="48A0532D" w14:textId="77777777" w:rsidR="003E65AA" w:rsidRPr="003E65AA" w:rsidRDefault="003E65AA" w:rsidP="00F363C3">
            <w:pPr>
              <w:jc w:val="center"/>
              <w:rPr>
                <w:rFonts w:ascii="Arial" w:hAnsi="Arial" w:cs="Arial"/>
                <w:color w:val="000000" w:themeColor="text1"/>
                <w:sz w:val="18"/>
              </w:rPr>
            </w:pPr>
          </w:p>
        </w:tc>
        <w:tc>
          <w:tcPr>
            <w:tcW w:w="1389" w:type="dxa"/>
            <w:noWrap/>
            <w:hideMark/>
          </w:tcPr>
          <w:p w14:paraId="49A3B06D" w14:textId="77777777" w:rsidR="003E65AA" w:rsidRPr="003E65AA" w:rsidRDefault="003E65AA" w:rsidP="00F363C3">
            <w:pPr>
              <w:jc w:val="center"/>
              <w:rPr>
                <w:rFonts w:ascii="Arial" w:hAnsi="Arial" w:cs="Arial"/>
                <w:color w:val="000000" w:themeColor="text1"/>
                <w:sz w:val="18"/>
              </w:rPr>
            </w:pPr>
          </w:p>
        </w:tc>
      </w:tr>
      <w:tr w:rsidR="003E65AA" w:rsidRPr="00376A7A" w14:paraId="1CC48433" w14:textId="77777777" w:rsidTr="000B7CBD">
        <w:trPr>
          <w:trHeight w:val="300"/>
        </w:trPr>
        <w:tc>
          <w:tcPr>
            <w:tcW w:w="1419" w:type="dxa"/>
            <w:noWrap/>
            <w:hideMark/>
          </w:tcPr>
          <w:p w14:paraId="442C9D1A"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TAE-19</w:t>
            </w:r>
          </w:p>
        </w:tc>
        <w:tc>
          <w:tcPr>
            <w:tcW w:w="1304" w:type="dxa"/>
            <w:noWrap/>
            <w:hideMark/>
          </w:tcPr>
          <w:p w14:paraId="7E93BF97" w14:textId="77777777" w:rsidR="003E65AA" w:rsidRPr="003E65AA" w:rsidRDefault="003E65AA" w:rsidP="00F363C3">
            <w:pPr>
              <w:jc w:val="center"/>
              <w:rPr>
                <w:rFonts w:ascii="Arial" w:hAnsi="Arial" w:cs="Arial"/>
                <w:color w:val="000000" w:themeColor="text1"/>
                <w:sz w:val="18"/>
              </w:rPr>
            </w:pPr>
          </w:p>
        </w:tc>
        <w:tc>
          <w:tcPr>
            <w:tcW w:w="1105" w:type="dxa"/>
            <w:noWrap/>
            <w:hideMark/>
          </w:tcPr>
          <w:p w14:paraId="0529F932" w14:textId="77777777" w:rsidR="003E65AA" w:rsidRPr="003E65AA" w:rsidRDefault="003E65AA" w:rsidP="00F363C3">
            <w:pPr>
              <w:jc w:val="center"/>
              <w:rPr>
                <w:rFonts w:ascii="Arial" w:hAnsi="Arial" w:cs="Arial"/>
                <w:color w:val="000000" w:themeColor="text1"/>
                <w:sz w:val="18"/>
              </w:rPr>
            </w:pPr>
          </w:p>
        </w:tc>
        <w:tc>
          <w:tcPr>
            <w:tcW w:w="993" w:type="dxa"/>
            <w:noWrap/>
            <w:hideMark/>
          </w:tcPr>
          <w:p w14:paraId="3649B806"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hideMark/>
          </w:tcPr>
          <w:p w14:paraId="4525953F" w14:textId="77777777" w:rsidR="003E65AA" w:rsidRPr="003E65AA" w:rsidRDefault="003E65AA" w:rsidP="00F363C3">
            <w:pPr>
              <w:jc w:val="center"/>
              <w:rPr>
                <w:rFonts w:ascii="Arial" w:hAnsi="Arial" w:cs="Arial"/>
                <w:color w:val="000000" w:themeColor="text1"/>
                <w:sz w:val="18"/>
              </w:rPr>
            </w:pPr>
          </w:p>
        </w:tc>
        <w:tc>
          <w:tcPr>
            <w:tcW w:w="1417" w:type="dxa"/>
            <w:noWrap/>
            <w:hideMark/>
          </w:tcPr>
          <w:p w14:paraId="4DDB6E46" w14:textId="77777777" w:rsidR="003E65AA" w:rsidRPr="003E65AA" w:rsidRDefault="003E65AA" w:rsidP="00F363C3">
            <w:pPr>
              <w:jc w:val="center"/>
              <w:rPr>
                <w:rFonts w:ascii="Arial" w:hAnsi="Arial" w:cs="Arial"/>
                <w:color w:val="000000" w:themeColor="text1"/>
                <w:sz w:val="18"/>
              </w:rPr>
            </w:pPr>
          </w:p>
        </w:tc>
        <w:tc>
          <w:tcPr>
            <w:tcW w:w="1389" w:type="dxa"/>
            <w:noWrap/>
            <w:hideMark/>
          </w:tcPr>
          <w:p w14:paraId="76224BD8" w14:textId="77777777" w:rsidR="003E65AA" w:rsidRPr="003E65AA" w:rsidRDefault="003E65AA" w:rsidP="00F363C3">
            <w:pPr>
              <w:jc w:val="center"/>
              <w:rPr>
                <w:rFonts w:ascii="Arial" w:hAnsi="Arial" w:cs="Arial"/>
                <w:color w:val="000000" w:themeColor="text1"/>
                <w:sz w:val="18"/>
              </w:rPr>
            </w:pPr>
          </w:p>
        </w:tc>
      </w:tr>
      <w:tr w:rsidR="003E65AA" w:rsidRPr="00376A7A" w14:paraId="7F358741" w14:textId="77777777" w:rsidTr="000B7CBD">
        <w:trPr>
          <w:trHeight w:val="300"/>
        </w:trPr>
        <w:tc>
          <w:tcPr>
            <w:tcW w:w="1419" w:type="dxa"/>
            <w:noWrap/>
            <w:hideMark/>
          </w:tcPr>
          <w:p w14:paraId="3A104D34"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TAE-20</w:t>
            </w:r>
          </w:p>
        </w:tc>
        <w:tc>
          <w:tcPr>
            <w:tcW w:w="1304" w:type="dxa"/>
            <w:noWrap/>
            <w:hideMark/>
          </w:tcPr>
          <w:p w14:paraId="1E6E91F8" w14:textId="77777777" w:rsidR="003E65AA" w:rsidRPr="003E65AA" w:rsidRDefault="003E65AA" w:rsidP="00F363C3">
            <w:pPr>
              <w:jc w:val="center"/>
              <w:rPr>
                <w:rFonts w:ascii="Arial" w:hAnsi="Arial" w:cs="Arial"/>
                <w:color w:val="000000" w:themeColor="text1"/>
                <w:sz w:val="18"/>
              </w:rPr>
            </w:pPr>
          </w:p>
        </w:tc>
        <w:tc>
          <w:tcPr>
            <w:tcW w:w="1105" w:type="dxa"/>
            <w:noWrap/>
            <w:hideMark/>
          </w:tcPr>
          <w:p w14:paraId="12E294EA" w14:textId="77777777" w:rsidR="003E65AA" w:rsidRPr="003E65AA" w:rsidRDefault="003E65AA" w:rsidP="00F363C3">
            <w:pPr>
              <w:jc w:val="center"/>
              <w:rPr>
                <w:rFonts w:ascii="Arial" w:hAnsi="Arial" w:cs="Arial"/>
                <w:color w:val="000000" w:themeColor="text1"/>
                <w:sz w:val="18"/>
              </w:rPr>
            </w:pPr>
          </w:p>
        </w:tc>
        <w:tc>
          <w:tcPr>
            <w:tcW w:w="993" w:type="dxa"/>
            <w:noWrap/>
            <w:hideMark/>
          </w:tcPr>
          <w:p w14:paraId="197782DE"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hideMark/>
          </w:tcPr>
          <w:p w14:paraId="18E4386C" w14:textId="77777777" w:rsidR="003E65AA" w:rsidRPr="003E65AA" w:rsidRDefault="003E65AA" w:rsidP="00F363C3">
            <w:pPr>
              <w:jc w:val="center"/>
              <w:rPr>
                <w:rFonts w:ascii="Arial" w:hAnsi="Arial" w:cs="Arial"/>
                <w:color w:val="000000" w:themeColor="text1"/>
                <w:sz w:val="18"/>
              </w:rPr>
            </w:pPr>
          </w:p>
        </w:tc>
        <w:tc>
          <w:tcPr>
            <w:tcW w:w="1417" w:type="dxa"/>
            <w:noWrap/>
            <w:hideMark/>
          </w:tcPr>
          <w:p w14:paraId="06553C70" w14:textId="77777777" w:rsidR="003E65AA" w:rsidRPr="003E65AA" w:rsidRDefault="003E65AA" w:rsidP="00F363C3">
            <w:pPr>
              <w:jc w:val="center"/>
              <w:rPr>
                <w:rFonts w:ascii="Arial" w:hAnsi="Arial" w:cs="Arial"/>
                <w:color w:val="000000" w:themeColor="text1"/>
                <w:sz w:val="18"/>
              </w:rPr>
            </w:pPr>
          </w:p>
        </w:tc>
        <w:tc>
          <w:tcPr>
            <w:tcW w:w="1389" w:type="dxa"/>
            <w:noWrap/>
            <w:hideMark/>
          </w:tcPr>
          <w:p w14:paraId="0EFC46D1" w14:textId="77777777" w:rsidR="003E65AA" w:rsidRPr="003E65AA" w:rsidRDefault="003E65AA" w:rsidP="00F363C3">
            <w:pPr>
              <w:jc w:val="center"/>
              <w:rPr>
                <w:rFonts w:ascii="Arial" w:hAnsi="Arial" w:cs="Arial"/>
                <w:color w:val="000000" w:themeColor="text1"/>
                <w:sz w:val="18"/>
              </w:rPr>
            </w:pPr>
          </w:p>
        </w:tc>
      </w:tr>
      <w:tr w:rsidR="003E65AA" w:rsidRPr="00376A7A" w14:paraId="63A89F76" w14:textId="77777777" w:rsidTr="000B7CBD">
        <w:trPr>
          <w:trHeight w:val="300"/>
        </w:trPr>
        <w:tc>
          <w:tcPr>
            <w:tcW w:w="1419" w:type="dxa"/>
            <w:noWrap/>
            <w:hideMark/>
          </w:tcPr>
          <w:p w14:paraId="4392C5D2"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TAE-21</w:t>
            </w:r>
          </w:p>
        </w:tc>
        <w:tc>
          <w:tcPr>
            <w:tcW w:w="1304" w:type="dxa"/>
            <w:noWrap/>
            <w:hideMark/>
          </w:tcPr>
          <w:p w14:paraId="70BBD0D8" w14:textId="77777777" w:rsidR="003E65AA" w:rsidRPr="003E65AA" w:rsidRDefault="003E65AA" w:rsidP="00F363C3">
            <w:pPr>
              <w:jc w:val="center"/>
              <w:rPr>
                <w:rFonts w:ascii="Arial" w:hAnsi="Arial" w:cs="Arial"/>
                <w:color w:val="000000" w:themeColor="text1"/>
                <w:sz w:val="18"/>
              </w:rPr>
            </w:pPr>
          </w:p>
        </w:tc>
        <w:tc>
          <w:tcPr>
            <w:tcW w:w="1105" w:type="dxa"/>
            <w:noWrap/>
            <w:hideMark/>
          </w:tcPr>
          <w:p w14:paraId="7047DA37" w14:textId="77777777" w:rsidR="003E65AA" w:rsidRPr="003E65AA" w:rsidRDefault="003E65AA" w:rsidP="00F363C3">
            <w:pPr>
              <w:jc w:val="center"/>
              <w:rPr>
                <w:rFonts w:ascii="Arial" w:hAnsi="Arial" w:cs="Arial"/>
                <w:color w:val="000000" w:themeColor="text1"/>
                <w:sz w:val="18"/>
              </w:rPr>
            </w:pPr>
          </w:p>
        </w:tc>
        <w:tc>
          <w:tcPr>
            <w:tcW w:w="993" w:type="dxa"/>
            <w:noWrap/>
            <w:hideMark/>
          </w:tcPr>
          <w:p w14:paraId="0F8B519E" w14:textId="0A1F807B" w:rsidR="003E65AA" w:rsidRPr="003E65AA" w:rsidRDefault="00D57F78" w:rsidP="00F363C3">
            <w:pPr>
              <w:jc w:val="center"/>
              <w:rPr>
                <w:rFonts w:ascii="Arial" w:hAnsi="Arial" w:cs="Arial"/>
                <w:color w:val="000000" w:themeColor="text1"/>
                <w:sz w:val="18"/>
              </w:rPr>
            </w:pPr>
            <w:r>
              <w:rPr>
                <w:rFonts w:ascii="Arial" w:hAnsi="Arial" w:cs="Arial"/>
                <w:color w:val="000000" w:themeColor="text1"/>
                <w:sz w:val="18"/>
              </w:rPr>
              <w:t>3</w:t>
            </w:r>
          </w:p>
        </w:tc>
        <w:tc>
          <w:tcPr>
            <w:tcW w:w="1588" w:type="dxa"/>
            <w:noWrap/>
            <w:hideMark/>
          </w:tcPr>
          <w:p w14:paraId="6EC6C195" w14:textId="405BB07D" w:rsidR="003E65AA" w:rsidRPr="003E65AA" w:rsidRDefault="00D57F78" w:rsidP="00F363C3">
            <w:pPr>
              <w:jc w:val="center"/>
              <w:rPr>
                <w:rFonts w:ascii="Arial" w:hAnsi="Arial" w:cs="Arial"/>
                <w:color w:val="000000" w:themeColor="text1"/>
                <w:sz w:val="18"/>
              </w:rPr>
            </w:pPr>
            <w:r>
              <w:rPr>
                <w:rFonts w:ascii="Arial" w:hAnsi="Arial" w:cs="Arial"/>
                <w:color w:val="000000" w:themeColor="text1"/>
                <w:sz w:val="18"/>
              </w:rPr>
              <w:t>3</w:t>
            </w:r>
          </w:p>
        </w:tc>
        <w:tc>
          <w:tcPr>
            <w:tcW w:w="1417" w:type="dxa"/>
            <w:noWrap/>
            <w:hideMark/>
          </w:tcPr>
          <w:p w14:paraId="59FD7141" w14:textId="77777777" w:rsidR="003E65AA" w:rsidRPr="003E65AA" w:rsidRDefault="003E65AA" w:rsidP="00F363C3">
            <w:pPr>
              <w:jc w:val="center"/>
              <w:rPr>
                <w:rFonts w:ascii="Arial" w:hAnsi="Arial" w:cs="Arial"/>
                <w:color w:val="000000" w:themeColor="text1"/>
                <w:sz w:val="18"/>
              </w:rPr>
            </w:pPr>
          </w:p>
        </w:tc>
        <w:tc>
          <w:tcPr>
            <w:tcW w:w="1389" w:type="dxa"/>
            <w:noWrap/>
            <w:hideMark/>
          </w:tcPr>
          <w:p w14:paraId="6AEEBBD4" w14:textId="77777777" w:rsidR="003E65AA" w:rsidRPr="003E65AA" w:rsidRDefault="003E65AA" w:rsidP="00F363C3">
            <w:pPr>
              <w:jc w:val="center"/>
              <w:rPr>
                <w:rFonts w:ascii="Arial" w:hAnsi="Arial" w:cs="Arial"/>
                <w:color w:val="000000" w:themeColor="text1"/>
                <w:sz w:val="18"/>
              </w:rPr>
            </w:pPr>
          </w:p>
        </w:tc>
      </w:tr>
      <w:tr w:rsidR="003E65AA" w:rsidRPr="00376A7A" w14:paraId="1C4BCF3C" w14:textId="77777777" w:rsidTr="000B7CBD">
        <w:trPr>
          <w:trHeight w:val="300"/>
        </w:trPr>
        <w:tc>
          <w:tcPr>
            <w:tcW w:w="1419" w:type="dxa"/>
            <w:noWrap/>
            <w:hideMark/>
          </w:tcPr>
          <w:p w14:paraId="56FA5DFD"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TAE-22</w:t>
            </w:r>
          </w:p>
        </w:tc>
        <w:tc>
          <w:tcPr>
            <w:tcW w:w="1304" w:type="dxa"/>
            <w:noWrap/>
            <w:hideMark/>
          </w:tcPr>
          <w:p w14:paraId="5DF490DE" w14:textId="77777777" w:rsidR="003E65AA" w:rsidRPr="003E65AA" w:rsidRDefault="003E65AA" w:rsidP="00F363C3">
            <w:pPr>
              <w:jc w:val="center"/>
              <w:rPr>
                <w:rFonts w:ascii="Arial" w:hAnsi="Arial" w:cs="Arial"/>
                <w:color w:val="000000" w:themeColor="text1"/>
                <w:sz w:val="18"/>
              </w:rPr>
            </w:pPr>
          </w:p>
        </w:tc>
        <w:tc>
          <w:tcPr>
            <w:tcW w:w="1105" w:type="dxa"/>
            <w:noWrap/>
            <w:hideMark/>
          </w:tcPr>
          <w:p w14:paraId="0A668C50" w14:textId="77777777" w:rsidR="003E65AA" w:rsidRPr="003E65AA" w:rsidRDefault="003E65AA" w:rsidP="00F363C3">
            <w:pPr>
              <w:jc w:val="center"/>
              <w:rPr>
                <w:rFonts w:ascii="Arial" w:hAnsi="Arial" w:cs="Arial"/>
                <w:color w:val="000000" w:themeColor="text1"/>
                <w:sz w:val="18"/>
              </w:rPr>
            </w:pPr>
          </w:p>
        </w:tc>
        <w:tc>
          <w:tcPr>
            <w:tcW w:w="993" w:type="dxa"/>
            <w:noWrap/>
            <w:hideMark/>
          </w:tcPr>
          <w:p w14:paraId="1B218F9D"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4</w:t>
            </w:r>
          </w:p>
        </w:tc>
        <w:tc>
          <w:tcPr>
            <w:tcW w:w="1588" w:type="dxa"/>
            <w:noWrap/>
            <w:hideMark/>
          </w:tcPr>
          <w:p w14:paraId="718F3680"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4</w:t>
            </w:r>
          </w:p>
        </w:tc>
        <w:tc>
          <w:tcPr>
            <w:tcW w:w="1417" w:type="dxa"/>
            <w:noWrap/>
            <w:hideMark/>
          </w:tcPr>
          <w:p w14:paraId="1E2ABCBF" w14:textId="77777777" w:rsidR="003E65AA" w:rsidRPr="003E65AA" w:rsidRDefault="003E65AA" w:rsidP="00F363C3">
            <w:pPr>
              <w:jc w:val="center"/>
              <w:rPr>
                <w:rFonts w:ascii="Arial" w:hAnsi="Arial" w:cs="Arial"/>
                <w:color w:val="000000" w:themeColor="text1"/>
                <w:sz w:val="18"/>
              </w:rPr>
            </w:pPr>
          </w:p>
        </w:tc>
        <w:tc>
          <w:tcPr>
            <w:tcW w:w="1389" w:type="dxa"/>
            <w:noWrap/>
            <w:hideMark/>
          </w:tcPr>
          <w:p w14:paraId="6897A2C2" w14:textId="77777777" w:rsidR="003E65AA" w:rsidRPr="003E65AA" w:rsidRDefault="003E65AA" w:rsidP="00F363C3">
            <w:pPr>
              <w:jc w:val="center"/>
              <w:rPr>
                <w:rFonts w:ascii="Arial" w:hAnsi="Arial" w:cs="Arial"/>
                <w:color w:val="000000" w:themeColor="text1"/>
                <w:sz w:val="18"/>
              </w:rPr>
            </w:pPr>
          </w:p>
        </w:tc>
      </w:tr>
      <w:tr w:rsidR="003E65AA" w:rsidRPr="00376A7A" w14:paraId="3D5EA74F" w14:textId="77777777" w:rsidTr="000B7CBD">
        <w:trPr>
          <w:trHeight w:val="300"/>
        </w:trPr>
        <w:tc>
          <w:tcPr>
            <w:tcW w:w="1419" w:type="dxa"/>
            <w:noWrap/>
            <w:hideMark/>
          </w:tcPr>
          <w:p w14:paraId="2359F3B6"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TAE-23</w:t>
            </w:r>
          </w:p>
        </w:tc>
        <w:tc>
          <w:tcPr>
            <w:tcW w:w="1304" w:type="dxa"/>
            <w:noWrap/>
            <w:hideMark/>
          </w:tcPr>
          <w:p w14:paraId="4CE74876" w14:textId="77777777" w:rsidR="003E65AA" w:rsidRPr="003E65AA" w:rsidRDefault="003E65AA" w:rsidP="00F363C3">
            <w:pPr>
              <w:jc w:val="center"/>
              <w:rPr>
                <w:rFonts w:ascii="Arial" w:hAnsi="Arial" w:cs="Arial"/>
                <w:color w:val="000000" w:themeColor="text1"/>
                <w:sz w:val="18"/>
              </w:rPr>
            </w:pPr>
          </w:p>
        </w:tc>
        <w:tc>
          <w:tcPr>
            <w:tcW w:w="1105" w:type="dxa"/>
            <w:noWrap/>
            <w:hideMark/>
          </w:tcPr>
          <w:p w14:paraId="5FD3AB4F" w14:textId="77777777" w:rsidR="003E65AA" w:rsidRPr="003E65AA" w:rsidRDefault="003E65AA" w:rsidP="00F363C3">
            <w:pPr>
              <w:jc w:val="center"/>
              <w:rPr>
                <w:rFonts w:ascii="Arial" w:hAnsi="Arial" w:cs="Arial"/>
                <w:color w:val="000000" w:themeColor="text1"/>
                <w:sz w:val="18"/>
              </w:rPr>
            </w:pPr>
          </w:p>
        </w:tc>
        <w:tc>
          <w:tcPr>
            <w:tcW w:w="993" w:type="dxa"/>
            <w:noWrap/>
            <w:hideMark/>
          </w:tcPr>
          <w:p w14:paraId="565FEABC"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6</w:t>
            </w:r>
          </w:p>
        </w:tc>
        <w:tc>
          <w:tcPr>
            <w:tcW w:w="1588" w:type="dxa"/>
            <w:noWrap/>
            <w:hideMark/>
          </w:tcPr>
          <w:p w14:paraId="38BD23DC" w14:textId="77777777" w:rsidR="003E65AA" w:rsidRPr="003E65AA" w:rsidRDefault="003E65AA" w:rsidP="00F363C3">
            <w:pPr>
              <w:jc w:val="center"/>
              <w:rPr>
                <w:rFonts w:ascii="Arial" w:hAnsi="Arial" w:cs="Arial"/>
                <w:color w:val="000000" w:themeColor="text1"/>
                <w:sz w:val="18"/>
              </w:rPr>
            </w:pPr>
          </w:p>
        </w:tc>
        <w:tc>
          <w:tcPr>
            <w:tcW w:w="1417" w:type="dxa"/>
            <w:noWrap/>
            <w:hideMark/>
          </w:tcPr>
          <w:p w14:paraId="4B158889" w14:textId="77777777" w:rsidR="003E65AA" w:rsidRPr="003E65AA" w:rsidRDefault="003E65AA" w:rsidP="00F363C3">
            <w:pPr>
              <w:jc w:val="center"/>
              <w:rPr>
                <w:rFonts w:ascii="Arial" w:hAnsi="Arial" w:cs="Arial"/>
                <w:color w:val="000000" w:themeColor="text1"/>
                <w:sz w:val="18"/>
              </w:rPr>
            </w:pPr>
          </w:p>
        </w:tc>
        <w:tc>
          <w:tcPr>
            <w:tcW w:w="1389" w:type="dxa"/>
            <w:noWrap/>
            <w:hideMark/>
          </w:tcPr>
          <w:p w14:paraId="1423D2E7" w14:textId="77777777" w:rsidR="003E65AA" w:rsidRPr="003E65AA" w:rsidRDefault="003E65AA" w:rsidP="00F363C3">
            <w:pPr>
              <w:jc w:val="center"/>
              <w:rPr>
                <w:rFonts w:ascii="Arial" w:hAnsi="Arial" w:cs="Arial"/>
                <w:color w:val="000000" w:themeColor="text1"/>
                <w:sz w:val="18"/>
              </w:rPr>
            </w:pPr>
          </w:p>
        </w:tc>
      </w:tr>
      <w:tr w:rsidR="003E65AA" w:rsidRPr="00376A7A" w14:paraId="3E9F57F8" w14:textId="77777777" w:rsidTr="000B7CBD">
        <w:trPr>
          <w:trHeight w:val="300"/>
        </w:trPr>
        <w:tc>
          <w:tcPr>
            <w:tcW w:w="1419" w:type="dxa"/>
            <w:noWrap/>
            <w:hideMark/>
          </w:tcPr>
          <w:p w14:paraId="73454ECC"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TAE-24</w:t>
            </w:r>
          </w:p>
        </w:tc>
        <w:tc>
          <w:tcPr>
            <w:tcW w:w="1304" w:type="dxa"/>
            <w:noWrap/>
            <w:hideMark/>
          </w:tcPr>
          <w:p w14:paraId="44ECE4CA" w14:textId="77777777" w:rsidR="003E65AA" w:rsidRPr="003E65AA" w:rsidRDefault="003E65AA" w:rsidP="00F363C3">
            <w:pPr>
              <w:jc w:val="center"/>
              <w:rPr>
                <w:rFonts w:ascii="Arial" w:hAnsi="Arial" w:cs="Arial"/>
                <w:color w:val="000000" w:themeColor="text1"/>
                <w:sz w:val="18"/>
              </w:rPr>
            </w:pPr>
          </w:p>
        </w:tc>
        <w:tc>
          <w:tcPr>
            <w:tcW w:w="1105" w:type="dxa"/>
            <w:noWrap/>
            <w:hideMark/>
          </w:tcPr>
          <w:p w14:paraId="4F11FCD0" w14:textId="77777777" w:rsidR="003E65AA" w:rsidRPr="003E65AA" w:rsidRDefault="003E65AA" w:rsidP="00F363C3">
            <w:pPr>
              <w:jc w:val="center"/>
              <w:rPr>
                <w:rFonts w:ascii="Arial" w:hAnsi="Arial" w:cs="Arial"/>
                <w:color w:val="000000" w:themeColor="text1"/>
                <w:sz w:val="18"/>
              </w:rPr>
            </w:pPr>
          </w:p>
        </w:tc>
        <w:tc>
          <w:tcPr>
            <w:tcW w:w="993" w:type="dxa"/>
            <w:noWrap/>
            <w:hideMark/>
          </w:tcPr>
          <w:p w14:paraId="001C92D4" w14:textId="4BD74BF7" w:rsidR="003E65AA" w:rsidRPr="003E65AA" w:rsidRDefault="00D57F78" w:rsidP="00F363C3">
            <w:pPr>
              <w:jc w:val="center"/>
              <w:rPr>
                <w:rFonts w:ascii="Arial" w:hAnsi="Arial" w:cs="Arial"/>
                <w:color w:val="000000" w:themeColor="text1"/>
                <w:sz w:val="18"/>
              </w:rPr>
            </w:pPr>
            <w:r>
              <w:rPr>
                <w:rFonts w:ascii="Arial" w:hAnsi="Arial" w:cs="Arial"/>
                <w:color w:val="000000" w:themeColor="text1"/>
                <w:sz w:val="18"/>
              </w:rPr>
              <w:t>3</w:t>
            </w:r>
          </w:p>
        </w:tc>
        <w:tc>
          <w:tcPr>
            <w:tcW w:w="1588" w:type="dxa"/>
            <w:noWrap/>
            <w:hideMark/>
          </w:tcPr>
          <w:p w14:paraId="63398BA1" w14:textId="188E77B1"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3</w:t>
            </w:r>
          </w:p>
        </w:tc>
        <w:tc>
          <w:tcPr>
            <w:tcW w:w="1417" w:type="dxa"/>
            <w:noWrap/>
            <w:hideMark/>
          </w:tcPr>
          <w:p w14:paraId="31AE9DAC" w14:textId="77777777" w:rsidR="003E65AA" w:rsidRPr="003E65AA" w:rsidRDefault="003E65AA" w:rsidP="00F363C3">
            <w:pPr>
              <w:jc w:val="center"/>
              <w:rPr>
                <w:rFonts w:ascii="Arial" w:hAnsi="Arial" w:cs="Arial"/>
                <w:color w:val="000000" w:themeColor="text1"/>
                <w:sz w:val="18"/>
              </w:rPr>
            </w:pPr>
          </w:p>
        </w:tc>
        <w:tc>
          <w:tcPr>
            <w:tcW w:w="1389" w:type="dxa"/>
            <w:noWrap/>
            <w:hideMark/>
          </w:tcPr>
          <w:p w14:paraId="12E38CDB" w14:textId="77777777" w:rsidR="003E65AA" w:rsidRPr="003E65AA" w:rsidRDefault="003E65AA" w:rsidP="00F363C3">
            <w:pPr>
              <w:rPr>
                <w:rFonts w:ascii="Arial" w:hAnsi="Arial" w:cs="Arial"/>
                <w:color w:val="000000" w:themeColor="text1"/>
                <w:sz w:val="18"/>
              </w:rPr>
            </w:pPr>
            <w:r w:rsidRPr="003E65AA">
              <w:rPr>
                <w:rFonts w:ascii="Arial" w:hAnsi="Arial" w:cs="Arial"/>
                <w:color w:val="000000" w:themeColor="text1"/>
                <w:sz w:val="18"/>
              </w:rPr>
              <w:t xml:space="preserve">　</w:t>
            </w:r>
          </w:p>
        </w:tc>
      </w:tr>
      <w:tr w:rsidR="003E65AA" w:rsidRPr="00376A7A" w14:paraId="0C410BFB" w14:textId="77777777" w:rsidTr="000B7CBD">
        <w:trPr>
          <w:trHeight w:val="300"/>
        </w:trPr>
        <w:tc>
          <w:tcPr>
            <w:tcW w:w="1419" w:type="dxa"/>
            <w:noWrap/>
            <w:hideMark/>
          </w:tcPr>
          <w:p w14:paraId="01FE9798"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TAE-25</w:t>
            </w:r>
          </w:p>
        </w:tc>
        <w:tc>
          <w:tcPr>
            <w:tcW w:w="1304" w:type="dxa"/>
            <w:noWrap/>
            <w:hideMark/>
          </w:tcPr>
          <w:p w14:paraId="1F0A552C" w14:textId="77777777" w:rsidR="003E65AA" w:rsidRPr="003E65AA" w:rsidRDefault="003E65AA" w:rsidP="00F363C3">
            <w:pPr>
              <w:jc w:val="center"/>
              <w:rPr>
                <w:rFonts w:ascii="Arial" w:hAnsi="Arial" w:cs="Arial"/>
                <w:color w:val="000000" w:themeColor="text1"/>
                <w:sz w:val="18"/>
              </w:rPr>
            </w:pPr>
          </w:p>
        </w:tc>
        <w:tc>
          <w:tcPr>
            <w:tcW w:w="1105" w:type="dxa"/>
            <w:noWrap/>
            <w:hideMark/>
          </w:tcPr>
          <w:p w14:paraId="6A72403E" w14:textId="77777777" w:rsidR="003E65AA" w:rsidRPr="003E65AA" w:rsidRDefault="003E65AA" w:rsidP="00F363C3">
            <w:pPr>
              <w:jc w:val="center"/>
              <w:rPr>
                <w:rFonts w:ascii="Arial" w:hAnsi="Arial" w:cs="Arial"/>
                <w:color w:val="000000" w:themeColor="text1"/>
                <w:sz w:val="18"/>
              </w:rPr>
            </w:pPr>
          </w:p>
        </w:tc>
        <w:tc>
          <w:tcPr>
            <w:tcW w:w="993" w:type="dxa"/>
            <w:noWrap/>
            <w:hideMark/>
          </w:tcPr>
          <w:p w14:paraId="3C177167"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hideMark/>
          </w:tcPr>
          <w:p w14:paraId="6A663EF4" w14:textId="77777777" w:rsidR="003E65AA" w:rsidRPr="003E65AA" w:rsidRDefault="003E65AA" w:rsidP="00F363C3">
            <w:pPr>
              <w:jc w:val="center"/>
              <w:rPr>
                <w:rFonts w:ascii="Arial" w:hAnsi="Arial" w:cs="Arial"/>
                <w:color w:val="000000" w:themeColor="text1"/>
                <w:sz w:val="18"/>
              </w:rPr>
            </w:pPr>
          </w:p>
        </w:tc>
        <w:tc>
          <w:tcPr>
            <w:tcW w:w="1417" w:type="dxa"/>
            <w:noWrap/>
            <w:hideMark/>
          </w:tcPr>
          <w:p w14:paraId="6F89FBDE" w14:textId="77777777" w:rsidR="003E65AA" w:rsidRPr="003E65AA" w:rsidRDefault="003E65AA" w:rsidP="00F363C3">
            <w:pPr>
              <w:jc w:val="center"/>
              <w:rPr>
                <w:rFonts w:ascii="Arial" w:hAnsi="Arial" w:cs="Arial"/>
                <w:color w:val="000000" w:themeColor="text1"/>
                <w:sz w:val="18"/>
              </w:rPr>
            </w:pPr>
          </w:p>
        </w:tc>
        <w:tc>
          <w:tcPr>
            <w:tcW w:w="1389" w:type="dxa"/>
            <w:noWrap/>
            <w:hideMark/>
          </w:tcPr>
          <w:p w14:paraId="1B905CB3" w14:textId="77777777" w:rsidR="003E65AA" w:rsidRPr="003E65AA" w:rsidRDefault="003E65AA" w:rsidP="00F363C3">
            <w:pPr>
              <w:rPr>
                <w:rFonts w:ascii="Arial" w:hAnsi="Arial" w:cs="Arial"/>
                <w:color w:val="000000" w:themeColor="text1"/>
                <w:sz w:val="18"/>
              </w:rPr>
            </w:pPr>
            <w:r w:rsidRPr="003E65AA">
              <w:rPr>
                <w:rFonts w:ascii="Arial" w:hAnsi="Arial" w:cs="Arial"/>
                <w:color w:val="000000" w:themeColor="text1"/>
                <w:sz w:val="18"/>
              </w:rPr>
              <w:t xml:space="preserve">　</w:t>
            </w:r>
          </w:p>
        </w:tc>
      </w:tr>
      <w:tr w:rsidR="003E65AA" w:rsidRPr="00376A7A" w14:paraId="38BA52D1" w14:textId="77777777" w:rsidTr="000B7CBD">
        <w:trPr>
          <w:trHeight w:val="300"/>
        </w:trPr>
        <w:tc>
          <w:tcPr>
            <w:tcW w:w="1419" w:type="dxa"/>
            <w:noWrap/>
            <w:hideMark/>
          </w:tcPr>
          <w:p w14:paraId="36756491"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TAE-26</w:t>
            </w:r>
          </w:p>
        </w:tc>
        <w:tc>
          <w:tcPr>
            <w:tcW w:w="1304" w:type="dxa"/>
            <w:noWrap/>
            <w:hideMark/>
          </w:tcPr>
          <w:p w14:paraId="509FD3FC" w14:textId="77777777" w:rsidR="003E65AA" w:rsidRPr="003E65AA" w:rsidRDefault="003E65AA" w:rsidP="00F363C3">
            <w:pPr>
              <w:jc w:val="center"/>
              <w:rPr>
                <w:rFonts w:ascii="Arial" w:hAnsi="Arial" w:cs="Arial"/>
                <w:color w:val="000000" w:themeColor="text1"/>
                <w:sz w:val="18"/>
              </w:rPr>
            </w:pPr>
          </w:p>
        </w:tc>
        <w:tc>
          <w:tcPr>
            <w:tcW w:w="1105" w:type="dxa"/>
            <w:noWrap/>
            <w:hideMark/>
          </w:tcPr>
          <w:p w14:paraId="1E944510" w14:textId="77777777" w:rsidR="003E65AA" w:rsidRPr="003E65AA" w:rsidRDefault="003E65AA" w:rsidP="00F363C3">
            <w:pPr>
              <w:jc w:val="center"/>
              <w:rPr>
                <w:rFonts w:ascii="Arial" w:hAnsi="Arial" w:cs="Arial"/>
                <w:color w:val="000000" w:themeColor="text1"/>
                <w:sz w:val="18"/>
              </w:rPr>
            </w:pPr>
          </w:p>
        </w:tc>
        <w:tc>
          <w:tcPr>
            <w:tcW w:w="993" w:type="dxa"/>
            <w:noWrap/>
            <w:hideMark/>
          </w:tcPr>
          <w:p w14:paraId="392A3A79"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hideMark/>
          </w:tcPr>
          <w:p w14:paraId="24120E9F" w14:textId="77777777" w:rsidR="003E65AA" w:rsidRPr="003E65AA" w:rsidRDefault="003E65AA" w:rsidP="00F363C3">
            <w:pPr>
              <w:jc w:val="center"/>
              <w:rPr>
                <w:rFonts w:ascii="Arial" w:hAnsi="Arial" w:cs="Arial"/>
                <w:color w:val="000000" w:themeColor="text1"/>
                <w:sz w:val="18"/>
              </w:rPr>
            </w:pPr>
          </w:p>
        </w:tc>
        <w:tc>
          <w:tcPr>
            <w:tcW w:w="1417" w:type="dxa"/>
            <w:noWrap/>
            <w:hideMark/>
          </w:tcPr>
          <w:p w14:paraId="63C7BB5B" w14:textId="77777777" w:rsidR="003E65AA" w:rsidRPr="003E65AA" w:rsidRDefault="003E65AA" w:rsidP="00F363C3">
            <w:pPr>
              <w:jc w:val="center"/>
              <w:rPr>
                <w:rFonts w:ascii="Arial" w:hAnsi="Arial" w:cs="Arial"/>
                <w:color w:val="000000" w:themeColor="text1"/>
                <w:sz w:val="18"/>
              </w:rPr>
            </w:pPr>
          </w:p>
        </w:tc>
        <w:tc>
          <w:tcPr>
            <w:tcW w:w="1389" w:type="dxa"/>
            <w:noWrap/>
            <w:hideMark/>
          </w:tcPr>
          <w:p w14:paraId="006B8AD9" w14:textId="77777777" w:rsidR="003E65AA" w:rsidRPr="003E65AA" w:rsidRDefault="003E65AA" w:rsidP="00F363C3">
            <w:pPr>
              <w:rPr>
                <w:rFonts w:ascii="Arial" w:hAnsi="Arial" w:cs="Arial"/>
                <w:color w:val="000000" w:themeColor="text1"/>
                <w:sz w:val="18"/>
              </w:rPr>
            </w:pPr>
            <w:r w:rsidRPr="003E65AA">
              <w:rPr>
                <w:rFonts w:ascii="Arial" w:hAnsi="Arial" w:cs="Arial"/>
                <w:color w:val="000000" w:themeColor="text1"/>
                <w:sz w:val="18"/>
              </w:rPr>
              <w:t xml:space="preserve">　</w:t>
            </w:r>
          </w:p>
        </w:tc>
      </w:tr>
      <w:tr w:rsidR="003E65AA" w:rsidRPr="00376A7A" w14:paraId="59044BF5" w14:textId="77777777" w:rsidTr="000B7CBD">
        <w:trPr>
          <w:trHeight w:val="300"/>
        </w:trPr>
        <w:tc>
          <w:tcPr>
            <w:tcW w:w="1419" w:type="dxa"/>
            <w:noWrap/>
            <w:hideMark/>
          </w:tcPr>
          <w:p w14:paraId="5F07E74E" w14:textId="77777777" w:rsidR="003E65AA" w:rsidRPr="003E65AA" w:rsidRDefault="003E65AA" w:rsidP="00F363C3">
            <w:pPr>
              <w:jc w:val="center"/>
              <w:rPr>
                <w:rFonts w:ascii="Arial" w:hAnsi="Arial" w:cs="Arial"/>
                <w:b/>
                <w:sz w:val="18"/>
                <w:szCs w:val="20"/>
              </w:rPr>
            </w:pPr>
            <w:r w:rsidRPr="003E65AA">
              <w:rPr>
                <w:rFonts w:ascii="Arial" w:hAnsi="Arial" w:cs="Arial"/>
                <w:b/>
                <w:sz w:val="18"/>
                <w:szCs w:val="20"/>
              </w:rPr>
              <w:t>TAE-27</w:t>
            </w:r>
          </w:p>
        </w:tc>
        <w:tc>
          <w:tcPr>
            <w:tcW w:w="1304" w:type="dxa"/>
            <w:noWrap/>
            <w:hideMark/>
          </w:tcPr>
          <w:p w14:paraId="4D41764C" w14:textId="77777777" w:rsidR="003E65AA" w:rsidRPr="003E65AA" w:rsidRDefault="003E65AA" w:rsidP="00F363C3">
            <w:pPr>
              <w:jc w:val="center"/>
              <w:rPr>
                <w:rFonts w:ascii="Arial" w:hAnsi="Arial" w:cs="Arial"/>
                <w:color w:val="000000" w:themeColor="text1"/>
                <w:sz w:val="18"/>
              </w:rPr>
            </w:pPr>
          </w:p>
        </w:tc>
        <w:tc>
          <w:tcPr>
            <w:tcW w:w="1105" w:type="dxa"/>
            <w:noWrap/>
            <w:hideMark/>
          </w:tcPr>
          <w:p w14:paraId="63642F14" w14:textId="77777777" w:rsidR="003E65AA" w:rsidRPr="003E65AA" w:rsidRDefault="003E65AA" w:rsidP="00F363C3">
            <w:pPr>
              <w:jc w:val="center"/>
              <w:rPr>
                <w:rFonts w:ascii="Arial" w:hAnsi="Arial" w:cs="Arial"/>
                <w:color w:val="000000" w:themeColor="text1"/>
                <w:sz w:val="18"/>
              </w:rPr>
            </w:pPr>
          </w:p>
        </w:tc>
        <w:tc>
          <w:tcPr>
            <w:tcW w:w="993" w:type="dxa"/>
            <w:noWrap/>
            <w:hideMark/>
          </w:tcPr>
          <w:p w14:paraId="156EFA92"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588" w:type="dxa"/>
            <w:noWrap/>
            <w:hideMark/>
          </w:tcPr>
          <w:p w14:paraId="5D8F6085" w14:textId="77777777" w:rsidR="003E65AA" w:rsidRPr="003E65AA" w:rsidRDefault="003E65AA" w:rsidP="00F363C3">
            <w:pPr>
              <w:jc w:val="center"/>
              <w:rPr>
                <w:rFonts w:ascii="Arial" w:hAnsi="Arial" w:cs="Arial"/>
                <w:color w:val="000000" w:themeColor="text1"/>
                <w:sz w:val="18"/>
              </w:rPr>
            </w:pPr>
            <w:r w:rsidRPr="003E65AA">
              <w:rPr>
                <w:rFonts w:ascii="Arial" w:hAnsi="Arial" w:cs="Arial"/>
                <w:color w:val="000000" w:themeColor="text1"/>
                <w:sz w:val="18"/>
              </w:rPr>
              <w:t>2</w:t>
            </w:r>
          </w:p>
        </w:tc>
        <w:tc>
          <w:tcPr>
            <w:tcW w:w="1417" w:type="dxa"/>
            <w:noWrap/>
            <w:hideMark/>
          </w:tcPr>
          <w:p w14:paraId="6076B1F8" w14:textId="77777777" w:rsidR="003E65AA" w:rsidRPr="003E65AA" w:rsidRDefault="003E65AA" w:rsidP="00F363C3">
            <w:pPr>
              <w:jc w:val="center"/>
              <w:rPr>
                <w:rFonts w:ascii="Arial" w:hAnsi="Arial" w:cs="Arial"/>
                <w:color w:val="000000" w:themeColor="text1"/>
                <w:sz w:val="18"/>
              </w:rPr>
            </w:pPr>
          </w:p>
        </w:tc>
        <w:tc>
          <w:tcPr>
            <w:tcW w:w="1389" w:type="dxa"/>
            <w:noWrap/>
            <w:hideMark/>
          </w:tcPr>
          <w:p w14:paraId="44966743" w14:textId="77777777" w:rsidR="003E65AA" w:rsidRPr="003E65AA" w:rsidRDefault="003E65AA" w:rsidP="00F363C3">
            <w:pPr>
              <w:rPr>
                <w:rFonts w:ascii="Arial" w:hAnsi="Arial" w:cs="Arial"/>
                <w:color w:val="000000" w:themeColor="text1"/>
                <w:sz w:val="18"/>
              </w:rPr>
            </w:pPr>
            <w:r w:rsidRPr="003E65AA">
              <w:rPr>
                <w:rFonts w:ascii="Arial" w:hAnsi="Arial" w:cs="Arial"/>
                <w:color w:val="000000" w:themeColor="text1"/>
                <w:sz w:val="18"/>
              </w:rPr>
              <w:t xml:space="preserve">　</w:t>
            </w:r>
          </w:p>
        </w:tc>
      </w:tr>
    </w:tbl>
    <w:p w14:paraId="01E31D70" w14:textId="77777777" w:rsidR="00ED7B54" w:rsidRDefault="00ED7B54" w:rsidP="00ED7B54">
      <w:pPr>
        <w:rPr>
          <w:rFonts w:ascii="Arial" w:hAnsi="Arial" w:cs="Arial"/>
          <w:b/>
          <w:bCs/>
          <w:sz w:val="24"/>
        </w:rPr>
      </w:pPr>
    </w:p>
    <w:p w14:paraId="5A3E6424" w14:textId="1E62C6F6" w:rsidR="00ED7B54" w:rsidRPr="00E418B1" w:rsidRDefault="00340D87" w:rsidP="00ED7B54">
      <w:pPr>
        <w:rPr>
          <w:rFonts w:ascii="Arial" w:hAnsi="Arial" w:cs="Arial"/>
          <w:b/>
          <w:bCs/>
          <w:sz w:val="24"/>
        </w:rPr>
      </w:pPr>
      <w:r w:rsidRPr="00340D87">
        <w:rPr>
          <w:rFonts w:ascii="Arial" w:hAnsi="Arial" w:cs="Arial"/>
          <w:b/>
          <w:bCs/>
          <w:sz w:val="24"/>
        </w:rPr>
        <w:t xml:space="preserve">Supplementary </w:t>
      </w:r>
      <w:r w:rsidR="00ED7B54" w:rsidRPr="00E418B1">
        <w:rPr>
          <w:rFonts w:ascii="Arial" w:hAnsi="Arial" w:cs="Arial"/>
          <w:b/>
          <w:bCs/>
          <w:sz w:val="24"/>
        </w:rPr>
        <w:t xml:space="preserve">Table </w:t>
      </w:r>
      <w:r w:rsidR="00ED7B54">
        <w:rPr>
          <w:rFonts w:ascii="Arial" w:hAnsi="Arial" w:cs="Arial"/>
          <w:b/>
          <w:bCs/>
          <w:sz w:val="24"/>
        </w:rPr>
        <w:t>2</w:t>
      </w:r>
      <w:r w:rsidR="00ED7B54" w:rsidRPr="00E418B1">
        <w:rPr>
          <w:rFonts w:ascii="Arial" w:hAnsi="Arial" w:cs="Arial"/>
          <w:b/>
          <w:bCs/>
          <w:sz w:val="24"/>
        </w:rPr>
        <w:t>.</w:t>
      </w:r>
      <w:r w:rsidR="00ED7B54" w:rsidRPr="00E418B1">
        <w:rPr>
          <w:rFonts w:ascii="Arial" w:hAnsi="Arial" w:cs="Arial"/>
          <w:b/>
          <w:color w:val="1C1D1E"/>
          <w:sz w:val="24"/>
          <w:shd w:val="clear" w:color="auto" w:fill="FFFFFF"/>
        </w:rPr>
        <w:t xml:space="preserve"> Response to </w:t>
      </w:r>
      <w:r w:rsidR="00ED7B54" w:rsidRPr="00E418B1">
        <w:rPr>
          <w:rFonts w:ascii="Arial" w:hAnsi="Arial" w:cs="Arial"/>
          <w:b/>
          <w:sz w:val="24"/>
        </w:rPr>
        <w:t xml:space="preserve">autologous </w:t>
      </w:r>
      <w:proofErr w:type="spellStart"/>
      <w:r w:rsidR="00ED7B54" w:rsidRPr="00E418B1">
        <w:rPr>
          <w:rFonts w:ascii="Arial" w:hAnsi="Arial" w:cs="Arial"/>
          <w:b/>
          <w:sz w:val="24"/>
        </w:rPr>
        <w:t>iNKT</w:t>
      </w:r>
      <w:proofErr w:type="spellEnd"/>
      <w:r w:rsidR="00ED7B54" w:rsidRPr="00E418B1">
        <w:rPr>
          <w:rFonts w:ascii="Arial" w:hAnsi="Arial" w:cs="Arial"/>
          <w:b/>
          <w:sz w:val="24"/>
        </w:rPr>
        <w:t xml:space="preserve"> cell infusion</w:t>
      </w:r>
      <w:bookmarkStart w:id="1" w:name="_Hlk100310166"/>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444"/>
        <w:gridCol w:w="1591"/>
        <w:gridCol w:w="1550"/>
        <w:gridCol w:w="1721"/>
      </w:tblGrid>
      <w:tr w:rsidR="00ED7B54" w:rsidRPr="00E418B1" w14:paraId="229A5E52" w14:textId="77777777" w:rsidTr="00675C4E">
        <w:trPr>
          <w:trHeight w:val="510"/>
        </w:trPr>
        <w:tc>
          <w:tcPr>
            <w:tcW w:w="2073" w:type="pct"/>
            <w:tcBorders>
              <w:top w:val="single" w:sz="4" w:space="0" w:color="auto"/>
              <w:bottom w:val="single" w:sz="4" w:space="0" w:color="auto"/>
            </w:tcBorders>
            <w:tcMar>
              <w:top w:w="15" w:type="dxa"/>
              <w:left w:w="15" w:type="dxa"/>
              <w:bottom w:w="0" w:type="dxa"/>
              <w:right w:w="15" w:type="dxa"/>
            </w:tcMar>
            <w:vAlign w:val="center"/>
          </w:tcPr>
          <w:bookmarkEnd w:id="1"/>
          <w:p w14:paraId="26949937" w14:textId="77777777" w:rsidR="00ED7B54" w:rsidRPr="00A13D65" w:rsidRDefault="00ED7B54" w:rsidP="00675C4E">
            <w:pPr>
              <w:rPr>
                <w:rFonts w:ascii="Arial" w:hAnsi="Arial" w:cs="Arial"/>
                <w:b/>
                <w:sz w:val="20"/>
                <w:szCs w:val="20"/>
              </w:rPr>
            </w:pPr>
            <w:r w:rsidRPr="00A13D65">
              <w:rPr>
                <w:rFonts w:ascii="Arial" w:hAnsi="Arial" w:cs="Arial"/>
                <w:b/>
                <w:sz w:val="20"/>
                <w:szCs w:val="20"/>
              </w:rPr>
              <w:t>Variable</w:t>
            </w:r>
          </w:p>
        </w:tc>
        <w:tc>
          <w:tcPr>
            <w:tcW w:w="958" w:type="pct"/>
            <w:tcBorders>
              <w:top w:val="single" w:sz="4" w:space="0" w:color="auto"/>
              <w:bottom w:val="single" w:sz="4" w:space="0" w:color="auto"/>
            </w:tcBorders>
            <w:tcMar>
              <w:top w:w="15" w:type="dxa"/>
              <w:left w:w="15" w:type="dxa"/>
              <w:bottom w:w="0" w:type="dxa"/>
              <w:right w:w="15" w:type="dxa"/>
            </w:tcMar>
            <w:vAlign w:val="center"/>
          </w:tcPr>
          <w:p w14:paraId="2DC6882E" w14:textId="77777777" w:rsidR="00ED7B54" w:rsidRPr="00A13D65" w:rsidRDefault="00ED7B54" w:rsidP="00675C4E">
            <w:pPr>
              <w:rPr>
                <w:rFonts w:ascii="Arial" w:hAnsi="Arial" w:cs="Arial"/>
                <w:b/>
                <w:sz w:val="20"/>
                <w:szCs w:val="20"/>
              </w:rPr>
            </w:pPr>
            <w:r w:rsidRPr="00A13D65">
              <w:rPr>
                <w:rFonts w:ascii="Arial" w:hAnsi="Arial" w:cs="Arial"/>
                <w:b/>
                <w:sz w:val="20"/>
                <w:szCs w:val="20"/>
              </w:rPr>
              <w:t>TAE–</w:t>
            </w:r>
            <w:proofErr w:type="spellStart"/>
            <w:r w:rsidRPr="00A13D65">
              <w:rPr>
                <w:rFonts w:ascii="Arial" w:hAnsi="Arial" w:cs="Arial"/>
                <w:b/>
                <w:sz w:val="20"/>
                <w:szCs w:val="20"/>
              </w:rPr>
              <w:t>iNKT</w:t>
            </w:r>
            <w:proofErr w:type="spellEnd"/>
            <w:r w:rsidRPr="00A13D65">
              <w:rPr>
                <w:rFonts w:ascii="Arial" w:hAnsi="Arial" w:cs="Arial"/>
                <w:b/>
                <w:sz w:val="20"/>
                <w:szCs w:val="20"/>
              </w:rPr>
              <w:t xml:space="preserve"> </w:t>
            </w:r>
          </w:p>
          <w:p w14:paraId="34632534" w14:textId="77777777" w:rsidR="00ED7B54" w:rsidRPr="00A13D65" w:rsidRDefault="00ED7B54" w:rsidP="00675C4E">
            <w:pPr>
              <w:rPr>
                <w:rFonts w:ascii="Arial" w:hAnsi="Arial" w:cs="Arial"/>
                <w:b/>
                <w:sz w:val="20"/>
                <w:szCs w:val="20"/>
              </w:rPr>
            </w:pPr>
            <w:r w:rsidRPr="00A13D65">
              <w:rPr>
                <w:rFonts w:ascii="Arial" w:hAnsi="Arial" w:cs="Arial"/>
                <w:b/>
                <w:sz w:val="20"/>
                <w:szCs w:val="20"/>
              </w:rPr>
              <w:t>(N = 27)</w:t>
            </w:r>
          </w:p>
        </w:tc>
        <w:tc>
          <w:tcPr>
            <w:tcW w:w="933" w:type="pct"/>
            <w:tcBorders>
              <w:top w:val="single" w:sz="4" w:space="0" w:color="auto"/>
              <w:bottom w:val="single" w:sz="4" w:space="0" w:color="auto"/>
            </w:tcBorders>
            <w:tcMar>
              <w:top w:w="15" w:type="dxa"/>
              <w:left w:w="15" w:type="dxa"/>
              <w:bottom w:w="0" w:type="dxa"/>
              <w:right w:w="15" w:type="dxa"/>
            </w:tcMar>
            <w:vAlign w:val="center"/>
          </w:tcPr>
          <w:p w14:paraId="5A970339" w14:textId="77777777" w:rsidR="00ED7B54" w:rsidRPr="00A13D65" w:rsidRDefault="00ED7B54" w:rsidP="00675C4E">
            <w:pPr>
              <w:rPr>
                <w:rFonts w:ascii="Arial" w:hAnsi="Arial" w:cs="Arial"/>
                <w:b/>
                <w:sz w:val="20"/>
                <w:szCs w:val="20"/>
              </w:rPr>
            </w:pPr>
            <w:r w:rsidRPr="00A13D65">
              <w:rPr>
                <w:rFonts w:ascii="Arial" w:hAnsi="Arial" w:cs="Arial"/>
                <w:b/>
                <w:sz w:val="20"/>
                <w:szCs w:val="20"/>
              </w:rPr>
              <w:t>TAE (N = 27)</w:t>
            </w:r>
          </w:p>
        </w:tc>
        <w:tc>
          <w:tcPr>
            <w:tcW w:w="1036" w:type="pct"/>
            <w:tcBorders>
              <w:top w:val="single" w:sz="4" w:space="0" w:color="auto"/>
              <w:bottom w:val="single" w:sz="4" w:space="0" w:color="auto"/>
            </w:tcBorders>
            <w:tcMar>
              <w:top w:w="15" w:type="dxa"/>
              <w:left w:w="15" w:type="dxa"/>
              <w:bottom w:w="0" w:type="dxa"/>
              <w:right w:w="15" w:type="dxa"/>
            </w:tcMar>
            <w:vAlign w:val="center"/>
          </w:tcPr>
          <w:p w14:paraId="6E63788C" w14:textId="77777777" w:rsidR="00ED7B54" w:rsidRPr="00A13D65" w:rsidRDefault="00ED7B54" w:rsidP="00675C4E">
            <w:pPr>
              <w:rPr>
                <w:rFonts w:ascii="Arial" w:hAnsi="Arial" w:cs="Arial"/>
                <w:b/>
                <w:sz w:val="20"/>
                <w:szCs w:val="20"/>
              </w:rPr>
            </w:pPr>
            <w:r w:rsidRPr="00A13D65">
              <w:rPr>
                <w:rFonts w:ascii="Arial" w:hAnsi="Arial" w:cs="Arial"/>
                <w:b/>
                <w:sz w:val="20"/>
                <w:szCs w:val="20"/>
              </w:rPr>
              <w:t>Difference</w:t>
            </w:r>
          </w:p>
          <w:p w14:paraId="791480B3" w14:textId="77777777" w:rsidR="00ED7B54" w:rsidRPr="00A13D65" w:rsidRDefault="00ED7B54" w:rsidP="00675C4E">
            <w:pPr>
              <w:rPr>
                <w:rFonts w:ascii="Arial" w:hAnsi="Arial" w:cs="Arial"/>
                <w:b/>
                <w:sz w:val="20"/>
                <w:szCs w:val="20"/>
              </w:rPr>
            </w:pPr>
            <w:r w:rsidRPr="00A13D65">
              <w:rPr>
                <w:rFonts w:ascii="Arial" w:hAnsi="Arial" w:cs="Arial"/>
                <w:b/>
                <w:sz w:val="20"/>
                <w:szCs w:val="20"/>
              </w:rPr>
              <w:t xml:space="preserve"> (P Value)</w:t>
            </w:r>
          </w:p>
        </w:tc>
      </w:tr>
      <w:tr w:rsidR="00ED7B54" w:rsidRPr="00E418B1" w14:paraId="633B42E6" w14:textId="77777777" w:rsidTr="00675C4E">
        <w:trPr>
          <w:trHeight w:val="510"/>
        </w:trPr>
        <w:tc>
          <w:tcPr>
            <w:tcW w:w="2073" w:type="pct"/>
            <w:tcBorders>
              <w:top w:val="single" w:sz="4" w:space="0" w:color="auto"/>
            </w:tcBorders>
            <w:tcMar>
              <w:top w:w="15" w:type="dxa"/>
              <w:left w:w="15" w:type="dxa"/>
              <w:bottom w:w="0" w:type="dxa"/>
              <w:right w:w="15" w:type="dxa"/>
            </w:tcMar>
            <w:vAlign w:val="center"/>
          </w:tcPr>
          <w:p w14:paraId="17213D0B" w14:textId="77777777" w:rsidR="00ED7B54" w:rsidRPr="00A13D65" w:rsidRDefault="00ED7B54" w:rsidP="00675C4E">
            <w:pPr>
              <w:rPr>
                <w:rFonts w:ascii="Arial" w:hAnsi="Arial" w:cs="Arial"/>
                <w:b/>
                <w:sz w:val="20"/>
                <w:szCs w:val="20"/>
                <w:lang w:val="pt-BR"/>
              </w:rPr>
            </w:pPr>
            <w:r w:rsidRPr="00A13D65">
              <w:rPr>
                <w:rFonts w:ascii="Arial" w:hAnsi="Arial" w:cs="Arial"/>
                <w:b/>
                <w:sz w:val="20"/>
                <w:szCs w:val="20"/>
                <w:lang w:val="pt-BR"/>
              </w:rPr>
              <w:t xml:space="preserve">Confirmed objective response, </w:t>
            </w:r>
          </w:p>
          <w:p w14:paraId="712F8CE2" w14:textId="77777777" w:rsidR="00ED7B54" w:rsidRPr="00A13D65" w:rsidRDefault="00ED7B54" w:rsidP="00675C4E">
            <w:pPr>
              <w:rPr>
                <w:rFonts w:ascii="Arial" w:hAnsi="Arial" w:cs="Arial"/>
                <w:b/>
                <w:sz w:val="20"/>
                <w:szCs w:val="20"/>
              </w:rPr>
            </w:pPr>
            <w:r w:rsidRPr="00A13D65">
              <w:rPr>
                <w:rFonts w:ascii="Arial" w:hAnsi="Arial" w:cs="Arial"/>
                <w:b/>
                <w:sz w:val="20"/>
                <w:szCs w:val="20"/>
                <w:lang w:val="pt-BR"/>
              </w:rPr>
              <w:t>N (% [95% CI])</w:t>
            </w:r>
          </w:p>
        </w:tc>
        <w:tc>
          <w:tcPr>
            <w:tcW w:w="958" w:type="pct"/>
            <w:tcBorders>
              <w:top w:val="single" w:sz="4" w:space="0" w:color="auto"/>
            </w:tcBorders>
            <w:tcMar>
              <w:top w:w="15" w:type="dxa"/>
              <w:left w:w="15" w:type="dxa"/>
              <w:bottom w:w="0" w:type="dxa"/>
              <w:right w:w="15" w:type="dxa"/>
            </w:tcMar>
            <w:vAlign w:val="center"/>
          </w:tcPr>
          <w:p w14:paraId="483CBBA7" w14:textId="77777777" w:rsidR="00ED7B54" w:rsidRPr="00E418B1" w:rsidRDefault="00ED7B54" w:rsidP="00675C4E">
            <w:pPr>
              <w:rPr>
                <w:rFonts w:ascii="Arial" w:hAnsi="Arial" w:cs="Arial"/>
                <w:sz w:val="20"/>
                <w:szCs w:val="20"/>
              </w:rPr>
            </w:pPr>
            <w:r w:rsidRPr="00E418B1">
              <w:rPr>
                <w:rFonts w:ascii="Arial" w:hAnsi="Arial" w:cs="Arial"/>
                <w:sz w:val="20"/>
                <w:szCs w:val="20"/>
              </w:rPr>
              <w:t>14 (5</w:t>
            </w:r>
            <w:r>
              <w:rPr>
                <w:rFonts w:ascii="Arial" w:hAnsi="Arial" w:cs="Arial"/>
                <w:sz w:val="20"/>
                <w:szCs w:val="20"/>
              </w:rPr>
              <w:t>2</w:t>
            </w:r>
            <w:r w:rsidRPr="00E418B1">
              <w:rPr>
                <w:rFonts w:ascii="Arial" w:hAnsi="Arial" w:cs="Arial"/>
                <w:sz w:val="20"/>
                <w:szCs w:val="20"/>
              </w:rPr>
              <w:t xml:space="preserve"> </w:t>
            </w:r>
          </w:p>
          <w:p w14:paraId="5CF7D1C1" w14:textId="77777777" w:rsidR="00ED7B54" w:rsidRPr="00E418B1" w:rsidRDefault="00ED7B54" w:rsidP="00675C4E">
            <w:pPr>
              <w:rPr>
                <w:rFonts w:ascii="Arial" w:hAnsi="Arial" w:cs="Arial"/>
                <w:sz w:val="20"/>
                <w:szCs w:val="20"/>
              </w:rPr>
            </w:pPr>
            <w:r w:rsidRPr="00E418B1">
              <w:rPr>
                <w:rFonts w:ascii="Arial" w:hAnsi="Arial" w:cs="Arial"/>
                <w:sz w:val="20"/>
                <w:szCs w:val="20"/>
              </w:rPr>
              <w:t>[33.98–69.26])</w:t>
            </w:r>
          </w:p>
        </w:tc>
        <w:tc>
          <w:tcPr>
            <w:tcW w:w="933" w:type="pct"/>
            <w:tcBorders>
              <w:top w:val="single" w:sz="4" w:space="0" w:color="auto"/>
            </w:tcBorders>
            <w:tcMar>
              <w:top w:w="15" w:type="dxa"/>
              <w:left w:w="15" w:type="dxa"/>
              <w:bottom w:w="0" w:type="dxa"/>
              <w:right w:w="15" w:type="dxa"/>
            </w:tcMar>
            <w:vAlign w:val="center"/>
          </w:tcPr>
          <w:p w14:paraId="2A36BC05" w14:textId="77777777" w:rsidR="00ED7B54" w:rsidRPr="00E418B1" w:rsidRDefault="00ED7B54" w:rsidP="00675C4E">
            <w:pPr>
              <w:rPr>
                <w:rFonts w:ascii="Arial" w:hAnsi="Arial" w:cs="Arial"/>
                <w:sz w:val="20"/>
                <w:szCs w:val="20"/>
              </w:rPr>
            </w:pPr>
            <w:r w:rsidRPr="00E418B1">
              <w:rPr>
                <w:rFonts w:ascii="Arial" w:hAnsi="Arial" w:cs="Arial"/>
                <w:sz w:val="20"/>
                <w:szCs w:val="20"/>
              </w:rPr>
              <w:t xml:space="preserve">3 (11 </w:t>
            </w:r>
          </w:p>
          <w:p w14:paraId="10D7DCAB" w14:textId="77777777" w:rsidR="00ED7B54" w:rsidRPr="00E418B1" w:rsidRDefault="00ED7B54" w:rsidP="00675C4E">
            <w:pPr>
              <w:rPr>
                <w:rFonts w:ascii="Arial" w:hAnsi="Arial" w:cs="Arial"/>
                <w:sz w:val="20"/>
                <w:szCs w:val="20"/>
              </w:rPr>
            </w:pPr>
            <w:r w:rsidRPr="00E418B1">
              <w:rPr>
                <w:rFonts w:ascii="Arial" w:hAnsi="Arial" w:cs="Arial"/>
                <w:sz w:val="20"/>
                <w:szCs w:val="20"/>
              </w:rPr>
              <w:t>[3.03–28.88])</w:t>
            </w:r>
          </w:p>
        </w:tc>
        <w:tc>
          <w:tcPr>
            <w:tcW w:w="1036" w:type="pct"/>
            <w:tcBorders>
              <w:top w:val="single" w:sz="4" w:space="0" w:color="auto"/>
            </w:tcBorders>
            <w:tcMar>
              <w:top w:w="15" w:type="dxa"/>
              <w:left w:w="15" w:type="dxa"/>
              <w:bottom w:w="0" w:type="dxa"/>
              <w:right w:w="15" w:type="dxa"/>
            </w:tcMar>
            <w:vAlign w:val="center"/>
          </w:tcPr>
          <w:p w14:paraId="44393F39" w14:textId="77777777" w:rsidR="00ED7B54" w:rsidRPr="00E418B1" w:rsidRDefault="00ED7B54" w:rsidP="00675C4E">
            <w:pPr>
              <w:rPr>
                <w:rFonts w:ascii="Arial" w:hAnsi="Arial" w:cs="Arial"/>
                <w:sz w:val="20"/>
                <w:szCs w:val="20"/>
              </w:rPr>
            </w:pPr>
            <w:r w:rsidRPr="00E418B1">
              <w:rPr>
                <w:rFonts w:ascii="Arial" w:hAnsi="Arial" w:cs="Arial"/>
                <w:sz w:val="20"/>
                <w:szCs w:val="20"/>
              </w:rPr>
              <w:t>4</w:t>
            </w:r>
            <w:r>
              <w:rPr>
                <w:rFonts w:ascii="Arial" w:hAnsi="Arial" w:cs="Arial"/>
                <w:sz w:val="20"/>
                <w:szCs w:val="20"/>
              </w:rPr>
              <w:t>1</w:t>
            </w:r>
            <w:r w:rsidRPr="00E418B1">
              <w:rPr>
                <w:rFonts w:ascii="Arial" w:hAnsi="Arial" w:cs="Arial"/>
                <w:sz w:val="20"/>
                <w:szCs w:val="20"/>
              </w:rPr>
              <w:t xml:space="preserve"> (P=</w:t>
            </w:r>
            <w:r>
              <w:rPr>
                <w:rFonts w:ascii="Arial" w:hAnsi="Arial" w:cs="Arial"/>
                <w:sz w:val="20"/>
                <w:szCs w:val="20"/>
              </w:rPr>
              <w:t xml:space="preserve"> </w:t>
            </w:r>
            <w:r w:rsidRPr="00E418B1">
              <w:rPr>
                <w:rFonts w:ascii="Arial" w:hAnsi="Arial" w:cs="Arial"/>
                <w:sz w:val="20"/>
                <w:szCs w:val="20"/>
              </w:rPr>
              <w:t>.00</w:t>
            </w:r>
            <w:r>
              <w:rPr>
                <w:rFonts w:ascii="Arial" w:hAnsi="Arial" w:cs="Arial"/>
                <w:sz w:val="20"/>
                <w:szCs w:val="20"/>
              </w:rPr>
              <w:t>3</w:t>
            </w:r>
            <w:r w:rsidRPr="00E418B1">
              <w:rPr>
                <w:rFonts w:ascii="Arial" w:hAnsi="Arial" w:cs="Arial"/>
                <w:sz w:val="20"/>
                <w:szCs w:val="20"/>
              </w:rPr>
              <w:t>）</w:t>
            </w:r>
          </w:p>
        </w:tc>
      </w:tr>
      <w:tr w:rsidR="00ED7B54" w:rsidRPr="00E418B1" w14:paraId="5675172D" w14:textId="77777777" w:rsidTr="00675C4E">
        <w:trPr>
          <w:trHeight w:val="510"/>
        </w:trPr>
        <w:tc>
          <w:tcPr>
            <w:tcW w:w="2073" w:type="pct"/>
            <w:tcMar>
              <w:top w:w="15" w:type="dxa"/>
              <w:left w:w="15" w:type="dxa"/>
              <w:bottom w:w="0" w:type="dxa"/>
              <w:right w:w="15" w:type="dxa"/>
            </w:tcMar>
            <w:vAlign w:val="center"/>
          </w:tcPr>
          <w:p w14:paraId="73825F8C" w14:textId="77777777" w:rsidR="00ED7B54" w:rsidRPr="00A13D65" w:rsidRDefault="00ED7B54" w:rsidP="00675C4E">
            <w:pPr>
              <w:rPr>
                <w:rFonts w:ascii="Arial" w:hAnsi="Arial" w:cs="Arial"/>
                <w:b/>
                <w:sz w:val="20"/>
                <w:szCs w:val="20"/>
              </w:rPr>
            </w:pPr>
            <w:r w:rsidRPr="00A13D65">
              <w:rPr>
                <w:rFonts w:ascii="Arial" w:hAnsi="Arial" w:cs="Arial"/>
                <w:b/>
                <w:sz w:val="20"/>
                <w:szCs w:val="20"/>
              </w:rPr>
              <w:t>Complete response</w:t>
            </w:r>
            <w:r w:rsidRPr="00A13D65">
              <w:rPr>
                <w:rFonts w:ascii="Arial" w:hAnsi="Arial" w:cs="Arial"/>
                <w:b/>
                <w:sz w:val="20"/>
                <w:szCs w:val="20"/>
                <w:lang w:val="pt-BR"/>
              </w:rPr>
              <w:t>, N</w:t>
            </w:r>
            <w:r w:rsidRPr="00A13D65">
              <w:rPr>
                <w:rFonts w:ascii="Arial" w:hAnsi="Arial" w:cs="Arial"/>
                <w:b/>
                <w:sz w:val="20"/>
                <w:szCs w:val="20"/>
              </w:rPr>
              <w:t xml:space="preserve"> (%)</w:t>
            </w:r>
          </w:p>
        </w:tc>
        <w:tc>
          <w:tcPr>
            <w:tcW w:w="958" w:type="pct"/>
            <w:tcMar>
              <w:top w:w="15" w:type="dxa"/>
              <w:left w:w="15" w:type="dxa"/>
              <w:bottom w:w="0" w:type="dxa"/>
              <w:right w:w="15" w:type="dxa"/>
            </w:tcMar>
            <w:vAlign w:val="center"/>
          </w:tcPr>
          <w:p w14:paraId="6B987092" w14:textId="77777777" w:rsidR="00ED7B54" w:rsidRPr="00E418B1" w:rsidRDefault="00ED7B54" w:rsidP="00675C4E">
            <w:pPr>
              <w:rPr>
                <w:rFonts w:ascii="Arial" w:hAnsi="Arial" w:cs="Arial"/>
                <w:sz w:val="20"/>
                <w:szCs w:val="20"/>
              </w:rPr>
            </w:pPr>
            <w:r w:rsidRPr="00E418B1">
              <w:rPr>
                <w:rFonts w:ascii="Arial" w:hAnsi="Arial" w:cs="Arial"/>
                <w:sz w:val="20"/>
                <w:szCs w:val="20"/>
              </w:rPr>
              <w:t>5 (1</w:t>
            </w:r>
            <w:r>
              <w:rPr>
                <w:rFonts w:ascii="Arial" w:hAnsi="Arial" w:cs="Arial"/>
                <w:sz w:val="20"/>
                <w:szCs w:val="20"/>
              </w:rPr>
              <w:t>9</w:t>
            </w:r>
            <w:r w:rsidRPr="00E418B1">
              <w:rPr>
                <w:rFonts w:ascii="Arial" w:hAnsi="Arial" w:cs="Arial"/>
                <w:sz w:val="20"/>
                <w:szCs w:val="20"/>
              </w:rPr>
              <w:t>)</w:t>
            </w:r>
          </w:p>
        </w:tc>
        <w:tc>
          <w:tcPr>
            <w:tcW w:w="933" w:type="pct"/>
            <w:tcMar>
              <w:top w:w="15" w:type="dxa"/>
              <w:left w:w="15" w:type="dxa"/>
              <w:bottom w:w="0" w:type="dxa"/>
              <w:right w:w="15" w:type="dxa"/>
            </w:tcMar>
            <w:vAlign w:val="center"/>
          </w:tcPr>
          <w:p w14:paraId="522394D6" w14:textId="77777777" w:rsidR="00ED7B54" w:rsidRPr="00E418B1" w:rsidRDefault="00ED7B54" w:rsidP="00675C4E">
            <w:pPr>
              <w:rPr>
                <w:rFonts w:ascii="Arial" w:hAnsi="Arial" w:cs="Arial"/>
                <w:sz w:val="20"/>
                <w:szCs w:val="20"/>
              </w:rPr>
            </w:pPr>
            <w:r w:rsidRPr="00E418B1">
              <w:rPr>
                <w:rFonts w:ascii="Arial" w:hAnsi="Arial" w:cs="Arial"/>
                <w:sz w:val="20"/>
                <w:szCs w:val="20"/>
              </w:rPr>
              <w:t>1 (</w:t>
            </w:r>
            <w:r>
              <w:rPr>
                <w:rFonts w:ascii="Arial" w:hAnsi="Arial" w:cs="Arial"/>
                <w:sz w:val="20"/>
                <w:szCs w:val="20"/>
              </w:rPr>
              <w:t>4</w:t>
            </w:r>
            <w:r w:rsidRPr="00E418B1">
              <w:rPr>
                <w:rFonts w:ascii="Arial" w:hAnsi="Arial" w:cs="Arial"/>
                <w:sz w:val="20"/>
                <w:szCs w:val="20"/>
              </w:rPr>
              <w:t>)</w:t>
            </w:r>
          </w:p>
        </w:tc>
        <w:tc>
          <w:tcPr>
            <w:tcW w:w="1036" w:type="pct"/>
            <w:tcMar>
              <w:top w:w="15" w:type="dxa"/>
              <w:left w:w="15" w:type="dxa"/>
              <w:bottom w:w="0" w:type="dxa"/>
              <w:right w:w="15" w:type="dxa"/>
            </w:tcMar>
            <w:vAlign w:val="center"/>
          </w:tcPr>
          <w:p w14:paraId="3A11C310" w14:textId="77777777" w:rsidR="00ED7B54" w:rsidRPr="00E418B1" w:rsidRDefault="00ED7B54" w:rsidP="00675C4E">
            <w:pPr>
              <w:rPr>
                <w:rFonts w:ascii="Arial" w:hAnsi="Arial" w:cs="Arial"/>
                <w:sz w:val="20"/>
                <w:szCs w:val="20"/>
              </w:rPr>
            </w:pPr>
          </w:p>
        </w:tc>
      </w:tr>
      <w:tr w:rsidR="00ED7B54" w:rsidRPr="00E418B1" w14:paraId="2BB265F5" w14:textId="77777777" w:rsidTr="00675C4E">
        <w:trPr>
          <w:trHeight w:val="510"/>
        </w:trPr>
        <w:tc>
          <w:tcPr>
            <w:tcW w:w="2073" w:type="pct"/>
            <w:tcMar>
              <w:top w:w="15" w:type="dxa"/>
              <w:left w:w="15" w:type="dxa"/>
              <w:bottom w:w="0" w:type="dxa"/>
              <w:right w:w="15" w:type="dxa"/>
            </w:tcMar>
            <w:vAlign w:val="center"/>
          </w:tcPr>
          <w:p w14:paraId="6506F56F" w14:textId="77777777" w:rsidR="00ED7B54" w:rsidRPr="00A13D65" w:rsidRDefault="00ED7B54" w:rsidP="00675C4E">
            <w:pPr>
              <w:rPr>
                <w:rFonts w:ascii="Arial" w:hAnsi="Arial" w:cs="Arial"/>
                <w:b/>
                <w:sz w:val="20"/>
                <w:szCs w:val="20"/>
              </w:rPr>
            </w:pPr>
            <w:r w:rsidRPr="00A13D65">
              <w:rPr>
                <w:rFonts w:ascii="Arial" w:hAnsi="Arial" w:cs="Arial"/>
                <w:b/>
                <w:sz w:val="20"/>
                <w:szCs w:val="20"/>
              </w:rPr>
              <w:t>Partial response</w:t>
            </w:r>
            <w:r w:rsidRPr="00A13D65">
              <w:rPr>
                <w:rFonts w:ascii="Arial" w:hAnsi="Arial" w:cs="Arial"/>
                <w:b/>
                <w:sz w:val="20"/>
                <w:szCs w:val="20"/>
                <w:lang w:val="pt-BR"/>
              </w:rPr>
              <w:t>, N</w:t>
            </w:r>
            <w:r w:rsidRPr="00A13D65">
              <w:rPr>
                <w:rFonts w:ascii="Arial" w:hAnsi="Arial" w:cs="Arial"/>
                <w:b/>
                <w:sz w:val="20"/>
                <w:szCs w:val="20"/>
              </w:rPr>
              <w:t xml:space="preserve"> (%)</w:t>
            </w:r>
          </w:p>
        </w:tc>
        <w:tc>
          <w:tcPr>
            <w:tcW w:w="958" w:type="pct"/>
            <w:tcMar>
              <w:top w:w="15" w:type="dxa"/>
              <w:left w:w="15" w:type="dxa"/>
              <w:bottom w:w="0" w:type="dxa"/>
              <w:right w:w="15" w:type="dxa"/>
            </w:tcMar>
            <w:vAlign w:val="center"/>
          </w:tcPr>
          <w:p w14:paraId="5702863A" w14:textId="77777777" w:rsidR="00ED7B54" w:rsidRPr="00E418B1" w:rsidRDefault="00ED7B54" w:rsidP="00675C4E">
            <w:pPr>
              <w:rPr>
                <w:rFonts w:ascii="Arial" w:hAnsi="Arial" w:cs="Arial"/>
                <w:sz w:val="20"/>
                <w:szCs w:val="20"/>
              </w:rPr>
            </w:pPr>
            <w:r w:rsidRPr="00E418B1">
              <w:rPr>
                <w:rFonts w:ascii="Arial" w:hAnsi="Arial" w:cs="Arial"/>
                <w:sz w:val="20"/>
                <w:szCs w:val="20"/>
              </w:rPr>
              <w:t>9 (33)</w:t>
            </w:r>
          </w:p>
        </w:tc>
        <w:tc>
          <w:tcPr>
            <w:tcW w:w="933" w:type="pct"/>
            <w:tcMar>
              <w:top w:w="15" w:type="dxa"/>
              <w:left w:w="15" w:type="dxa"/>
              <w:bottom w:w="0" w:type="dxa"/>
              <w:right w:w="15" w:type="dxa"/>
            </w:tcMar>
            <w:vAlign w:val="center"/>
          </w:tcPr>
          <w:p w14:paraId="16E45649" w14:textId="77777777" w:rsidR="00ED7B54" w:rsidRPr="00E418B1" w:rsidRDefault="00ED7B54" w:rsidP="00675C4E">
            <w:pPr>
              <w:rPr>
                <w:rFonts w:ascii="Arial" w:hAnsi="Arial" w:cs="Arial"/>
                <w:sz w:val="20"/>
                <w:szCs w:val="20"/>
              </w:rPr>
            </w:pPr>
            <w:r w:rsidRPr="00E418B1">
              <w:rPr>
                <w:rFonts w:ascii="Arial" w:hAnsi="Arial" w:cs="Arial"/>
                <w:sz w:val="20"/>
                <w:szCs w:val="20"/>
              </w:rPr>
              <w:t>2 (7)</w:t>
            </w:r>
          </w:p>
        </w:tc>
        <w:tc>
          <w:tcPr>
            <w:tcW w:w="1036" w:type="pct"/>
            <w:tcMar>
              <w:top w:w="15" w:type="dxa"/>
              <w:left w:w="15" w:type="dxa"/>
              <w:bottom w:w="0" w:type="dxa"/>
              <w:right w:w="15" w:type="dxa"/>
            </w:tcMar>
            <w:vAlign w:val="center"/>
          </w:tcPr>
          <w:p w14:paraId="50CEE19F" w14:textId="77777777" w:rsidR="00ED7B54" w:rsidRPr="00E418B1" w:rsidRDefault="00ED7B54" w:rsidP="00675C4E">
            <w:pPr>
              <w:rPr>
                <w:rFonts w:ascii="Arial" w:hAnsi="Arial" w:cs="Arial"/>
                <w:sz w:val="20"/>
                <w:szCs w:val="20"/>
              </w:rPr>
            </w:pPr>
          </w:p>
        </w:tc>
      </w:tr>
      <w:tr w:rsidR="00ED7B54" w:rsidRPr="00E418B1" w14:paraId="4BFFF344" w14:textId="77777777" w:rsidTr="00675C4E">
        <w:trPr>
          <w:trHeight w:val="510"/>
        </w:trPr>
        <w:tc>
          <w:tcPr>
            <w:tcW w:w="2073" w:type="pct"/>
            <w:tcMar>
              <w:top w:w="15" w:type="dxa"/>
              <w:left w:w="15" w:type="dxa"/>
              <w:bottom w:w="0" w:type="dxa"/>
              <w:right w:w="15" w:type="dxa"/>
            </w:tcMar>
            <w:vAlign w:val="center"/>
          </w:tcPr>
          <w:p w14:paraId="75FE2FA2" w14:textId="77777777" w:rsidR="00ED7B54" w:rsidRPr="00A13D65" w:rsidRDefault="00ED7B54" w:rsidP="00675C4E">
            <w:pPr>
              <w:rPr>
                <w:rFonts w:ascii="Arial" w:hAnsi="Arial" w:cs="Arial"/>
                <w:b/>
                <w:sz w:val="20"/>
                <w:szCs w:val="20"/>
              </w:rPr>
            </w:pPr>
            <w:r w:rsidRPr="00A13D65">
              <w:rPr>
                <w:rFonts w:ascii="Arial" w:hAnsi="Arial" w:cs="Arial"/>
                <w:b/>
                <w:sz w:val="20"/>
                <w:szCs w:val="20"/>
              </w:rPr>
              <w:t>Stable disease</w:t>
            </w:r>
            <w:r w:rsidRPr="00A13D65">
              <w:rPr>
                <w:rFonts w:ascii="Arial" w:hAnsi="Arial" w:cs="Arial"/>
                <w:b/>
                <w:sz w:val="20"/>
                <w:szCs w:val="20"/>
                <w:lang w:val="pt-BR"/>
              </w:rPr>
              <w:t>, N</w:t>
            </w:r>
            <w:r w:rsidRPr="00A13D65">
              <w:rPr>
                <w:rFonts w:ascii="Arial" w:hAnsi="Arial" w:cs="Arial"/>
                <w:b/>
                <w:sz w:val="20"/>
                <w:szCs w:val="20"/>
              </w:rPr>
              <w:t xml:space="preserve"> (%)</w:t>
            </w:r>
          </w:p>
        </w:tc>
        <w:tc>
          <w:tcPr>
            <w:tcW w:w="958" w:type="pct"/>
            <w:tcMar>
              <w:top w:w="15" w:type="dxa"/>
              <w:left w:w="15" w:type="dxa"/>
              <w:bottom w:w="0" w:type="dxa"/>
              <w:right w:w="15" w:type="dxa"/>
            </w:tcMar>
            <w:vAlign w:val="center"/>
          </w:tcPr>
          <w:p w14:paraId="33764C91" w14:textId="77777777" w:rsidR="00ED7B54" w:rsidRPr="00E418B1" w:rsidRDefault="00ED7B54" w:rsidP="00675C4E">
            <w:pPr>
              <w:rPr>
                <w:rFonts w:ascii="Arial" w:hAnsi="Arial" w:cs="Arial"/>
                <w:sz w:val="20"/>
                <w:szCs w:val="20"/>
              </w:rPr>
            </w:pPr>
            <w:r w:rsidRPr="00E418B1">
              <w:rPr>
                <w:rFonts w:ascii="Arial" w:hAnsi="Arial" w:cs="Arial"/>
                <w:sz w:val="20"/>
                <w:szCs w:val="20"/>
              </w:rPr>
              <w:t>9 (33)</w:t>
            </w:r>
          </w:p>
        </w:tc>
        <w:tc>
          <w:tcPr>
            <w:tcW w:w="933" w:type="pct"/>
            <w:tcMar>
              <w:top w:w="15" w:type="dxa"/>
              <w:left w:w="15" w:type="dxa"/>
              <w:bottom w:w="0" w:type="dxa"/>
              <w:right w:w="15" w:type="dxa"/>
            </w:tcMar>
            <w:vAlign w:val="center"/>
          </w:tcPr>
          <w:p w14:paraId="5C64341C" w14:textId="77777777" w:rsidR="00ED7B54" w:rsidRPr="00E418B1" w:rsidRDefault="00ED7B54" w:rsidP="00675C4E">
            <w:pPr>
              <w:rPr>
                <w:rFonts w:ascii="Arial" w:hAnsi="Arial" w:cs="Arial"/>
                <w:sz w:val="20"/>
                <w:szCs w:val="20"/>
              </w:rPr>
            </w:pPr>
            <w:r w:rsidRPr="00E418B1">
              <w:rPr>
                <w:rFonts w:ascii="Arial" w:hAnsi="Arial" w:cs="Arial"/>
                <w:sz w:val="20"/>
                <w:szCs w:val="20"/>
              </w:rPr>
              <w:t>6 (22)</w:t>
            </w:r>
          </w:p>
        </w:tc>
        <w:tc>
          <w:tcPr>
            <w:tcW w:w="1036" w:type="pct"/>
            <w:tcMar>
              <w:top w:w="15" w:type="dxa"/>
              <w:left w:w="15" w:type="dxa"/>
              <w:bottom w:w="0" w:type="dxa"/>
              <w:right w:w="15" w:type="dxa"/>
            </w:tcMar>
            <w:vAlign w:val="center"/>
          </w:tcPr>
          <w:p w14:paraId="0B30036C" w14:textId="77777777" w:rsidR="00ED7B54" w:rsidRPr="00E418B1" w:rsidRDefault="00ED7B54" w:rsidP="00675C4E">
            <w:pPr>
              <w:rPr>
                <w:rFonts w:ascii="Arial" w:hAnsi="Arial" w:cs="Arial"/>
                <w:sz w:val="20"/>
                <w:szCs w:val="20"/>
              </w:rPr>
            </w:pPr>
          </w:p>
        </w:tc>
      </w:tr>
      <w:tr w:rsidR="00ED7B54" w:rsidRPr="00E418B1" w14:paraId="5FC92D6C" w14:textId="77777777" w:rsidTr="00675C4E">
        <w:trPr>
          <w:trHeight w:val="510"/>
        </w:trPr>
        <w:tc>
          <w:tcPr>
            <w:tcW w:w="2073" w:type="pct"/>
            <w:tcMar>
              <w:top w:w="15" w:type="dxa"/>
              <w:left w:w="15" w:type="dxa"/>
              <w:bottom w:w="0" w:type="dxa"/>
              <w:right w:w="15" w:type="dxa"/>
            </w:tcMar>
            <w:vAlign w:val="center"/>
          </w:tcPr>
          <w:p w14:paraId="352457E9" w14:textId="77777777" w:rsidR="00ED7B54" w:rsidRPr="00A13D65" w:rsidRDefault="00ED7B54" w:rsidP="00675C4E">
            <w:pPr>
              <w:rPr>
                <w:rFonts w:ascii="Arial" w:hAnsi="Arial" w:cs="Arial"/>
                <w:b/>
                <w:sz w:val="20"/>
                <w:szCs w:val="20"/>
              </w:rPr>
            </w:pPr>
            <w:r w:rsidRPr="00A13D65">
              <w:rPr>
                <w:rFonts w:ascii="Arial" w:hAnsi="Arial" w:cs="Arial"/>
                <w:b/>
                <w:sz w:val="20"/>
                <w:szCs w:val="20"/>
              </w:rPr>
              <w:t>Disease control rate</w:t>
            </w:r>
            <w:r w:rsidRPr="00A13D65">
              <w:rPr>
                <w:rFonts w:ascii="Arial" w:hAnsi="Arial" w:cs="Arial"/>
                <w:b/>
                <w:sz w:val="20"/>
                <w:szCs w:val="20"/>
                <w:lang w:val="pt-BR"/>
              </w:rPr>
              <w:t>, N</w:t>
            </w:r>
            <w:r w:rsidRPr="00A13D65">
              <w:rPr>
                <w:rFonts w:ascii="Arial" w:hAnsi="Arial" w:cs="Arial"/>
                <w:b/>
                <w:sz w:val="20"/>
                <w:szCs w:val="20"/>
              </w:rPr>
              <w:t xml:space="preserve"> </w:t>
            </w:r>
          </w:p>
          <w:p w14:paraId="4E4D682D" w14:textId="77777777" w:rsidR="00ED7B54" w:rsidRPr="00A13D65" w:rsidRDefault="00ED7B54" w:rsidP="00675C4E">
            <w:pPr>
              <w:rPr>
                <w:rFonts w:ascii="Arial" w:hAnsi="Arial" w:cs="Arial"/>
                <w:b/>
                <w:sz w:val="20"/>
                <w:szCs w:val="20"/>
              </w:rPr>
            </w:pPr>
            <w:r w:rsidRPr="00A13D65">
              <w:rPr>
                <w:rFonts w:ascii="Arial" w:hAnsi="Arial" w:cs="Arial"/>
                <w:b/>
                <w:sz w:val="20"/>
                <w:szCs w:val="20"/>
              </w:rPr>
              <w:t xml:space="preserve">(% </w:t>
            </w:r>
            <w:r w:rsidRPr="00A13D65">
              <w:rPr>
                <w:rFonts w:ascii="Arial" w:hAnsi="Arial" w:cs="Arial"/>
                <w:b/>
                <w:sz w:val="20"/>
                <w:szCs w:val="20"/>
                <w:lang w:val="pt-BR"/>
              </w:rPr>
              <w:t>[95% CI]</w:t>
            </w:r>
            <w:r w:rsidRPr="00A13D65">
              <w:rPr>
                <w:rFonts w:ascii="Arial" w:hAnsi="Arial" w:cs="Arial"/>
                <w:b/>
                <w:sz w:val="20"/>
                <w:szCs w:val="20"/>
              </w:rPr>
              <w:t>)</w:t>
            </w:r>
          </w:p>
        </w:tc>
        <w:tc>
          <w:tcPr>
            <w:tcW w:w="958" w:type="pct"/>
            <w:tcMar>
              <w:top w:w="15" w:type="dxa"/>
              <w:left w:w="15" w:type="dxa"/>
              <w:bottom w:w="0" w:type="dxa"/>
              <w:right w:w="15" w:type="dxa"/>
            </w:tcMar>
            <w:vAlign w:val="center"/>
          </w:tcPr>
          <w:p w14:paraId="0AA25AB8" w14:textId="77777777" w:rsidR="00ED7B54" w:rsidRPr="00E418B1" w:rsidRDefault="00ED7B54" w:rsidP="00675C4E">
            <w:pPr>
              <w:rPr>
                <w:rFonts w:ascii="Arial" w:hAnsi="Arial" w:cs="Arial"/>
                <w:sz w:val="20"/>
                <w:szCs w:val="20"/>
              </w:rPr>
            </w:pPr>
            <w:r w:rsidRPr="00E418B1">
              <w:rPr>
                <w:rFonts w:ascii="Arial" w:hAnsi="Arial" w:cs="Arial"/>
                <w:sz w:val="20"/>
                <w:szCs w:val="20"/>
              </w:rPr>
              <w:t xml:space="preserve">23 (85 </w:t>
            </w:r>
          </w:p>
          <w:p w14:paraId="117F0C8E" w14:textId="77777777" w:rsidR="00ED7B54" w:rsidRPr="00E418B1" w:rsidRDefault="00ED7B54" w:rsidP="00675C4E">
            <w:pPr>
              <w:rPr>
                <w:rFonts w:ascii="Arial" w:hAnsi="Arial" w:cs="Arial"/>
                <w:sz w:val="20"/>
                <w:szCs w:val="20"/>
              </w:rPr>
            </w:pPr>
            <w:r w:rsidRPr="00E418B1">
              <w:rPr>
                <w:rFonts w:ascii="Arial" w:hAnsi="Arial" w:cs="Arial"/>
                <w:sz w:val="20"/>
                <w:szCs w:val="20"/>
              </w:rPr>
              <w:t>[66.90-94.70])</w:t>
            </w:r>
          </w:p>
        </w:tc>
        <w:tc>
          <w:tcPr>
            <w:tcW w:w="933" w:type="pct"/>
            <w:tcMar>
              <w:top w:w="15" w:type="dxa"/>
              <w:left w:w="15" w:type="dxa"/>
              <w:bottom w:w="0" w:type="dxa"/>
              <w:right w:w="15" w:type="dxa"/>
            </w:tcMar>
            <w:vAlign w:val="center"/>
          </w:tcPr>
          <w:p w14:paraId="5211508B" w14:textId="77777777" w:rsidR="00ED7B54" w:rsidRPr="00E418B1" w:rsidRDefault="00ED7B54" w:rsidP="00675C4E">
            <w:pPr>
              <w:rPr>
                <w:rFonts w:ascii="Arial" w:hAnsi="Arial" w:cs="Arial"/>
                <w:sz w:val="20"/>
                <w:szCs w:val="20"/>
              </w:rPr>
            </w:pPr>
            <w:r w:rsidRPr="00E418B1">
              <w:rPr>
                <w:rFonts w:ascii="Arial" w:hAnsi="Arial" w:cs="Arial"/>
                <w:sz w:val="20"/>
                <w:szCs w:val="20"/>
              </w:rPr>
              <w:t xml:space="preserve">9 (33 </w:t>
            </w:r>
          </w:p>
          <w:p w14:paraId="7D4BBDBB" w14:textId="77777777" w:rsidR="00ED7B54" w:rsidRPr="00E418B1" w:rsidRDefault="00ED7B54" w:rsidP="00675C4E">
            <w:pPr>
              <w:rPr>
                <w:rFonts w:ascii="Arial" w:hAnsi="Arial" w:cs="Arial"/>
                <w:sz w:val="20"/>
                <w:szCs w:val="20"/>
              </w:rPr>
            </w:pPr>
            <w:r w:rsidRPr="00E418B1">
              <w:rPr>
                <w:rFonts w:ascii="Arial" w:hAnsi="Arial" w:cs="Arial"/>
                <w:sz w:val="20"/>
                <w:szCs w:val="20"/>
              </w:rPr>
              <w:t>[18.53-52.29])</w:t>
            </w:r>
          </w:p>
        </w:tc>
        <w:tc>
          <w:tcPr>
            <w:tcW w:w="1036" w:type="pct"/>
            <w:tcMar>
              <w:top w:w="15" w:type="dxa"/>
              <w:left w:w="15" w:type="dxa"/>
              <w:bottom w:w="0" w:type="dxa"/>
              <w:right w:w="15" w:type="dxa"/>
            </w:tcMar>
            <w:vAlign w:val="center"/>
          </w:tcPr>
          <w:p w14:paraId="5DBABBF2" w14:textId="77777777" w:rsidR="00ED7B54" w:rsidRPr="00E418B1" w:rsidRDefault="00ED7B54" w:rsidP="00675C4E">
            <w:pPr>
              <w:rPr>
                <w:rFonts w:ascii="Arial" w:hAnsi="Arial" w:cs="Arial"/>
                <w:sz w:val="20"/>
                <w:szCs w:val="20"/>
              </w:rPr>
            </w:pPr>
            <w:r w:rsidRPr="00E418B1">
              <w:rPr>
                <w:rFonts w:ascii="Arial" w:hAnsi="Arial" w:cs="Arial"/>
                <w:sz w:val="20"/>
                <w:szCs w:val="20"/>
              </w:rPr>
              <w:t>5</w:t>
            </w:r>
            <w:r>
              <w:rPr>
                <w:rFonts w:ascii="Arial" w:hAnsi="Arial" w:cs="Arial"/>
                <w:sz w:val="20"/>
                <w:szCs w:val="20"/>
              </w:rPr>
              <w:t>2</w:t>
            </w:r>
            <w:r w:rsidRPr="00E418B1">
              <w:rPr>
                <w:rFonts w:ascii="Arial" w:hAnsi="Arial" w:cs="Arial"/>
                <w:sz w:val="20"/>
                <w:szCs w:val="20"/>
              </w:rPr>
              <w:t xml:space="preserve"> (P&lt;</w:t>
            </w:r>
            <w:r>
              <w:rPr>
                <w:rFonts w:ascii="Arial" w:hAnsi="Arial" w:cs="Arial"/>
                <w:sz w:val="20"/>
                <w:szCs w:val="20"/>
              </w:rPr>
              <w:t xml:space="preserve"> </w:t>
            </w:r>
            <w:r w:rsidRPr="00E418B1">
              <w:rPr>
                <w:rFonts w:ascii="Arial" w:hAnsi="Arial" w:cs="Arial"/>
                <w:sz w:val="20"/>
                <w:szCs w:val="20"/>
              </w:rPr>
              <w:t>.0</w:t>
            </w:r>
            <w:r>
              <w:rPr>
                <w:rFonts w:ascii="Arial" w:hAnsi="Arial" w:cs="Arial"/>
                <w:sz w:val="20"/>
                <w:szCs w:val="20"/>
              </w:rPr>
              <w:t>0</w:t>
            </w:r>
            <w:r w:rsidRPr="00E418B1">
              <w:rPr>
                <w:rFonts w:ascii="Arial" w:hAnsi="Arial" w:cs="Arial"/>
                <w:sz w:val="20"/>
                <w:szCs w:val="20"/>
              </w:rPr>
              <w:t>1</w:t>
            </w:r>
            <w:r w:rsidRPr="00E418B1">
              <w:rPr>
                <w:rFonts w:ascii="Arial" w:hAnsi="Arial" w:cs="Arial"/>
                <w:sz w:val="20"/>
                <w:szCs w:val="20"/>
              </w:rPr>
              <w:t>）</w:t>
            </w:r>
          </w:p>
        </w:tc>
      </w:tr>
      <w:tr w:rsidR="00ED7B54" w:rsidRPr="00E418B1" w14:paraId="2A3272F7" w14:textId="77777777" w:rsidTr="00675C4E">
        <w:trPr>
          <w:trHeight w:val="510"/>
        </w:trPr>
        <w:tc>
          <w:tcPr>
            <w:tcW w:w="2073" w:type="pct"/>
            <w:tcMar>
              <w:top w:w="15" w:type="dxa"/>
              <w:left w:w="15" w:type="dxa"/>
              <w:bottom w:w="0" w:type="dxa"/>
              <w:right w:w="15" w:type="dxa"/>
            </w:tcMar>
            <w:vAlign w:val="center"/>
          </w:tcPr>
          <w:p w14:paraId="43E06166" w14:textId="77777777" w:rsidR="00ED7B54" w:rsidRPr="00A13D65" w:rsidRDefault="00ED7B54" w:rsidP="00675C4E">
            <w:pPr>
              <w:rPr>
                <w:rFonts w:ascii="Arial" w:hAnsi="Arial" w:cs="Arial"/>
                <w:b/>
                <w:sz w:val="20"/>
                <w:szCs w:val="20"/>
              </w:rPr>
            </w:pPr>
            <w:r w:rsidRPr="00A13D65">
              <w:rPr>
                <w:rFonts w:ascii="Arial" w:hAnsi="Arial" w:cs="Arial"/>
                <w:b/>
                <w:sz w:val="20"/>
                <w:szCs w:val="20"/>
              </w:rPr>
              <w:t>Progressive disease</w:t>
            </w:r>
            <w:r w:rsidRPr="00A13D65">
              <w:rPr>
                <w:rFonts w:ascii="Arial" w:hAnsi="Arial" w:cs="Arial"/>
                <w:b/>
                <w:sz w:val="20"/>
                <w:szCs w:val="20"/>
                <w:lang w:val="pt-BR"/>
              </w:rPr>
              <w:t>, N</w:t>
            </w:r>
            <w:r w:rsidRPr="00A13D65">
              <w:rPr>
                <w:rFonts w:ascii="Arial" w:hAnsi="Arial" w:cs="Arial"/>
                <w:b/>
                <w:sz w:val="20"/>
                <w:szCs w:val="20"/>
              </w:rPr>
              <w:t xml:space="preserve"> (%)</w:t>
            </w:r>
          </w:p>
        </w:tc>
        <w:tc>
          <w:tcPr>
            <w:tcW w:w="958" w:type="pct"/>
            <w:tcMar>
              <w:top w:w="15" w:type="dxa"/>
              <w:left w:w="15" w:type="dxa"/>
              <w:bottom w:w="0" w:type="dxa"/>
              <w:right w:w="15" w:type="dxa"/>
            </w:tcMar>
            <w:vAlign w:val="center"/>
          </w:tcPr>
          <w:p w14:paraId="120565BE" w14:textId="77777777" w:rsidR="00ED7B54" w:rsidRPr="00E418B1" w:rsidRDefault="00ED7B54" w:rsidP="00675C4E">
            <w:pPr>
              <w:rPr>
                <w:rFonts w:ascii="Arial" w:hAnsi="Arial" w:cs="Arial"/>
                <w:sz w:val="20"/>
                <w:szCs w:val="20"/>
              </w:rPr>
            </w:pPr>
            <w:r w:rsidRPr="00E418B1">
              <w:rPr>
                <w:rFonts w:ascii="Arial" w:hAnsi="Arial" w:cs="Arial"/>
                <w:sz w:val="20"/>
                <w:szCs w:val="20"/>
              </w:rPr>
              <w:t>4 (1</w:t>
            </w:r>
            <w:r>
              <w:rPr>
                <w:rFonts w:ascii="Arial" w:hAnsi="Arial" w:cs="Arial"/>
                <w:sz w:val="20"/>
                <w:szCs w:val="20"/>
              </w:rPr>
              <w:t>5</w:t>
            </w:r>
            <w:r w:rsidRPr="00E418B1">
              <w:rPr>
                <w:rFonts w:ascii="Arial" w:hAnsi="Arial" w:cs="Arial"/>
                <w:sz w:val="20"/>
                <w:szCs w:val="20"/>
              </w:rPr>
              <w:t>)</w:t>
            </w:r>
          </w:p>
        </w:tc>
        <w:tc>
          <w:tcPr>
            <w:tcW w:w="933" w:type="pct"/>
            <w:tcMar>
              <w:top w:w="15" w:type="dxa"/>
              <w:left w:w="15" w:type="dxa"/>
              <w:bottom w:w="0" w:type="dxa"/>
              <w:right w:w="15" w:type="dxa"/>
            </w:tcMar>
            <w:vAlign w:val="center"/>
          </w:tcPr>
          <w:p w14:paraId="741CDBC6" w14:textId="77777777" w:rsidR="00ED7B54" w:rsidRPr="00E418B1" w:rsidRDefault="00ED7B54" w:rsidP="00675C4E">
            <w:pPr>
              <w:rPr>
                <w:rFonts w:ascii="Arial" w:hAnsi="Arial" w:cs="Arial"/>
                <w:sz w:val="20"/>
                <w:szCs w:val="20"/>
              </w:rPr>
            </w:pPr>
            <w:r w:rsidRPr="00E418B1">
              <w:rPr>
                <w:rFonts w:ascii="Arial" w:hAnsi="Arial" w:cs="Arial"/>
                <w:sz w:val="20"/>
                <w:szCs w:val="20"/>
              </w:rPr>
              <w:t>18 (6</w:t>
            </w:r>
            <w:r>
              <w:rPr>
                <w:rFonts w:ascii="Arial" w:hAnsi="Arial" w:cs="Arial"/>
                <w:sz w:val="20"/>
                <w:szCs w:val="20"/>
              </w:rPr>
              <w:t>7</w:t>
            </w:r>
            <w:r w:rsidRPr="00E418B1">
              <w:rPr>
                <w:rFonts w:ascii="Arial" w:hAnsi="Arial" w:cs="Arial"/>
                <w:sz w:val="20"/>
                <w:szCs w:val="20"/>
              </w:rPr>
              <w:t>)</w:t>
            </w:r>
          </w:p>
        </w:tc>
        <w:tc>
          <w:tcPr>
            <w:tcW w:w="1036" w:type="pct"/>
            <w:tcMar>
              <w:top w:w="15" w:type="dxa"/>
              <w:left w:w="15" w:type="dxa"/>
              <w:bottom w:w="0" w:type="dxa"/>
              <w:right w:w="15" w:type="dxa"/>
            </w:tcMar>
            <w:vAlign w:val="center"/>
          </w:tcPr>
          <w:p w14:paraId="12282C26" w14:textId="77777777" w:rsidR="00ED7B54" w:rsidRPr="00E418B1" w:rsidRDefault="00ED7B54" w:rsidP="00675C4E">
            <w:pPr>
              <w:rPr>
                <w:rFonts w:ascii="Arial" w:hAnsi="Arial" w:cs="Arial"/>
                <w:sz w:val="20"/>
                <w:szCs w:val="20"/>
              </w:rPr>
            </w:pPr>
          </w:p>
        </w:tc>
      </w:tr>
    </w:tbl>
    <w:p w14:paraId="6C713A4E" w14:textId="77777777" w:rsidR="00ED7B54" w:rsidRPr="009363BF" w:rsidRDefault="00ED7B54" w:rsidP="00ED7B54">
      <w:pPr>
        <w:rPr>
          <w:rFonts w:ascii="Arial" w:hAnsi="Arial" w:cs="Arial"/>
          <w:sz w:val="16"/>
          <w:szCs w:val="16"/>
        </w:rPr>
      </w:pPr>
      <w:r w:rsidRPr="00E418B1">
        <w:rPr>
          <w:rFonts w:ascii="Arial" w:hAnsi="Arial" w:cs="Arial"/>
          <w:i/>
          <w:iCs/>
          <w:sz w:val="16"/>
          <w:szCs w:val="16"/>
        </w:rPr>
        <w:t>P</w:t>
      </w:r>
      <w:r w:rsidRPr="00E418B1">
        <w:rPr>
          <w:rFonts w:ascii="Arial" w:hAnsi="Arial" w:cs="Arial"/>
          <w:sz w:val="16"/>
          <w:szCs w:val="16"/>
        </w:rPr>
        <w:t xml:space="preserve"> values calculated using a 2-sided Fisher’s exact test.</w:t>
      </w:r>
    </w:p>
    <w:p w14:paraId="4ED6B49A" w14:textId="77777777" w:rsidR="00ED7B54" w:rsidRDefault="00ED7B54" w:rsidP="00ED7B54">
      <w:pPr>
        <w:rPr>
          <w:rFonts w:ascii="Arial" w:hAnsi="Arial" w:cs="Arial"/>
          <w:sz w:val="16"/>
          <w:szCs w:val="16"/>
        </w:rPr>
      </w:pPr>
      <w:r w:rsidRPr="007C1F55">
        <w:rPr>
          <w:rFonts w:ascii="Arial" w:hAnsi="Arial" w:cs="Arial"/>
          <w:sz w:val="16"/>
          <w:szCs w:val="16"/>
        </w:rPr>
        <w:t xml:space="preserve">Abbreviations: TACE, </w:t>
      </w:r>
      <w:proofErr w:type="spellStart"/>
      <w:r w:rsidRPr="007C1F55">
        <w:rPr>
          <w:rFonts w:ascii="Arial" w:hAnsi="Arial" w:cs="Arial"/>
          <w:sz w:val="16"/>
          <w:szCs w:val="16"/>
        </w:rPr>
        <w:t>transarterial</w:t>
      </w:r>
      <w:proofErr w:type="spellEnd"/>
      <w:r w:rsidRPr="007C1F55">
        <w:rPr>
          <w:rFonts w:ascii="Arial" w:hAnsi="Arial" w:cs="Arial"/>
          <w:sz w:val="16"/>
          <w:szCs w:val="16"/>
        </w:rPr>
        <w:t xml:space="preserve"> chemoembolization; TAE, </w:t>
      </w:r>
      <w:proofErr w:type="spellStart"/>
      <w:r w:rsidRPr="007C1F55">
        <w:rPr>
          <w:rFonts w:ascii="Arial" w:hAnsi="Arial" w:cs="Arial"/>
          <w:sz w:val="16"/>
          <w:szCs w:val="16"/>
        </w:rPr>
        <w:t>Transarterial</w:t>
      </w:r>
      <w:proofErr w:type="spellEnd"/>
      <w:r w:rsidRPr="007C1F55">
        <w:rPr>
          <w:rFonts w:ascii="Arial" w:hAnsi="Arial" w:cs="Arial"/>
          <w:sz w:val="16"/>
          <w:szCs w:val="16"/>
        </w:rPr>
        <w:t xml:space="preserve"> embolization</w:t>
      </w:r>
      <w:r>
        <w:rPr>
          <w:rFonts w:ascii="Arial" w:hAnsi="Arial" w:cs="Arial"/>
          <w:sz w:val="16"/>
          <w:szCs w:val="16"/>
        </w:rPr>
        <w:t xml:space="preserve">; </w:t>
      </w:r>
      <w:r w:rsidRPr="007C1F55">
        <w:rPr>
          <w:rFonts w:ascii="Arial" w:hAnsi="Arial" w:cs="Arial"/>
          <w:sz w:val="16"/>
          <w:szCs w:val="16"/>
        </w:rPr>
        <w:t>CI, confidence interval</w:t>
      </w:r>
      <w:r>
        <w:rPr>
          <w:rFonts w:ascii="Arial" w:hAnsi="Arial" w:cs="Arial"/>
          <w:sz w:val="16"/>
          <w:szCs w:val="16"/>
        </w:rPr>
        <w:t>.</w:t>
      </w:r>
    </w:p>
    <w:p w14:paraId="2ECAC7EB" w14:textId="77777777" w:rsidR="003E65AA" w:rsidRPr="00ED7B54" w:rsidRDefault="003E65AA" w:rsidP="007C1F55">
      <w:pPr>
        <w:rPr>
          <w:rFonts w:ascii="Arial" w:hAnsi="Arial" w:cs="Arial"/>
          <w:sz w:val="16"/>
          <w:szCs w:val="16"/>
        </w:rPr>
      </w:pPr>
    </w:p>
    <w:sectPr w:rsidR="003E65AA" w:rsidRPr="00ED7B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67A8B" w14:textId="77777777" w:rsidR="00741758" w:rsidRDefault="00741758" w:rsidP="001B2A6C">
      <w:r>
        <w:separator/>
      </w:r>
    </w:p>
  </w:endnote>
  <w:endnote w:type="continuationSeparator" w:id="0">
    <w:p w14:paraId="41E24C40" w14:textId="77777777" w:rsidR="00741758" w:rsidRDefault="00741758" w:rsidP="001B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15E4E" w14:textId="77777777" w:rsidR="00741758" w:rsidRDefault="00741758" w:rsidP="001B2A6C">
      <w:r>
        <w:separator/>
      </w:r>
    </w:p>
  </w:footnote>
  <w:footnote w:type="continuationSeparator" w:id="0">
    <w:p w14:paraId="6E35A65B" w14:textId="77777777" w:rsidR="00741758" w:rsidRDefault="00741758" w:rsidP="001B2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37"/>
    <w:rsid w:val="000338CE"/>
    <w:rsid w:val="00043BB0"/>
    <w:rsid w:val="000A3946"/>
    <w:rsid w:val="000B7CBD"/>
    <w:rsid w:val="000C57F6"/>
    <w:rsid w:val="000E74FC"/>
    <w:rsid w:val="00112297"/>
    <w:rsid w:val="00113FDA"/>
    <w:rsid w:val="00151625"/>
    <w:rsid w:val="00184E26"/>
    <w:rsid w:val="00197AB8"/>
    <w:rsid w:val="001B10AC"/>
    <w:rsid w:val="001B2A6C"/>
    <w:rsid w:val="001B7D9D"/>
    <w:rsid w:val="001D10A6"/>
    <w:rsid w:val="001F54F7"/>
    <w:rsid w:val="001F71AD"/>
    <w:rsid w:val="001F7A07"/>
    <w:rsid w:val="00227903"/>
    <w:rsid w:val="002563C6"/>
    <w:rsid w:val="0026400E"/>
    <w:rsid w:val="00280570"/>
    <w:rsid w:val="00291149"/>
    <w:rsid w:val="002D442C"/>
    <w:rsid w:val="002F0F09"/>
    <w:rsid w:val="00315015"/>
    <w:rsid w:val="00321550"/>
    <w:rsid w:val="00331BB1"/>
    <w:rsid w:val="00340D87"/>
    <w:rsid w:val="003C2575"/>
    <w:rsid w:val="003D5A4F"/>
    <w:rsid w:val="003E65AA"/>
    <w:rsid w:val="00403277"/>
    <w:rsid w:val="004216A1"/>
    <w:rsid w:val="00427494"/>
    <w:rsid w:val="00431A2F"/>
    <w:rsid w:val="00467908"/>
    <w:rsid w:val="004D26BA"/>
    <w:rsid w:val="004D2CA9"/>
    <w:rsid w:val="004D3941"/>
    <w:rsid w:val="00503462"/>
    <w:rsid w:val="00543E69"/>
    <w:rsid w:val="00563463"/>
    <w:rsid w:val="00577750"/>
    <w:rsid w:val="005A1296"/>
    <w:rsid w:val="005A6781"/>
    <w:rsid w:val="0060072B"/>
    <w:rsid w:val="00686EF1"/>
    <w:rsid w:val="00696E9D"/>
    <w:rsid w:val="006C7C38"/>
    <w:rsid w:val="006D44E3"/>
    <w:rsid w:val="006E3C79"/>
    <w:rsid w:val="0071702A"/>
    <w:rsid w:val="007330F1"/>
    <w:rsid w:val="00741758"/>
    <w:rsid w:val="007751A3"/>
    <w:rsid w:val="007770BB"/>
    <w:rsid w:val="0078302A"/>
    <w:rsid w:val="007A10A6"/>
    <w:rsid w:val="007C1F55"/>
    <w:rsid w:val="007C3238"/>
    <w:rsid w:val="007F2E0A"/>
    <w:rsid w:val="007F3A8C"/>
    <w:rsid w:val="007F6368"/>
    <w:rsid w:val="00852C08"/>
    <w:rsid w:val="00853D0D"/>
    <w:rsid w:val="008B0256"/>
    <w:rsid w:val="008B688C"/>
    <w:rsid w:val="008E06E9"/>
    <w:rsid w:val="00902271"/>
    <w:rsid w:val="0093396B"/>
    <w:rsid w:val="00933F05"/>
    <w:rsid w:val="009363BF"/>
    <w:rsid w:val="009544ED"/>
    <w:rsid w:val="009558F5"/>
    <w:rsid w:val="00984A37"/>
    <w:rsid w:val="009E6291"/>
    <w:rsid w:val="009F7467"/>
    <w:rsid w:val="00A0754B"/>
    <w:rsid w:val="00A13D65"/>
    <w:rsid w:val="00A23144"/>
    <w:rsid w:val="00A50306"/>
    <w:rsid w:val="00A61508"/>
    <w:rsid w:val="00A75FB5"/>
    <w:rsid w:val="00A85298"/>
    <w:rsid w:val="00A91322"/>
    <w:rsid w:val="00A92DC3"/>
    <w:rsid w:val="00A97540"/>
    <w:rsid w:val="00AB453E"/>
    <w:rsid w:val="00AB62DD"/>
    <w:rsid w:val="00AB66B3"/>
    <w:rsid w:val="00AF18B0"/>
    <w:rsid w:val="00B023A3"/>
    <w:rsid w:val="00B446C6"/>
    <w:rsid w:val="00B75909"/>
    <w:rsid w:val="00BC32AB"/>
    <w:rsid w:val="00BF3F36"/>
    <w:rsid w:val="00BF6A4F"/>
    <w:rsid w:val="00C123C5"/>
    <w:rsid w:val="00C27FB0"/>
    <w:rsid w:val="00C33252"/>
    <w:rsid w:val="00C51857"/>
    <w:rsid w:val="00CA0237"/>
    <w:rsid w:val="00CB6C0C"/>
    <w:rsid w:val="00CC0308"/>
    <w:rsid w:val="00CE7CB8"/>
    <w:rsid w:val="00CF5999"/>
    <w:rsid w:val="00D57F78"/>
    <w:rsid w:val="00D81733"/>
    <w:rsid w:val="00D90DA5"/>
    <w:rsid w:val="00DD203C"/>
    <w:rsid w:val="00DD655F"/>
    <w:rsid w:val="00E0188E"/>
    <w:rsid w:val="00E05EF1"/>
    <w:rsid w:val="00E17CDB"/>
    <w:rsid w:val="00E418B1"/>
    <w:rsid w:val="00E56994"/>
    <w:rsid w:val="00E6403E"/>
    <w:rsid w:val="00E7120A"/>
    <w:rsid w:val="00E82B96"/>
    <w:rsid w:val="00EC052A"/>
    <w:rsid w:val="00ED7B54"/>
    <w:rsid w:val="00EF160C"/>
    <w:rsid w:val="00F046FB"/>
    <w:rsid w:val="00F475FD"/>
    <w:rsid w:val="00F50912"/>
    <w:rsid w:val="00F65DF9"/>
    <w:rsid w:val="00F81245"/>
    <w:rsid w:val="00F83EE4"/>
    <w:rsid w:val="00F84DB8"/>
    <w:rsid w:val="00FB3FDD"/>
    <w:rsid w:val="00FC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DE9ED"/>
  <w15:chartTrackingRefBased/>
  <w15:docId w15:val="{DD6E3F71-E0A4-4AA8-A5A5-88F6DF07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8CE"/>
    <w:pPr>
      <w:ind w:firstLineChars="200" w:firstLine="420"/>
    </w:pPr>
  </w:style>
  <w:style w:type="character" w:styleId="a4">
    <w:name w:val="annotation reference"/>
    <w:basedOn w:val="a0"/>
    <w:uiPriority w:val="99"/>
    <w:semiHidden/>
    <w:unhideWhenUsed/>
    <w:rsid w:val="00543E69"/>
    <w:rPr>
      <w:sz w:val="16"/>
      <w:szCs w:val="16"/>
    </w:rPr>
  </w:style>
  <w:style w:type="paragraph" w:styleId="a5">
    <w:name w:val="annotation text"/>
    <w:basedOn w:val="a"/>
    <w:link w:val="a6"/>
    <w:uiPriority w:val="99"/>
    <w:unhideWhenUsed/>
    <w:rsid w:val="00543E69"/>
    <w:rPr>
      <w:sz w:val="20"/>
      <w:szCs w:val="20"/>
    </w:rPr>
  </w:style>
  <w:style w:type="character" w:customStyle="1" w:styleId="a6">
    <w:name w:val="批注文字 字符"/>
    <w:basedOn w:val="a0"/>
    <w:link w:val="a5"/>
    <w:uiPriority w:val="99"/>
    <w:rsid w:val="00543E69"/>
    <w:rPr>
      <w:sz w:val="20"/>
      <w:szCs w:val="20"/>
    </w:rPr>
  </w:style>
  <w:style w:type="paragraph" w:styleId="a7">
    <w:name w:val="annotation subject"/>
    <w:basedOn w:val="a5"/>
    <w:next w:val="a5"/>
    <w:link w:val="a8"/>
    <w:uiPriority w:val="99"/>
    <w:semiHidden/>
    <w:unhideWhenUsed/>
    <w:rsid w:val="00543E69"/>
    <w:rPr>
      <w:b/>
      <w:bCs/>
    </w:rPr>
  </w:style>
  <w:style w:type="character" w:customStyle="1" w:styleId="a8">
    <w:name w:val="批注主题 字符"/>
    <w:basedOn w:val="a6"/>
    <w:link w:val="a7"/>
    <w:uiPriority w:val="99"/>
    <w:semiHidden/>
    <w:rsid w:val="00543E69"/>
    <w:rPr>
      <w:b/>
      <w:bCs/>
      <w:sz w:val="20"/>
      <w:szCs w:val="20"/>
    </w:rPr>
  </w:style>
  <w:style w:type="paragraph" w:styleId="a9">
    <w:name w:val="Balloon Text"/>
    <w:basedOn w:val="a"/>
    <w:link w:val="aa"/>
    <w:uiPriority w:val="99"/>
    <w:semiHidden/>
    <w:unhideWhenUsed/>
    <w:rsid w:val="00E6403E"/>
    <w:rPr>
      <w:sz w:val="18"/>
      <w:szCs w:val="18"/>
    </w:rPr>
  </w:style>
  <w:style w:type="character" w:customStyle="1" w:styleId="aa">
    <w:name w:val="批注框文本 字符"/>
    <w:basedOn w:val="a0"/>
    <w:link w:val="a9"/>
    <w:uiPriority w:val="99"/>
    <w:semiHidden/>
    <w:rsid w:val="00E6403E"/>
    <w:rPr>
      <w:sz w:val="18"/>
      <w:szCs w:val="18"/>
    </w:rPr>
  </w:style>
  <w:style w:type="paragraph" w:styleId="ab">
    <w:name w:val="header"/>
    <w:basedOn w:val="a"/>
    <w:link w:val="ac"/>
    <w:uiPriority w:val="99"/>
    <w:unhideWhenUsed/>
    <w:rsid w:val="001B2A6C"/>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1B2A6C"/>
    <w:rPr>
      <w:sz w:val="18"/>
      <w:szCs w:val="18"/>
    </w:rPr>
  </w:style>
  <w:style w:type="paragraph" w:styleId="ad">
    <w:name w:val="footer"/>
    <w:basedOn w:val="a"/>
    <w:link w:val="ae"/>
    <w:uiPriority w:val="99"/>
    <w:unhideWhenUsed/>
    <w:rsid w:val="001B2A6C"/>
    <w:pPr>
      <w:tabs>
        <w:tab w:val="center" w:pos="4153"/>
        <w:tab w:val="right" w:pos="8306"/>
      </w:tabs>
      <w:snapToGrid w:val="0"/>
      <w:jc w:val="left"/>
    </w:pPr>
    <w:rPr>
      <w:sz w:val="18"/>
      <w:szCs w:val="18"/>
    </w:rPr>
  </w:style>
  <w:style w:type="character" w:customStyle="1" w:styleId="ae">
    <w:name w:val="页脚 字符"/>
    <w:basedOn w:val="a0"/>
    <w:link w:val="ad"/>
    <w:uiPriority w:val="99"/>
    <w:rsid w:val="001B2A6C"/>
    <w:rPr>
      <w:sz w:val="18"/>
      <w:szCs w:val="18"/>
    </w:rPr>
  </w:style>
  <w:style w:type="paragraph" w:styleId="af">
    <w:name w:val="Revision"/>
    <w:hidden/>
    <w:uiPriority w:val="99"/>
    <w:semiHidden/>
    <w:rsid w:val="00F65DF9"/>
  </w:style>
  <w:style w:type="table" w:styleId="af0">
    <w:name w:val="Table Grid"/>
    <w:basedOn w:val="a1"/>
    <w:uiPriority w:val="59"/>
    <w:rsid w:val="003E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8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Liu Xianghe</cp:lastModifiedBy>
  <cp:revision>4</cp:revision>
  <dcterms:created xsi:type="dcterms:W3CDTF">2023-07-27T23:17:00Z</dcterms:created>
  <dcterms:modified xsi:type="dcterms:W3CDTF">2023-07-30T14:17:00Z</dcterms:modified>
</cp:coreProperties>
</file>