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81E4" w14:textId="77777777" w:rsidR="003A26CD" w:rsidRDefault="003A26CD" w:rsidP="003A26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6BF2">
        <w:rPr>
          <w:rFonts w:ascii="Times New Roman" w:hAnsi="Times New Roman" w:cs="Times New Roman"/>
          <w:b/>
          <w:bCs/>
          <w:sz w:val="24"/>
          <w:szCs w:val="24"/>
        </w:rPr>
        <w:t>Supplemental Material</w:t>
      </w:r>
    </w:p>
    <w:p w14:paraId="26DBE42E" w14:textId="77777777" w:rsidR="003A26CD" w:rsidRDefault="003A26CD" w:rsidP="003A2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7AE0A" w14:textId="77777777" w:rsidR="003A26CD" w:rsidRDefault="003A26CD" w:rsidP="003A2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68C4B" w14:textId="3D786C6E" w:rsidR="003A26CD" w:rsidRPr="001E3D68" w:rsidRDefault="003A26CD" w:rsidP="003A2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D68">
        <w:rPr>
          <w:rFonts w:ascii="Times New Roman" w:hAnsi="Times New Roman" w:cs="Times New Roman"/>
          <w:b/>
          <w:bCs/>
          <w:sz w:val="24"/>
          <w:szCs w:val="24"/>
        </w:rPr>
        <w:t>Racial Differences and Contributory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Cardiovascular and Non-cardiovascular </w:t>
      </w:r>
      <w:r w:rsidRPr="001E3D68">
        <w:rPr>
          <w:rFonts w:ascii="Times New Roman" w:hAnsi="Times New Roman" w:cs="Times New Roman"/>
          <w:b/>
          <w:bCs/>
          <w:sz w:val="24"/>
          <w:szCs w:val="24"/>
        </w:rPr>
        <w:t xml:space="preserve">Risk Factors Towards Chronic Kidney Disease Progression </w:t>
      </w:r>
    </w:p>
    <w:p w14:paraId="1A0BB620" w14:textId="455C706E" w:rsidR="00ED592B" w:rsidRDefault="003A26CD" w:rsidP="003A26CD">
      <w:pPr>
        <w:jc w:val="center"/>
        <w:rPr>
          <w:rFonts w:ascii="Times New Roman" w:hAnsi="Times New Roman"/>
          <w:sz w:val="24"/>
          <w:szCs w:val="24"/>
        </w:rPr>
      </w:pPr>
      <w:r w:rsidRPr="00246379">
        <w:rPr>
          <w:rFonts w:ascii="Times New Roman" w:hAnsi="Times New Roman"/>
          <w:sz w:val="24"/>
          <w:szCs w:val="24"/>
        </w:rPr>
        <w:t>Choi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379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et al.</w:t>
      </w:r>
    </w:p>
    <w:p w14:paraId="2370E1A3" w14:textId="77777777" w:rsidR="003C4154" w:rsidRDefault="003C4154" w:rsidP="003A26CD">
      <w:pPr>
        <w:jc w:val="center"/>
        <w:rPr>
          <w:rFonts w:ascii="Times New Roman" w:hAnsi="Times New Roman"/>
          <w:sz w:val="24"/>
          <w:szCs w:val="24"/>
        </w:rPr>
        <w:sectPr w:rsidR="003C41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520BF3" w14:textId="7CB8313A" w:rsidR="003A26CD" w:rsidRDefault="003A26CD" w:rsidP="003A26CD">
      <w:pPr>
        <w:jc w:val="center"/>
        <w:rPr>
          <w:rFonts w:ascii="Times New Roman" w:hAnsi="Times New Roman"/>
          <w:sz w:val="24"/>
          <w:szCs w:val="24"/>
        </w:rPr>
      </w:pPr>
    </w:p>
    <w:p w14:paraId="41458252" w14:textId="77777777" w:rsidR="003A26CD" w:rsidRDefault="003A26CD" w:rsidP="003A2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A8640" w14:textId="4F6C5E21" w:rsidR="0065184F" w:rsidRPr="0065184F" w:rsidRDefault="0065184F" w:rsidP="0065184F">
      <w:pPr>
        <w:rPr>
          <w:rFonts w:ascii="Times New Roman" w:hAnsi="Times New Roman"/>
          <w:b/>
          <w:sz w:val="24"/>
          <w:szCs w:val="24"/>
        </w:rPr>
      </w:pPr>
      <w:bookmarkStart w:id="0" w:name="_Toc127703741"/>
      <w:r w:rsidRPr="008322C7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Supplemental Figure 1. </w:t>
      </w:r>
      <w:r w:rsidRPr="00FB72E6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Definition of 5 chronic kidney disease (CKD) risk categories</w:t>
      </w:r>
      <w:bookmarkEnd w:id="0"/>
      <w:r w:rsidRPr="00FB72E6">
        <w:rPr>
          <w:rFonts w:ascii="Times New Roman" w:hAnsi="Times New Roman"/>
          <w:sz w:val="24"/>
          <w:szCs w:val="24"/>
          <w:shd w:val="pct15" w:color="auto" w:fill="FFFFFF"/>
          <w:vertAlign w:val="superscript"/>
        </w:rPr>
        <w:t xml:space="preserve"> </w:t>
      </w:r>
    </w:p>
    <w:tbl>
      <w:tblPr>
        <w:tblW w:w="9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  <w:gridCol w:w="1670"/>
        <w:gridCol w:w="1350"/>
        <w:gridCol w:w="1440"/>
        <w:gridCol w:w="1821"/>
        <w:gridCol w:w="1599"/>
      </w:tblGrid>
      <w:tr w:rsidR="0065184F" w14:paraId="6A93824D" w14:textId="77777777" w:rsidTr="00984D7A">
        <w:trPr>
          <w:trHeight w:val="392"/>
        </w:trPr>
        <w:tc>
          <w:tcPr>
            <w:tcW w:w="35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D3832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Combination categories of eGFR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position w:val="-6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and UACR</w:t>
            </w:r>
          </w:p>
        </w:tc>
        <w:tc>
          <w:tcPr>
            <w:tcW w:w="6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7217BB4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UACR categories (mg/g)</w:t>
            </w:r>
          </w:p>
        </w:tc>
      </w:tr>
      <w:tr w:rsidR="0065184F" w14:paraId="45A0C648" w14:textId="77777777" w:rsidTr="00984D7A">
        <w:trPr>
          <w:trHeight w:val="75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AC2FA" w14:textId="77777777" w:rsidR="0065184F" w:rsidRDefault="0065184F" w:rsidP="00984D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A16C617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A1a</w:t>
            </w:r>
          </w:p>
          <w:p w14:paraId="46BA2EF5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(&lt; 10 mg/g)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FA8353B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A1b</w:t>
            </w:r>
          </w:p>
          <w:p w14:paraId="230F1C89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(10</w:t>
            </w:r>
            <w:r>
              <w:rPr>
                <w:rFonts w:ascii="Times New Roman" w:hAnsi="Times New Roman"/>
                <w:color w:val="000000"/>
                <w:kern w:val="24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29 mg/g)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5C6703D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A2</w:t>
            </w:r>
          </w:p>
          <w:p w14:paraId="78CC9E09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(30</w:t>
            </w:r>
            <w:r>
              <w:rPr>
                <w:rFonts w:ascii="Times New Roman" w:hAnsi="Times New Roman"/>
                <w:color w:val="000000"/>
                <w:kern w:val="24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299 mg/g)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CD7C338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A3</w:t>
            </w:r>
          </w:p>
          <w:p w14:paraId="5C69103C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(≥ 300 mg/g)</w:t>
            </w:r>
          </w:p>
        </w:tc>
      </w:tr>
      <w:tr w:rsidR="0065184F" w14:paraId="7C648053" w14:textId="77777777" w:rsidTr="00984D7A">
        <w:trPr>
          <w:trHeight w:val="250"/>
        </w:trPr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394FE" w14:textId="77777777" w:rsidR="0065184F" w:rsidRDefault="0065184F" w:rsidP="00984D7A">
            <w:pPr>
              <w:spacing w:after="0" w:line="254" w:lineRule="auto"/>
              <w:ind w:left="115" w:right="11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eGFR categories (</w:t>
            </w:r>
            <w:r>
              <w:rPr>
                <w:rFonts w:ascii="Times New Roman" w:hAnsi="Times New Roman"/>
                <w:b/>
                <w:bCs/>
                <w:color w:val="222222"/>
                <w:kern w:val="24"/>
              </w:rPr>
              <w:t>ml/min/1.73m</w:t>
            </w:r>
            <w:r>
              <w:rPr>
                <w:rFonts w:ascii="Times New Roman" w:hAnsi="Times New Roman"/>
                <w:b/>
                <w:bCs/>
                <w:color w:val="222222"/>
                <w:kern w:val="24"/>
                <w:position w:val="7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color w:val="222222"/>
                <w:kern w:val="24"/>
              </w:rPr>
              <w:t>)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CD7B024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G1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(≥ 90)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98CFCB7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1a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0C7D5B1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1b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D5DBFA4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08DD657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3</w:t>
            </w:r>
          </w:p>
        </w:tc>
      </w:tr>
      <w:tr w:rsidR="0065184F" w14:paraId="7DF309BE" w14:textId="77777777" w:rsidTr="00984D7A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BDD40" w14:textId="77777777" w:rsidR="0065184F" w:rsidRDefault="0065184F" w:rsidP="00984D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483A5B6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G2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(60</w:t>
            </w:r>
            <w:r>
              <w:rPr>
                <w:rFonts w:ascii="Times New Roman" w:hAnsi="Times New Roman"/>
                <w:color w:val="000000"/>
                <w:kern w:val="24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89)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978F935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1a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0FD21AC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1b</w:t>
            </w:r>
            <w:r>
              <w:rPr>
                <w:rFonts w:ascii="Times New Roman" w:hAnsi="Times New Roman"/>
                <w:color w:val="000000"/>
                <w:kern w:val="24"/>
              </w:rPr>
              <w:t> 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A019EE6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B39A81C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3</w:t>
            </w:r>
          </w:p>
        </w:tc>
      </w:tr>
      <w:tr w:rsidR="0065184F" w14:paraId="52342E55" w14:textId="77777777" w:rsidTr="00984D7A">
        <w:trPr>
          <w:trHeight w:val="2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9BA7A" w14:textId="77777777" w:rsidR="0065184F" w:rsidRDefault="0065184F" w:rsidP="00984D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903CF49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G3a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(45</w:t>
            </w:r>
            <w:r>
              <w:rPr>
                <w:rFonts w:ascii="Times New Roman" w:hAnsi="Times New Roman"/>
                <w:color w:val="000000"/>
                <w:kern w:val="24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59)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233EBD4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CEAE25B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9FA9BB2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E33BF06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</w:tr>
      <w:tr w:rsidR="0065184F" w14:paraId="3AEE2304" w14:textId="77777777" w:rsidTr="00984D7A">
        <w:trPr>
          <w:trHeight w:val="2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2551C" w14:textId="77777777" w:rsidR="0065184F" w:rsidRDefault="0065184F" w:rsidP="00984D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3E7F208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G3b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(30</w:t>
            </w:r>
            <w:r>
              <w:rPr>
                <w:rFonts w:ascii="Times New Roman" w:hAnsi="Times New Roman"/>
                <w:color w:val="000000"/>
                <w:kern w:val="24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44)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43CF51A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19391E8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551323F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70160DE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</w:tr>
      <w:tr w:rsidR="0065184F" w14:paraId="5262CCC0" w14:textId="77777777" w:rsidTr="00984D7A">
        <w:trPr>
          <w:trHeight w:val="2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22412" w14:textId="77777777" w:rsidR="0065184F" w:rsidRDefault="0065184F" w:rsidP="00984D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EEEBBA8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G4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(15</w:t>
            </w:r>
            <w:r>
              <w:rPr>
                <w:rFonts w:ascii="Times New Roman" w:hAnsi="Times New Roman"/>
                <w:color w:val="000000"/>
                <w:kern w:val="24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29)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7A1CBD6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515A63D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A972F4D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4FE7F35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</w:tr>
      <w:tr w:rsidR="0065184F" w14:paraId="1093D6CD" w14:textId="77777777" w:rsidTr="00984D7A">
        <w:trPr>
          <w:trHeight w:val="2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B9F1" w14:textId="77777777" w:rsidR="0065184F" w:rsidRDefault="0065184F" w:rsidP="00984D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7ACB245F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G5</w:t>
            </w:r>
            <w:r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(&lt; 15)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E3F37D6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A4DF92A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C5C93BA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69C2DBF" w14:textId="77777777" w:rsidR="0065184F" w:rsidRDefault="0065184F" w:rsidP="00984D7A">
            <w:pPr>
              <w:spacing w:after="0"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4</w:t>
            </w:r>
          </w:p>
        </w:tc>
      </w:tr>
    </w:tbl>
    <w:p w14:paraId="12A424DB" w14:textId="77777777" w:rsidR="0065184F" w:rsidRDefault="0065184F" w:rsidP="0065184F">
      <w:pPr>
        <w:spacing w:after="0" w:line="240" w:lineRule="auto"/>
        <w:rPr>
          <w:rFonts w:ascii="Times New Roman" w:eastAsia="Malgun Gothic" w:hAnsi="Times New Roman"/>
          <w:sz w:val="24"/>
          <w:szCs w:val="24"/>
          <w:vertAlign w:val="superscript"/>
        </w:rPr>
      </w:pPr>
    </w:p>
    <w:p w14:paraId="237367BD" w14:textId="77777777" w:rsidR="0037213C" w:rsidRDefault="00FB72E6" w:rsidP="0037213C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FB72E6">
        <w:rPr>
          <w:rFonts w:ascii="Times New Roman" w:hAnsi="Times New Roman" w:cs="Times New Roman"/>
          <w:b/>
          <w:szCs w:val="20"/>
        </w:rPr>
        <w:t>Notes:</w:t>
      </w:r>
      <w:r w:rsidRPr="00FB72E6">
        <w:rPr>
          <w:rFonts w:ascii="Times New Roman" w:hAnsi="Times New Roman" w:cs="Times New Roman"/>
          <w:szCs w:val="20"/>
        </w:rPr>
        <w:t xml:space="preserve"> </w:t>
      </w:r>
      <w:r w:rsidR="0065184F" w:rsidRPr="0065184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5184F" w:rsidRPr="00770EB1">
        <w:rPr>
          <w:rFonts w:ascii="Times New Roman" w:hAnsi="Times New Roman"/>
          <w:sz w:val="24"/>
          <w:szCs w:val="24"/>
        </w:rPr>
        <w:t>KDIGO 2012 risk matrix, modified to capture mild severity (figure was abstracted from Figure 1 of Choi et al 2022; reference 10). Given relatively few people in G3aA1, those people were included with others who had eGFR &lt;60 (orange category), whereas in the</w:t>
      </w:r>
      <w:r w:rsidR="0065184F">
        <w:rPr>
          <w:rFonts w:ascii="Times New Roman" w:hAnsi="Times New Roman"/>
          <w:sz w:val="24"/>
          <w:szCs w:val="24"/>
        </w:rPr>
        <w:t xml:space="preserve"> KDIGO 2012 risk matrix they were in the yellow category. Each</w:t>
      </w:r>
      <w:r w:rsidR="0065184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5184F">
        <w:rPr>
          <w:rFonts w:ascii="Times New Roman" w:hAnsi="Times New Roman"/>
          <w:sz w:val="24"/>
          <w:szCs w:val="24"/>
        </w:rPr>
        <w:t>block is formed based on combination categories of eGFR</w:t>
      </w:r>
      <w:r w:rsidR="0065184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5184F">
        <w:rPr>
          <w:rFonts w:ascii="Times New Roman" w:hAnsi="Times New Roman"/>
          <w:sz w:val="24"/>
          <w:szCs w:val="24"/>
        </w:rPr>
        <w:t xml:space="preserve">and UACR. CKD risk category numbering is such that a higher number reflects presumed greater risk. </w:t>
      </w:r>
    </w:p>
    <w:p w14:paraId="3E26A9BE" w14:textId="3A13C4D8" w:rsidR="0065184F" w:rsidRDefault="0065184F" w:rsidP="00FB72E6">
      <w:pPr>
        <w:widowControl w:val="0"/>
        <w:rPr>
          <w:rFonts w:ascii="Times New Roman" w:hAnsi="Times New Roman"/>
          <w:sz w:val="24"/>
          <w:szCs w:val="24"/>
        </w:rPr>
      </w:pPr>
      <w:r w:rsidRPr="0037213C">
        <w:rPr>
          <w:rFonts w:ascii="Times New Roman" w:hAnsi="Times New Roman"/>
          <w:b/>
          <w:bCs/>
          <w:sz w:val="24"/>
          <w:szCs w:val="24"/>
        </w:rPr>
        <w:t>Abbreviations</w:t>
      </w:r>
      <w:r>
        <w:rPr>
          <w:rFonts w:ascii="Times New Roman" w:hAnsi="Times New Roman"/>
          <w:sz w:val="24"/>
          <w:szCs w:val="24"/>
        </w:rPr>
        <w:t xml:space="preserve">: eGFR, estimated glomerular filtration rate; UACR, urinary albumin-to-creatinine ratio. The 5 CKD risk categories; their clinical description; and their KDIGO descriptors are as follows: </w:t>
      </w:r>
    </w:p>
    <w:p w14:paraId="6C4AC319" w14:textId="77777777" w:rsidR="0065184F" w:rsidRDefault="0065184F" w:rsidP="006518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10"/>
        <w:gridCol w:w="7140"/>
      </w:tblGrid>
      <w:tr w:rsidR="0065184F" w14:paraId="29257955" w14:textId="77777777" w:rsidTr="00984D7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9790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No CKD (1a)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1DFF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eGFR ≥60 and UACR &lt;10 (Dark Green)</w:t>
            </w:r>
          </w:p>
        </w:tc>
      </w:tr>
      <w:tr w:rsidR="0065184F" w14:paraId="347C23FF" w14:textId="77777777" w:rsidTr="00984D7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867A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Low Risk (1b)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AC91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eGFR ≥ 60 and UACR 10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29 (Light Green)</w:t>
            </w:r>
          </w:p>
        </w:tc>
      </w:tr>
      <w:tr w:rsidR="0065184F" w14:paraId="5E148CC9" w14:textId="77777777" w:rsidTr="00984D7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C814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Moderate Risk (2)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63F6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eGFR ≥60 and UACR 30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299 (Yellow)</w:t>
            </w:r>
          </w:p>
        </w:tc>
      </w:tr>
      <w:tr w:rsidR="0065184F" w14:paraId="27695034" w14:textId="77777777" w:rsidTr="00984D7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29B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High Risk (3)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A40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eGFR 30-59 and UACR &lt;30) or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eGFR 45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59 and UACR 30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299) or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eGFR ≥60 and UACR ≥300) (Orange)</w:t>
            </w:r>
          </w:p>
        </w:tc>
      </w:tr>
      <w:tr w:rsidR="0065184F" w14:paraId="78C55688" w14:textId="77777777" w:rsidTr="00984D7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A466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Very High Risk (4)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97CC" w14:textId="77777777" w:rsidR="0065184F" w:rsidRDefault="0065184F" w:rsidP="00984D7A">
            <w:pPr>
              <w:rPr>
                <w:rFonts w:ascii="Times New Roman" w:eastAsia="Malgun Gothic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eGFR &lt; 30 or (eGFR 30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44 and UACR 30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299) or (eGFR 30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59 and UACR ≥ 300) (Red)</w:t>
            </w:r>
          </w:p>
        </w:tc>
      </w:tr>
    </w:tbl>
    <w:p w14:paraId="45958F0D" w14:textId="77777777" w:rsidR="0065184F" w:rsidRPr="00720898" w:rsidRDefault="0065184F" w:rsidP="0065184F">
      <w:pPr>
        <w:tabs>
          <w:tab w:val="left" w:pos="1036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184F" w:rsidRPr="0072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8C7C" w14:textId="77777777" w:rsidR="00DF0DC1" w:rsidRDefault="00DF0DC1" w:rsidP="00517C6C">
      <w:pPr>
        <w:spacing w:after="0" w:line="240" w:lineRule="auto"/>
      </w:pPr>
      <w:r>
        <w:separator/>
      </w:r>
    </w:p>
  </w:endnote>
  <w:endnote w:type="continuationSeparator" w:id="0">
    <w:p w14:paraId="2E3BB74F" w14:textId="77777777" w:rsidR="00DF0DC1" w:rsidRDefault="00DF0DC1" w:rsidP="0051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047A" w14:textId="77777777" w:rsidR="00DF0DC1" w:rsidRDefault="00DF0DC1" w:rsidP="00517C6C">
      <w:pPr>
        <w:spacing w:after="0" w:line="240" w:lineRule="auto"/>
      </w:pPr>
      <w:r>
        <w:separator/>
      </w:r>
    </w:p>
  </w:footnote>
  <w:footnote w:type="continuationSeparator" w:id="0">
    <w:p w14:paraId="775B4E3A" w14:textId="77777777" w:rsidR="00DF0DC1" w:rsidRDefault="00DF0DC1" w:rsidP="00517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7C"/>
    <w:rsid w:val="002D7603"/>
    <w:rsid w:val="0037213C"/>
    <w:rsid w:val="003A26CD"/>
    <w:rsid w:val="003C4154"/>
    <w:rsid w:val="003D337C"/>
    <w:rsid w:val="004306EA"/>
    <w:rsid w:val="00480BA1"/>
    <w:rsid w:val="00517C6C"/>
    <w:rsid w:val="00557579"/>
    <w:rsid w:val="0065184F"/>
    <w:rsid w:val="007E522F"/>
    <w:rsid w:val="008322C7"/>
    <w:rsid w:val="008C60A6"/>
    <w:rsid w:val="00A17C3F"/>
    <w:rsid w:val="00C002A9"/>
    <w:rsid w:val="00C37F98"/>
    <w:rsid w:val="00CD2529"/>
    <w:rsid w:val="00DF0DC1"/>
    <w:rsid w:val="00E36474"/>
    <w:rsid w:val="00ED592B"/>
    <w:rsid w:val="00EF6A32"/>
    <w:rsid w:val="00F35FF9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74BD2"/>
  <w15:chartTrackingRefBased/>
  <w15:docId w15:val="{05BCBC1F-E430-47E5-AEC7-20850D3F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84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65184F"/>
    <w:pPr>
      <w:spacing w:after="0" w:line="240" w:lineRule="auto"/>
    </w:pPr>
    <w:rPr>
      <w:rFonts w:eastAsia="Batang"/>
      <w:kern w:val="0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7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6C"/>
    <w:rPr>
      <w:kern w:val="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517C6C"/>
    <w:pPr>
      <w:tabs>
        <w:tab w:val="left" w:pos="504"/>
      </w:tabs>
      <w:spacing w:after="240" w:line="240" w:lineRule="auto"/>
      <w:ind w:left="504" w:hanging="504"/>
    </w:pPr>
  </w:style>
  <w:style w:type="paragraph" w:styleId="TOCHeading">
    <w:name w:val="TOC Heading"/>
    <w:basedOn w:val="Heading1"/>
    <w:next w:val="Normal"/>
    <w:uiPriority w:val="39"/>
    <w:unhideWhenUsed/>
    <w:qFormat/>
    <w:rsid w:val="008322C7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322C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32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8972-CE3E-42FB-B772-2D738E8F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 Choi</dc:creator>
  <cp:keywords/>
  <dc:description/>
  <cp:lastModifiedBy>Yuni Choi</cp:lastModifiedBy>
  <cp:revision>13</cp:revision>
  <dcterms:created xsi:type="dcterms:W3CDTF">2023-02-19T16:58:00Z</dcterms:created>
  <dcterms:modified xsi:type="dcterms:W3CDTF">2023-04-08T16:18:00Z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zotero-version="6.0.23"&gt;&lt;session id="mDsicIV5"/&gt;&lt;style id="http://www.zotero.org/styles/stroke" hasBibliography="1" bibliographyStyleHasBeenSet="1"/&gt;&lt;prefs&gt;&lt;pref name="fieldType" value="Field"/&gt;&lt;/prefs&gt;&lt;/data&gt;</vt:lpwstr>
  </property>
</Properties>
</file>