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7D4AD" w14:textId="51B3619D" w:rsidR="00CA1516" w:rsidRPr="00B35B6D" w:rsidRDefault="00BC42CA" w:rsidP="007D00A4">
      <w:pPr>
        <w:rPr>
          <w:color w:val="000000"/>
        </w:rPr>
      </w:pPr>
      <w:r w:rsidRPr="00B35B6D">
        <w:rPr>
          <w:color w:val="000000"/>
        </w:rPr>
        <w:drawing>
          <wp:inline distT="0" distB="0" distL="0" distR="0" wp14:anchorId="666E7500" wp14:editId="118C62B5">
            <wp:extent cx="4602480" cy="2755392"/>
            <wp:effectExtent l="0" t="0" r="762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2480" cy="275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4B626" w14:textId="5D993226" w:rsidR="00BC42CA" w:rsidRPr="00B35B6D" w:rsidRDefault="004752AF">
      <w:pPr>
        <w:rPr>
          <w:rFonts w:ascii="Times New Roman" w:eastAsia="SimSun" w:hAnsi="Times New Roman" w:cs="Times New Roman"/>
          <w:color w:val="000000"/>
          <w:szCs w:val="21"/>
        </w:rPr>
      </w:pPr>
      <w:r w:rsidRPr="00B35B6D">
        <w:rPr>
          <w:rFonts w:ascii="Times New Roman" w:eastAsia="SimSun" w:hAnsi="Times New Roman" w:cs="Times New Roman"/>
          <w:color w:val="000000"/>
          <w:szCs w:val="21"/>
        </w:rPr>
        <w:t>s</w:t>
      </w:r>
      <w:r w:rsidR="00BC42CA" w:rsidRPr="00B35B6D">
        <w:rPr>
          <w:rFonts w:ascii="Times New Roman" w:eastAsia="SimSun" w:hAnsi="Times New Roman" w:cs="Times New Roman"/>
          <w:color w:val="000000"/>
          <w:szCs w:val="21"/>
        </w:rPr>
        <w:t>upplement</w:t>
      </w:r>
      <w:r w:rsidRPr="00B35B6D">
        <w:rPr>
          <w:rFonts w:ascii="Times New Roman" w:eastAsia="SimSun" w:hAnsi="Times New Roman" w:cs="Times New Roman"/>
          <w:color w:val="000000"/>
          <w:szCs w:val="21"/>
        </w:rPr>
        <w:t>ary</w:t>
      </w:r>
      <w:r w:rsidR="00BC42CA" w:rsidRPr="00B35B6D">
        <w:rPr>
          <w:rFonts w:ascii="Times New Roman" w:eastAsia="SimSun" w:hAnsi="Times New Roman" w:cs="Times New Roman"/>
          <w:color w:val="000000"/>
          <w:szCs w:val="21"/>
        </w:rPr>
        <w:t xml:space="preserve"> figure 1 Epidemiological trends of etiologies in hepatocellular carcinoma patients</w:t>
      </w:r>
    </w:p>
    <w:p w14:paraId="27DEE621" w14:textId="2D2F4B11" w:rsidR="00BC42CA" w:rsidRPr="00B35B6D" w:rsidRDefault="00BC42CA">
      <w:pPr>
        <w:rPr>
          <w:rFonts w:ascii="Times New Roman" w:eastAsia="SimSun" w:hAnsi="Times New Roman" w:cs="Times New Roman"/>
          <w:color w:val="000000"/>
          <w:szCs w:val="21"/>
        </w:rPr>
      </w:pPr>
    </w:p>
    <w:p w14:paraId="0A5FA52B" w14:textId="12501BDF" w:rsidR="00BC42CA" w:rsidRPr="00B35B6D" w:rsidRDefault="00BC42CA">
      <w:pPr>
        <w:rPr>
          <w:rFonts w:ascii="Times New Roman" w:eastAsia="SimSun" w:hAnsi="Times New Roman" w:cs="Times New Roman"/>
          <w:color w:val="000000"/>
          <w:szCs w:val="21"/>
        </w:rPr>
      </w:pPr>
    </w:p>
    <w:p w14:paraId="2649E4CC" w14:textId="4A7D40C1" w:rsidR="00BC42CA" w:rsidRPr="00B35B6D" w:rsidRDefault="00BC42CA" w:rsidP="002863D5">
      <w:pPr>
        <w:jc w:val="center"/>
        <w:rPr>
          <w:color w:val="000000"/>
        </w:rPr>
      </w:pPr>
      <w:r w:rsidRPr="00B35B6D">
        <w:rPr>
          <w:color w:val="000000"/>
        </w:rPr>
        <w:drawing>
          <wp:inline distT="0" distB="0" distL="0" distR="0" wp14:anchorId="422A09B3" wp14:editId="70F26759">
            <wp:extent cx="5274310" cy="205613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974AD" w14:textId="08FDF51B" w:rsidR="00BC42CA" w:rsidRPr="00B35B6D" w:rsidRDefault="004752AF" w:rsidP="00BC42CA">
      <w:pPr>
        <w:rPr>
          <w:rFonts w:ascii="Times New Roman" w:eastAsia="SimSun" w:hAnsi="Times New Roman" w:cs="Times New Roman"/>
          <w:color w:val="000000"/>
          <w:szCs w:val="21"/>
        </w:rPr>
      </w:pPr>
      <w:r w:rsidRPr="00B35B6D">
        <w:rPr>
          <w:rFonts w:ascii="Times New Roman" w:eastAsia="SimSun" w:hAnsi="Times New Roman" w:cs="Times New Roman"/>
          <w:color w:val="000000"/>
          <w:szCs w:val="21"/>
        </w:rPr>
        <w:t>s</w:t>
      </w:r>
      <w:r w:rsidR="00BC42CA" w:rsidRPr="00B35B6D">
        <w:rPr>
          <w:rFonts w:ascii="Times New Roman" w:eastAsia="SimSun" w:hAnsi="Times New Roman" w:cs="Times New Roman"/>
          <w:color w:val="000000"/>
          <w:szCs w:val="21"/>
        </w:rPr>
        <w:t>upplement</w:t>
      </w:r>
      <w:r w:rsidRPr="00B35B6D">
        <w:rPr>
          <w:rFonts w:ascii="Times New Roman" w:eastAsia="SimSun" w:hAnsi="Times New Roman" w:cs="Times New Roman"/>
          <w:color w:val="000000"/>
          <w:szCs w:val="21"/>
        </w:rPr>
        <w:t>ary</w:t>
      </w:r>
      <w:r w:rsidR="00BC42CA" w:rsidRPr="00B35B6D">
        <w:rPr>
          <w:rFonts w:ascii="Times New Roman" w:eastAsia="SimSun" w:hAnsi="Times New Roman" w:cs="Times New Roman"/>
          <w:color w:val="000000"/>
          <w:szCs w:val="21"/>
        </w:rPr>
        <w:t xml:space="preserve"> figure 2</w:t>
      </w:r>
      <w:r w:rsidR="00BD6A68" w:rsidRPr="00B35B6D">
        <w:rPr>
          <w:rFonts w:ascii="Times New Roman" w:eastAsia="SimSun" w:hAnsi="Times New Roman" w:cs="Times New Roman"/>
          <w:color w:val="000000"/>
          <w:szCs w:val="21"/>
        </w:rPr>
        <w:t xml:space="preserve"> (A)</w:t>
      </w:r>
      <w:r w:rsidR="00BC42CA" w:rsidRPr="00B35B6D">
        <w:rPr>
          <w:rFonts w:ascii="Times New Roman" w:eastAsia="SimSun" w:hAnsi="Times New Roman" w:cs="Times New Roman"/>
          <w:color w:val="000000"/>
          <w:szCs w:val="21"/>
        </w:rPr>
        <w:t xml:space="preserve"> Overall survival in MAFLD patients stratified by steatosis grade.</w:t>
      </w:r>
      <w:r w:rsidR="00BD6A68" w:rsidRPr="00B35B6D">
        <w:rPr>
          <w:rFonts w:ascii="Times New Roman" w:eastAsia="SimSun" w:hAnsi="Times New Roman" w:cs="Times New Roman"/>
          <w:color w:val="000000"/>
          <w:szCs w:val="21"/>
        </w:rPr>
        <w:t xml:space="preserve"> (B) Disease-free survival in MAFLD patients stratified by steatosis grade. </w:t>
      </w:r>
    </w:p>
    <w:p w14:paraId="27D49BB8" w14:textId="77777777" w:rsidR="00BC42CA" w:rsidRPr="00B35B6D" w:rsidRDefault="00BC42CA">
      <w:pPr>
        <w:rPr>
          <w:color w:val="000000"/>
        </w:rPr>
      </w:pPr>
    </w:p>
    <w:sectPr w:rsidR="00BC42CA" w:rsidRPr="00B35B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EBE5F" w14:textId="77777777" w:rsidR="00A2373B" w:rsidRDefault="00A2373B" w:rsidP="004752AF">
      <w:r>
        <w:separator/>
      </w:r>
    </w:p>
  </w:endnote>
  <w:endnote w:type="continuationSeparator" w:id="0">
    <w:p w14:paraId="43BB5E82" w14:textId="77777777" w:rsidR="00A2373B" w:rsidRDefault="00A2373B" w:rsidP="00475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3E503" w14:textId="77777777" w:rsidR="00A2373B" w:rsidRDefault="00A2373B" w:rsidP="004752AF">
      <w:r>
        <w:separator/>
      </w:r>
    </w:p>
  </w:footnote>
  <w:footnote w:type="continuationSeparator" w:id="0">
    <w:p w14:paraId="178E7B61" w14:textId="77777777" w:rsidR="00A2373B" w:rsidRDefault="00A2373B" w:rsidP="004752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Formatting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C42CA"/>
    <w:rsid w:val="00080A15"/>
    <w:rsid w:val="000B35ED"/>
    <w:rsid w:val="002863D5"/>
    <w:rsid w:val="004752AF"/>
    <w:rsid w:val="004C5ECF"/>
    <w:rsid w:val="007D00A4"/>
    <w:rsid w:val="00A2373B"/>
    <w:rsid w:val="00B05D6C"/>
    <w:rsid w:val="00B35B6D"/>
    <w:rsid w:val="00BC42CA"/>
    <w:rsid w:val="00BD6A68"/>
    <w:rsid w:val="00CA1516"/>
    <w:rsid w:val="00D43E58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440C9"/>
  <w15:chartTrackingRefBased/>
  <w15:docId w15:val="{530BF636-040C-40A1-B141-FB3677B57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2A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752A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752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752AF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43E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3E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3E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E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E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 yajing</dc:creator>
  <cp:keywords/>
  <dc:description/>
  <cp:lastModifiedBy>Krishnamurthi, Divya</cp:lastModifiedBy>
  <cp:revision>4</cp:revision>
  <dcterms:created xsi:type="dcterms:W3CDTF">2023-07-20T23:54:00Z</dcterms:created>
  <dcterms:modified xsi:type="dcterms:W3CDTF">2023-07-20T23:54:00Z</dcterms:modified>
</cp:coreProperties>
</file>