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6B422" w14:textId="77777777" w:rsidR="00577717" w:rsidRPr="0002415B" w:rsidRDefault="0002415B">
      <w:pPr>
        <w:adjustRightInd w:val="0"/>
        <w:snapToGrid w:val="0"/>
        <w:jc w:val="center"/>
        <w:rPr>
          <w:rFonts w:eastAsia="Calibri"/>
          <w:b/>
          <w:color w:val="000000"/>
          <w:kern w:val="0"/>
          <w:sz w:val="29"/>
          <w:szCs w:val="32"/>
          <w:lang w:eastAsia="en-US"/>
        </w:rPr>
      </w:pPr>
      <w:r w:rsidRPr="0002415B">
        <w:rPr>
          <w:rFonts w:eastAsia="Calibri"/>
          <w:b/>
          <w:color w:val="000000"/>
          <w:kern w:val="0"/>
          <w:sz w:val="29"/>
          <w:szCs w:val="32"/>
          <w:lang w:eastAsia="en-US"/>
        </w:rPr>
        <w:t>Electronic Supplementary Information</w:t>
      </w:r>
    </w:p>
    <w:p w14:paraId="37F95BF6" w14:textId="77777777" w:rsidR="00577717" w:rsidRPr="0002415B" w:rsidRDefault="00577717">
      <w:pPr>
        <w:pStyle w:val="Heading1"/>
        <w:keepNext w:val="0"/>
        <w:keepLines w:val="0"/>
        <w:spacing w:line="480" w:lineRule="auto"/>
        <w:rPr>
          <w:rFonts w:ascii="Times New Roman" w:hAnsi="Times New Roman"/>
          <w:sz w:val="28"/>
          <w:szCs w:val="28"/>
        </w:rPr>
      </w:pPr>
    </w:p>
    <w:p w14:paraId="7576103D" w14:textId="31CB1804" w:rsidR="00577717" w:rsidRPr="0002415B" w:rsidRDefault="0002415B">
      <w:pPr>
        <w:spacing w:line="480" w:lineRule="auto"/>
        <w:rPr>
          <w:b/>
          <w:bCs/>
          <w:color w:val="000000"/>
          <w:sz w:val="24"/>
          <w:szCs w:val="24"/>
        </w:rPr>
      </w:pPr>
      <w:r w:rsidRPr="0002415B">
        <w:rPr>
          <w:rFonts w:hint="eastAsia"/>
          <w:i/>
          <w:iCs/>
          <w:color w:val="000000"/>
          <w:sz w:val="24"/>
          <w:szCs w:val="24"/>
        </w:rPr>
        <w:t xml:space="preserve">1.1 </w:t>
      </w:r>
      <w:r w:rsidRPr="0002415B">
        <w:rPr>
          <w:rFonts w:hint="eastAsia"/>
          <w:i/>
          <w:iCs/>
          <w:color w:val="000000"/>
          <w:kern w:val="0"/>
          <w:sz w:val="24"/>
        </w:rPr>
        <w:t xml:space="preserve">Optimization of medium and </w:t>
      </w:r>
      <w:bookmarkStart w:id="0" w:name="OLE_LINK33"/>
      <w:r w:rsidRPr="0002415B">
        <w:rPr>
          <w:rFonts w:hint="eastAsia"/>
          <w:i/>
          <w:iCs/>
          <w:color w:val="000000"/>
          <w:kern w:val="0"/>
          <w:sz w:val="24"/>
        </w:rPr>
        <w:t>slice-making method</w:t>
      </w:r>
      <w:bookmarkEnd w:id="0"/>
      <w:r w:rsidRPr="0002415B">
        <w:rPr>
          <w:rFonts w:hint="eastAsia"/>
          <w:i/>
          <w:iCs/>
          <w:color w:val="000000"/>
          <w:kern w:val="0"/>
          <w:sz w:val="24"/>
        </w:rPr>
        <w:t xml:space="preserve"> </w:t>
      </w:r>
    </w:p>
    <w:p w14:paraId="4D59F57C" w14:textId="77777777" w:rsidR="00577717" w:rsidRPr="0002415B" w:rsidRDefault="0002415B">
      <w:pPr>
        <w:spacing w:line="480" w:lineRule="auto"/>
        <w:ind w:firstLineChars="200" w:firstLine="480"/>
        <w:rPr>
          <w:b/>
          <w:bCs/>
          <w:color w:val="000000"/>
          <w:sz w:val="24"/>
          <w:szCs w:val="24"/>
        </w:rPr>
      </w:pPr>
      <w:r w:rsidRPr="0002415B">
        <w:rPr>
          <w:rFonts w:hint="eastAsia"/>
          <w:color w:val="000000"/>
          <w:kern w:val="0"/>
          <w:sz w:val="24"/>
        </w:rPr>
        <w:t xml:space="preserve">In high-volume hematology laboratories, automated slide-making methods with little manual intervention are expected to reduce the adverse impacts on leukemia diagnosis [1-3]. A homogeneous, reproducible and simple slice-making method is helpful for the preparation of </w:t>
      </w:r>
      <w:bookmarkStart w:id="1" w:name="OLE_LINK6"/>
      <w:r w:rsidRPr="0002415B">
        <w:rPr>
          <w:rFonts w:hint="eastAsia"/>
          <w:color w:val="000000"/>
          <w:kern w:val="0"/>
          <w:sz w:val="24"/>
        </w:rPr>
        <w:t>high-quality slides</w:t>
      </w:r>
      <w:bookmarkEnd w:id="1"/>
      <w:r w:rsidRPr="0002415B">
        <w:rPr>
          <w:rFonts w:hint="eastAsia"/>
          <w:color w:val="000000"/>
          <w:kern w:val="0"/>
          <w:sz w:val="24"/>
        </w:rPr>
        <w:t xml:space="preserve"> [3-4]. The </w:t>
      </w:r>
      <w:bookmarkStart w:id="2" w:name="OLE_LINK2"/>
      <w:r w:rsidRPr="0002415B">
        <w:rPr>
          <w:rFonts w:hint="eastAsia"/>
          <w:color w:val="000000"/>
          <w:kern w:val="0"/>
          <w:sz w:val="24"/>
        </w:rPr>
        <w:t>slice-making methods</w:t>
      </w:r>
      <w:bookmarkEnd w:id="2"/>
      <w:r w:rsidRPr="0002415B">
        <w:rPr>
          <w:rFonts w:hint="eastAsia"/>
          <w:color w:val="000000"/>
          <w:kern w:val="0"/>
          <w:sz w:val="24"/>
        </w:rPr>
        <w:t xml:space="preserve">, including drop-casting method, </w:t>
      </w:r>
      <w:bookmarkStart w:id="3" w:name="OLE_LINK35"/>
      <w:r w:rsidRPr="0002415B">
        <w:rPr>
          <w:rFonts w:hint="eastAsia"/>
          <w:color w:val="000000"/>
          <w:kern w:val="0"/>
          <w:sz w:val="24"/>
        </w:rPr>
        <w:t>centrifugation method</w:t>
      </w:r>
      <w:bookmarkEnd w:id="3"/>
      <w:r w:rsidRPr="0002415B">
        <w:rPr>
          <w:rFonts w:hint="eastAsia"/>
          <w:color w:val="000000"/>
          <w:kern w:val="0"/>
          <w:sz w:val="24"/>
        </w:rPr>
        <w:t xml:space="preserve"> and push method, were studied. Specifically, for drop-casting method, 10 </w:t>
      </w:r>
      <w:r w:rsidRPr="0002415B">
        <w:rPr>
          <w:rStyle w:val="fontstyle01"/>
          <w:sz w:val="24"/>
          <w:szCs w:val="24"/>
        </w:rPr>
        <w:t>μ</w:t>
      </w:r>
      <w:r w:rsidRPr="0002415B">
        <w:rPr>
          <w:rStyle w:val="fontstyle01"/>
          <w:rFonts w:hint="eastAsia"/>
          <w:sz w:val="24"/>
          <w:szCs w:val="24"/>
        </w:rPr>
        <w:t>L of cell suspension</w:t>
      </w:r>
      <w:bookmarkStart w:id="4" w:name="OLE_LINK4"/>
      <w:r w:rsidRPr="0002415B">
        <w:rPr>
          <w:rStyle w:val="fontstyle01"/>
          <w:rFonts w:hint="eastAsia"/>
          <w:sz w:val="24"/>
          <w:szCs w:val="24"/>
        </w:rPr>
        <w:t xml:space="preserve"> (</w:t>
      </w:r>
      <w:r w:rsidRPr="0002415B">
        <w:rPr>
          <w:rStyle w:val="fontstyle01"/>
          <w:sz w:val="24"/>
          <w:szCs w:val="24"/>
        </w:rPr>
        <w:t>5×10</w:t>
      </w:r>
      <w:r w:rsidRPr="0002415B">
        <w:rPr>
          <w:rStyle w:val="fontstyle01"/>
          <w:rFonts w:hint="eastAsia"/>
          <w:sz w:val="24"/>
          <w:szCs w:val="24"/>
          <w:vertAlign w:val="superscript"/>
        </w:rPr>
        <w:t>6</w:t>
      </w:r>
      <w:r w:rsidRPr="0002415B">
        <w:rPr>
          <w:rStyle w:val="fontstyle01"/>
          <w:rFonts w:hint="eastAsia"/>
          <w:sz w:val="24"/>
          <w:szCs w:val="24"/>
        </w:rPr>
        <w:t>/mL)</w:t>
      </w:r>
      <w:bookmarkEnd w:id="4"/>
      <w:r w:rsidRPr="0002415B">
        <w:rPr>
          <w:rStyle w:val="fontstyle01"/>
          <w:rFonts w:hint="eastAsia"/>
          <w:sz w:val="24"/>
          <w:szCs w:val="24"/>
        </w:rPr>
        <w:t xml:space="preserve"> was dropped on the slide and spread by the pipette tip. </w:t>
      </w:r>
      <w:r w:rsidRPr="0002415B">
        <w:rPr>
          <w:rFonts w:hint="eastAsia"/>
          <w:color w:val="000000"/>
          <w:kern w:val="0"/>
          <w:sz w:val="24"/>
        </w:rPr>
        <w:t>For centrifugation method, the cell suspension</w:t>
      </w:r>
      <w:r w:rsidRPr="0002415B">
        <w:rPr>
          <w:rFonts w:hint="eastAsia"/>
          <w:color w:val="000000"/>
          <w:sz w:val="24"/>
        </w:rPr>
        <w:t xml:space="preserve"> (1 mL, </w:t>
      </w:r>
      <w:r w:rsidRPr="0002415B">
        <w:rPr>
          <w:rStyle w:val="fontstyle01"/>
          <w:sz w:val="24"/>
          <w:szCs w:val="24"/>
        </w:rPr>
        <w:t>5×10</w:t>
      </w:r>
      <w:r w:rsidRPr="0002415B">
        <w:rPr>
          <w:rStyle w:val="fontstyle01"/>
          <w:rFonts w:hint="eastAsia"/>
          <w:sz w:val="24"/>
          <w:szCs w:val="24"/>
          <w:vertAlign w:val="superscript"/>
        </w:rPr>
        <w:t>4</w:t>
      </w:r>
      <w:r w:rsidRPr="0002415B">
        <w:rPr>
          <w:rStyle w:val="fontstyle01"/>
          <w:rFonts w:hint="eastAsia"/>
          <w:sz w:val="24"/>
          <w:szCs w:val="24"/>
        </w:rPr>
        <w:t>/mL</w:t>
      </w:r>
      <w:r w:rsidRPr="0002415B">
        <w:rPr>
          <w:rFonts w:hint="eastAsia"/>
          <w:color w:val="000000"/>
          <w:sz w:val="24"/>
        </w:rPr>
        <w:t>)</w:t>
      </w:r>
      <w:r w:rsidRPr="0002415B">
        <w:rPr>
          <w:rFonts w:hint="eastAsia"/>
          <w:color w:val="000000"/>
          <w:kern w:val="0"/>
          <w:sz w:val="24"/>
        </w:rPr>
        <w:t xml:space="preserve"> was directly centrifuged to adhesive microscope slides. For push method, 10 </w:t>
      </w:r>
      <w:r w:rsidRPr="0002415B">
        <w:rPr>
          <w:rStyle w:val="fontstyle01"/>
          <w:sz w:val="24"/>
          <w:szCs w:val="24"/>
        </w:rPr>
        <w:t>μ</w:t>
      </w:r>
      <w:r w:rsidRPr="0002415B">
        <w:rPr>
          <w:rStyle w:val="fontstyle01"/>
          <w:rFonts w:hint="eastAsia"/>
          <w:sz w:val="24"/>
          <w:szCs w:val="24"/>
        </w:rPr>
        <w:t>L of cell suspension (</w:t>
      </w:r>
      <w:r w:rsidRPr="0002415B">
        <w:rPr>
          <w:rStyle w:val="fontstyle01"/>
          <w:sz w:val="24"/>
          <w:szCs w:val="24"/>
        </w:rPr>
        <w:t>5×10</w:t>
      </w:r>
      <w:r w:rsidRPr="0002415B">
        <w:rPr>
          <w:rStyle w:val="fontstyle01"/>
          <w:rFonts w:hint="eastAsia"/>
          <w:sz w:val="24"/>
          <w:szCs w:val="24"/>
          <w:vertAlign w:val="superscript"/>
        </w:rPr>
        <w:t>6</w:t>
      </w:r>
      <w:r w:rsidRPr="0002415B">
        <w:rPr>
          <w:rStyle w:val="fontstyle01"/>
          <w:rFonts w:hint="eastAsia"/>
          <w:sz w:val="24"/>
          <w:szCs w:val="24"/>
        </w:rPr>
        <w:t>/mL) was dropped on the slide, then using another sliding plate with smooth edge to contact the suspension and maintaining a 30-45</w:t>
      </w:r>
      <w:r w:rsidRPr="0002415B">
        <w:rPr>
          <w:rFonts w:eastAsia="Segoe UI"/>
          <w:color w:val="000000"/>
          <w:sz w:val="24"/>
          <w:szCs w:val="24"/>
        </w:rPr>
        <w:t>°</w:t>
      </w:r>
      <w:r w:rsidRPr="0002415B">
        <w:rPr>
          <w:rStyle w:val="fontstyle01"/>
          <w:rFonts w:hint="eastAsia"/>
          <w:sz w:val="24"/>
          <w:szCs w:val="24"/>
        </w:rPr>
        <w:t xml:space="preserve"> angle with the slide. Then, pushing the sliding plate quickly to spread the suspension along the pusher in a linear manner.</w:t>
      </w:r>
    </w:p>
    <w:p w14:paraId="0F2B83AC" w14:textId="77777777" w:rsidR="00577717" w:rsidRPr="0002415B" w:rsidRDefault="0002415B">
      <w:pPr>
        <w:spacing w:line="360" w:lineRule="auto"/>
        <w:rPr>
          <w:b/>
          <w:bCs/>
          <w:color w:val="000000"/>
          <w:sz w:val="24"/>
          <w:szCs w:val="24"/>
        </w:rPr>
      </w:pPr>
      <w:r w:rsidRPr="0002415B">
        <w:rPr>
          <w:b/>
          <w:bCs/>
          <w:noProof/>
          <w:color w:val="000000"/>
          <w:sz w:val="24"/>
          <w:szCs w:val="24"/>
        </w:rPr>
        <w:drawing>
          <wp:anchor distT="0" distB="0" distL="114300" distR="114300" simplePos="0" relativeHeight="2048" behindDoc="0" locked="0" layoutInCell="1" allowOverlap="1" wp14:anchorId="76FB304D" wp14:editId="1D78FB87">
            <wp:simplePos x="0" y="0"/>
            <wp:positionH relativeFrom="column">
              <wp:posOffset>-467995</wp:posOffset>
            </wp:positionH>
            <wp:positionV relativeFrom="paragraph">
              <wp:posOffset>170815</wp:posOffset>
            </wp:positionV>
            <wp:extent cx="6228715" cy="3060065"/>
            <wp:effectExtent l="0" t="0" r="19685" b="13335"/>
            <wp:wrapNone/>
            <wp:docPr id="52" name="图片 52" descr="SI-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SI-figure 1"/>
                    <pic:cNvPicPr>
                      <a:picLocks noChangeAspect="1"/>
                    </pic:cNvPicPr>
                  </pic:nvPicPr>
                  <pic:blipFill>
                    <a:blip r:embed="rId7"/>
                    <a:stretch>
                      <a:fillRect/>
                    </a:stretch>
                  </pic:blipFill>
                  <pic:spPr>
                    <a:xfrm>
                      <a:off x="0" y="0"/>
                      <a:ext cx="6228715" cy="3060065"/>
                    </a:xfrm>
                    <a:prstGeom prst="rect">
                      <a:avLst/>
                    </a:prstGeom>
                  </pic:spPr>
                </pic:pic>
              </a:graphicData>
            </a:graphic>
          </wp:anchor>
        </w:drawing>
      </w:r>
    </w:p>
    <w:p w14:paraId="136706FF" w14:textId="77777777" w:rsidR="00577717" w:rsidRPr="0002415B" w:rsidRDefault="00577717">
      <w:pPr>
        <w:spacing w:line="360" w:lineRule="auto"/>
        <w:rPr>
          <w:b/>
          <w:bCs/>
          <w:color w:val="000000"/>
          <w:sz w:val="24"/>
          <w:szCs w:val="24"/>
        </w:rPr>
      </w:pPr>
    </w:p>
    <w:p w14:paraId="7284303D" w14:textId="77777777" w:rsidR="00577717" w:rsidRPr="0002415B" w:rsidRDefault="00577717">
      <w:pPr>
        <w:spacing w:line="360" w:lineRule="auto"/>
        <w:rPr>
          <w:b/>
          <w:bCs/>
          <w:color w:val="000000"/>
          <w:sz w:val="24"/>
          <w:szCs w:val="24"/>
        </w:rPr>
      </w:pPr>
    </w:p>
    <w:p w14:paraId="543B7890" w14:textId="77777777" w:rsidR="00577717" w:rsidRPr="0002415B" w:rsidRDefault="00577717">
      <w:pPr>
        <w:spacing w:line="360" w:lineRule="auto"/>
        <w:rPr>
          <w:b/>
          <w:bCs/>
          <w:color w:val="000000"/>
          <w:sz w:val="24"/>
          <w:szCs w:val="24"/>
        </w:rPr>
      </w:pPr>
    </w:p>
    <w:p w14:paraId="088D1571" w14:textId="77777777" w:rsidR="00577717" w:rsidRPr="0002415B" w:rsidRDefault="00577717">
      <w:pPr>
        <w:spacing w:line="360" w:lineRule="auto"/>
        <w:jc w:val="left"/>
        <w:rPr>
          <w:color w:val="000000"/>
        </w:rPr>
      </w:pPr>
    </w:p>
    <w:p w14:paraId="277C3D76" w14:textId="77777777" w:rsidR="00577717" w:rsidRPr="0002415B" w:rsidRDefault="00577717">
      <w:pPr>
        <w:spacing w:line="360" w:lineRule="auto"/>
        <w:jc w:val="distribute"/>
        <w:rPr>
          <w:color w:val="000000"/>
        </w:rPr>
      </w:pPr>
    </w:p>
    <w:p w14:paraId="644E8E30" w14:textId="77777777" w:rsidR="00577717" w:rsidRPr="0002415B" w:rsidRDefault="00577717">
      <w:pPr>
        <w:spacing w:line="360" w:lineRule="auto"/>
        <w:jc w:val="left"/>
        <w:rPr>
          <w:bCs/>
          <w:color w:val="000000"/>
          <w:sz w:val="24"/>
          <w:szCs w:val="24"/>
        </w:rPr>
      </w:pPr>
    </w:p>
    <w:p w14:paraId="34B1BBBA" w14:textId="77777777" w:rsidR="00577717" w:rsidRPr="0002415B" w:rsidRDefault="00577717">
      <w:pPr>
        <w:spacing w:line="360" w:lineRule="auto"/>
        <w:jc w:val="left"/>
        <w:rPr>
          <w:bCs/>
          <w:color w:val="000000"/>
          <w:sz w:val="24"/>
          <w:szCs w:val="24"/>
        </w:rPr>
      </w:pPr>
    </w:p>
    <w:p w14:paraId="217BA4D1" w14:textId="77777777" w:rsidR="00577717" w:rsidRPr="0002415B" w:rsidRDefault="00577717">
      <w:pPr>
        <w:spacing w:line="360" w:lineRule="auto"/>
        <w:jc w:val="center"/>
        <w:rPr>
          <w:color w:val="000000"/>
        </w:rPr>
      </w:pPr>
    </w:p>
    <w:p w14:paraId="1F6E9C07" w14:textId="77777777" w:rsidR="00577717" w:rsidRPr="0002415B" w:rsidRDefault="00577717">
      <w:pPr>
        <w:spacing w:line="360" w:lineRule="auto"/>
        <w:rPr>
          <w:color w:val="000000"/>
        </w:rPr>
      </w:pPr>
    </w:p>
    <w:p w14:paraId="71647190" w14:textId="77777777" w:rsidR="00577717" w:rsidRPr="0002415B" w:rsidRDefault="0002415B">
      <w:pPr>
        <w:spacing w:line="360" w:lineRule="auto"/>
        <w:jc w:val="center"/>
        <w:rPr>
          <w:bCs/>
          <w:color w:val="000000"/>
          <w:sz w:val="24"/>
          <w:szCs w:val="24"/>
        </w:rPr>
      </w:pPr>
      <w:r w:rsidRPr="0002415B">
        <w:rPr>
          <w:noProof/>
          <w:color w:val="000000"/>
        </w:rPr>
        <mc:AlternateContent>
          <mc:Choice Requires="wps">
            <w:drawing>
              <wp:anchor distT="0" distB="0" distL="114300" distR="114300" simplePos="0" relativeHeight="1024" behindDoc="0" locked="0" layoutInCell="1" allowOverlap="1" wp14:anchorId="45561FC4" wp14:editId="140D851D">
                <wp:simplePos x="0" y="0"/>
                <wp:positionH relativeFrom="column">
                  <wp:posOffset>1331595</wp:posOffset>
                </wp:positionH>
                <wp:positionV relativeFrom="paragraph">
                  <wp:posOffset>436880</wp:posOffset>
                </wp:positionV>
                <wp:extent cx="581660" cy="463550"/>
                <wp:effectExtent l="0" t="0" r="0" b="0"/>
                <wp:wrapNone/>
                <wp:docPr id="50" name="文本框 422"/>
                <wp:cNvGraphicFramePr/>
                <a:graphic xmlns:a="http://schemas.openxmlformats.org/drawingml/2006/main">
                  <a:graphicData uri="http://schemas.microsoft.com/office/word/2010/wordprocessingShape">
                    <wps:wsp>
                      <wps:cNvSpPr txBox="1"/>
                      <wps:spPr>
                        <a:xfrm>
                          <a:off x="0" y="0"/>
                          <a:ext cx="581660" cy="463550"/>
                        </a:xfrm>
                        <a:prstGeom prst="rect">
                          <a:avLst/>
                        </a:prstGeom>
                        <a:noFill/>
                        <a:ln w="9525">
                          <a:noFill/>
                        </a:ln>
                      </wps:spPr>
                      <wps:txbx>
                        <w:txbxContent>
                          <w:p w14:paraId="1A9157DE" w14:textId="77777777" w:rsidR="00577717" w:rsidRDefault="0002415B">
                            <w:pPr>
                              <w:rPr>
                                <w:rFonts w:ascii="Arial" w:hAnsi="Arial" w:cs="Arial"/>
                                <w:b/>
                                <w:bCs/>
                                <w:sz w:val="28"/>
                                <w:szCs w:val="28"/>
                              </w:rPr>
                            </w:pPr>
                            <w:r>
                              <w:rPr>
                                <w:rFonts w:ascii="Arial" w:hAnsi="Arial" w:cs="Arial"/>
                                <w:b/>
                                <w:bCs/>
                                <w:sz w:val="28"/>
                                <w:szCs w:val="28"/>
                              </w:rPr>
                              <w:t>G</w:t>
                            </w:r>
                          </w:p>
                        </w:txbxContent>
                      </wps:txbx>
                      <wps:bodyPr wrap="square" upright="1"/>
                    </wps:wsp>
                  </a:graphicData>
                </a:graphic>
              </wp:anchor>
            </w:drawing>
          </mc:Choice>
          <mc:Fallback>
            <w:pict>
              <v:shapetype w14:anchorId="45561FC4" id="_x0000_t202" coordsize="21600,21600" o:spt="202" path="m,l,21600r21600,l21600,xe">
                <v:stroke joinstyle="miter"/>
                <v:path gradientshapeok="t" o:connecttype="rect"/>
              </v:shapetype>
              <v:shape id="文本框 422" o:spid="_x0000_s1026" type="#_x0000_t202" style="position:absolute;left:0;text-align:left;margin-left:104.85pt;margin-top:34.4pt;width:45.8pt;height:36.5pt;z-index: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" filled="f" stroked="f">
                <v:textbox>
                  <w:txbxContent>
                    <w:p w14:paraId="1A9157DE" w14:textId="77777777" w:rsidR="00577717" w:rsidRDefault="0002415B">
                      <w:pPr>
                        <w:rPr>
                          <w:rFonts w:ascii="Arial" w:hAnsi="Arial" w:cs="Arial"/>
                          <w:b/>
                          <w:bCs/>
                          <w:sz w:val="28"/>
                          <w:szCs w:val="28"/>
                        </w:rPr>
                      </w:pPr>
                      <w:r>
                        <w:rPr>
                          <w:rFonts w:ascii="Arial" w:hAnsi="Arial" w:cs="Arial"/>
                          <w:b/>
                          <w:bCs/>
                          <w:sz w:val="28"/>
                          <w:szCs w:val="28"/>
                        </w:rPr>
                        <w:t>G</w:t>
                      </w:r>
                    </w:p>
                  </w:txbxContent>
                </v:textbox>
              </v:shape>
            </w:pict>
          </mc:Fallback>
        </mc:AlternateContent>
      </w:r>
      <w:r w:rsidRPr="0002415B">
        <w:rPr>
          <w:color w:val="000000"/>
        </w:rPr>
        <w:object w:dxaOrig="6660" w:dyaOrig="5106" w14:anchorId="65B85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8pt;height:255.5pt" o:ole="">
            <v:imagedata r:id="rId8" o:title=""/>
          </v:shape>
          <o:OLEObject Type="Embed" ProgID="Origin95.Graph" ShapeID="_x0000_i1025" DrawAspect="Content" ObjectID="_1753272116" r:id="rId9"/>
        </w:object>
      </w:r>
    </w:p>
    <w:p w14:paraId="356583EB" w14:textId="77777777" w:rsidR="00577717" w:rsidRPr="0002415B" w:rsidRDefault="0002415B">
      <w:pPr>
        <w:spacing w:line="480" w:lineRule="auto"/>
        <w:rPr>
          <w:rFonts w:ascii="Times New Roman Regular" w:hAnsi="Times New Roman Regular" w:cs="Times New Roman Regular"/>
          <w:color w:val="000000"/>
          <w:sz w:val="24"/>
          <w:szCs w:val="24"/>
        </w:rPr>
        <w:sectPr w:rsidR="00577717" w:rsidRPr="0002415B">
          <w:footerReference w:type="even" r:id="rId10"/>
          <w:footerReference w:type="default" r:id="rId11"/>
          <w:footerReference w:type="first" r:id="rId12"/>
          <w:pgSz w:w="11906" w:h="16838"/>
          <w:pgMar w:top="1440" w:right="1800" w:bottom="1440" w:left="1800" w:header="851" w:footer="992" w:gutter="0"/>
          <w:cols w:space="720"/>
          <w:docGrid w:type="lines" w:linePitch="312"/>
        </w:sectPr>
      </w:pPr>
      <w:r w:rsidRPr="0002415B">
        <w:rPr>
          <w:rFonts w:hint="eastAsia"/>
          <w:b/>
          <w:bCs/>
          <w:color w:val="000000"/>
          <w:sz w:val="24"/>
          <w:szCs w:val="24"/>
        </w:rPr>
        <w:t>Fig.</w:t>
      </w:r>
      <w:r w:rsidRPr="0002415B">
        <w:rPr>
          <w:b/>
          <w:bCs/>
          <w:color w:val="000000"/>
          <w:sz w:val="24"/>
          <w:szCs w:val="24"/>
        </w:rPr>
        <w:t xml:space="preserve"> S</w:t>
      </w:r>
      <w:r w:rsidRPr="0002415B">
        <w:rPr>
          <w:rFonts w:hint="eastAsia"/>
          <w:b/>
          <w:bCs/>
          <w:color w:val="000000"/>
          <w:sz w:val="24"/>
          <w:szCs w:val="24"/>
        </w:rPr>
        <w:t>1</w:t>
      </w:r>
      <w:r w:rsidRPr="0002415B">
        <w:rPr>
          <w:color w:val="000000"/>
          <w:sz w:val="24"/>
          <w:szCs w:val="24"/>
        </w:rPr>
        <w:t xml:space="preserve"> </w:t>
      </w:r>
      <w:bookmarkStart w:id="5" w:name="OLE_LINK1"/>
      <w:r w:rsidRPr="0002415B">
        <w:rPr>
          <w:rFonts w:hint="eastAsia"/>
          <w:color w:val="000000"/>
          <w:sz w:val="24"/>
          <w:szCs w:val="24"/>
        </w:rPr>
        <w:t>B</w:t>
      </w:r>
      <w:r w:rsidRPr="0002415B">
        <w:rPr>
          <w:rFonts w:ascii="Times New Roman Regular" w:hAnsi="Times New Roman Regular" w:cs="Times New Roman Regular"/>
          <w:color w:val="000000"/>
          <w:sz w:val="24"/>
          <w:szCs w:val="24"/>
        </w:rPr>
        <w:t>right-field optical images of DLBCL cells in FBS before (A</w:t>
      </w:r>
      <w:r w:rsidRPr="0002415B">
        <w:rPr>
          <w:rFonts w:ascii="Times New Roman Regular" w:eastAsia="Songti SC" w:hAnsi="Times New Roman Regular" w:cs="Times New Roman Regular"/>
          <w:color w:val="000000"/>
          <w:sz w:val="24"/>
          <w:szCs w:val="24"/>
        </w:rPr>
        <w:t>Ⅰ</w:t>
      </w:r>
      <w:r w:rsidRPr="0002415B">
        <w:rPr>
          <w:rFonts w:ascii="Times New Roman Regular" w:hAnsi="Times New Roman Regular" w:cs="Times New Roman Regular"/>
          <w:color w:val="000000"/>
          <w:sz w:val="24"/>
          <w:szCs w:val="24"/>
        </w:rPr>
        <w:t>-C</w:t>
      </w:r>
      <w:r w:rsidRPr="0002415B">
        <w:rPr>
          <w:rFonts w:ascii="Times New Roman Regular" w:eastAsia="Songti SC" w:hAnsi="Times New Roman Regular" w:cs="Times New Roman Regular"/>
          <w:color w:val="000000"/>
          <w:sz w:val="24"/>
          <w:szCs w:val="24"/>
        </w:rPr>
        <w:t>Ⅰ</w:t>
      </w:r>
      <w:r w:rsidRPr="0002415B">
        <w:rPr>
          <w:rFonts w:ascii="Times New Roman Regular" w:hAnsi="Times New Roman Regular" w:cs="Times New Roman Regular"/>
          <w:color w:val="000000"/>
          <w:sz w:val="24"/>
          <w:szCs w:val="24"/>
        </w:rPr>
        <w:t>) and after water rinsing (A</w:t>
      </w:r>
      <w:r w:rsidRPr="0002415B">
        <w:rPr>
          <w:rFonts w:ascii="Times New Roman Regular" w:eastAsia="Songti SC" w:hAnsi="Times New Roman Regular" w:cs="Times New Roman Regular"/>
          <w:color w:val="000000"/>
          <w:sz w:val="24"/>
          <w:szCs w:val="24"/>
        </w:rPr>
        <w:t>Ⅱ</w:t>
      </w:r>
      <w:r w:rsidRPr="0002415B">
        <w:rPr>
          <w:rFonts w:ascii="Times New Roman Regular" w:hAnsi="Times New Roman Regular" w:cs="Times New Roman Regular"/>
          <w:color w:val="000000"/>
          <w:sz w:val="24"/>
          <w:szCs w:val="24"/>
        </w:rPr>
        <w:t>-C</w:t>
      </w:r>
      <w:r w:rsidRPr="0002415B">
        <w:rPr>
          <w:rFonts w:ascii="Times New Roman Regular" w:eastAsia="Songti SC" w:hAnsi="Times New Roman Regular" w:cs="Times New Roman Regular"/>
          <w:color w:val="000000"/>
          <w:sz w:val="24"/>
          <w:szCs w:val="24"/>
        </w:rPr>
        <w:t>Ⅱ</w:t>
      </w:r>
      <w:r w:rsidRPr="0002415B">
        <w:rPr>
          <w:rFonts w:ascii="Times New Roman Regular" w:hAnsi="Times New Roman Regular" w:cs="Times New Roman Regular"/>
          <w:color w:val="000000"/>
          <w:sz w:val="24"/>
          <w:szCs w:val="24"/>
        </w:rPr>
        <w:t>) with different treatment.</w:t>
      </w:r>
      <w:bookmarkEnd w:id="5"/>
      <w:r w:rsidRPr="0002415B">
        <w:rPr>
          <w:rFonts w:ascii="Times New Roman Regular" w:hAnsi="Times New Roman Regular" w:cs="Times New Roman Regular"/>
          <w:color w:val="000000"/>
          <w:sz w:val="24"/>
          <w:szCs w:val="24"/>
        </w:rPr>
        <w:t xml:space="preserve"> Bright-field optical images of DLBCL cells in PBS before (D</w:t>
      </w:r>
      <w:r w:rsidRPr="0002415B">
        <w:rPr>
          <w:rFonts w:ascii="Times New Roman Regular" w:eastAsia="Songti SC" w:hAnsi="Times New Roman Regular" w:cs="Times New Roman Regular"/>
          <w:color w:val="000000"/>
          <w:sz w:val="24"/>
          <w:szCs w:val="24"/>
        </w:rPr>
        <w:t>Ⅰ</w:t>
      </w:r>
      <w:r w:rsidRPr="0002415B">
        <w:rPr>
          <w:rFonts w:ascii="Times New Roman Regular" w:hAnsi="Times New Roman Regular" w:cs="Times New Roman Regular"/>
          <w:color w:val="000000"/>
          <w:sz w:val="24"/>
          <w:szCs w:val="24"/>
        </w:rPr>
        <w:t>-F</w:t>
      </w:r>
      <w:r w:rsidRPr="0002415B">
        <w:rPr>
          <w:rFonts w:ascii="Times New Roman Regular" w:eastAsia="Songti SC" w:hAnsi="Times New Roman Regular" w:cs="Times New Roman Regular"/>
          <w:color w:val="000000"/>
          <w:sz w:val="24"/>
          <w:szCs w:val="24"/>
        </w:rPr>
        <w:t>Ⅰ</w:t>
      </w:r>
      <w:r w:rsidRPr="0002415B">
        <w:rPr>
          <w:rFonts w:ascii="Times New Roman Regular" w:hAnsi="Times New Roman Regular" w:cs="Times New Roman Regular"/>
          <w:color w:val="000000"/>
          <w:sz w:val="24"/>
          <w:szCs w:val="24"/>
        </w:rPr>
        <w:t>) and after water rinsing (D</w:t>
      </w:r>
      <w:r w:rsidRPr="0002415B">
        <w:rPr>
          <w:rFonts w:ascii="Times New Roman Regular" w:eastAsia="Songti SC" w:hAnsi="Times New Roman Regular" w:cs="Times New Roman Regular"/>
          <w:color w:val="000000"/>
          <w:sz w:val="24"/>
          <w:szCs w:val="24"/>
        </w:rPr>
        <w:t>Ⅱ</w:t>
      </w:r>
      <w:r w:rsidRPr="0002415B">
        <w:rPr>
          <w:rFonts w:ascii="Times New Roman Regular" w:hAnsi="Times New Roman Regular" w:cs="Times New Roman Regular"/>
          <w:color w:val="000000"/>
          <w:sz w:val="24"/>
          <w:szCs w:val="24"/>
        </w:rPr>
        <w:t>-F</w:t>
      </w:r>
      <w:r w:rsidRPr="0002415B">
        <w:rPr>
          <w:rFonts w:ascii="Times New Roman Regular" w:eastAsia="Songti SC" w:hAnsi="Times New Roman Regular" w:cs="Times New Roman Regular"/>
          <w:color w:val="000000"/>
          <w:sz w:val="24"/>
          <w:szCs w:val="24"/>
        </w:rPr>
        <w:t>Ⅱ</w:t>
      </w:r>
      <w:r w:rsidRPr="0002415B">
        <w:rPr>
          <w:rFonts w:ascii="Times New Roman Regular" w:hAnsi="Times New Roman Regular" w:cs="Times New Roman Regular"/>
          <w:color w:val="000000"/>
          <w:sz w:val="24"/>
          <w:szCs w:val="24"/>
        </w:rPr>
        <w:t xml:space="preserve">) with different treatment. (G) Statistical box plots of DLBCL cells in FBS and PBS with different treatment. </w:t>
      </w:r>
    </w:p>
    <w:p w14:paraId="1282A9B6" w14:textId="77777777" w:rsidR="00577717" w:rsidRPr="0002415B" w:rsidRDefault="0002415B">
      <w:pPr>
        <w:spacing w:line="480" w:lineRule="auto"/>
        <w:rPr>
          <w:i/>
          <w:iCs/>
          <w:color w:val="000000"/>
          <w:sz w:val="24"/>
          <w:szCs w:val="24"/>
        </w:rPr>
      </w:pPr>
      <w:r w:rsidRPr="0002415B">
        <w:rPr>
          <w:rFonts w:hint="eastAsia"/>
          <w:i/>
          <w:iCs/>
          <w:color w:val="000000"/>
          <w:sz w:val="24"/>
          <w:szCs w:val="24"/>
        </w:rPr>
        <w:lastRenderedPageBreak/>
        <w:t xml:space="preserve">2.2 Cell imaging using the oil immersion lens of the microscope </w:t>
      </w:r>
    </w:p>
    <w:p w14:paraId="39B56EB4" w14:textId="77777777" w:rsidR="00577717" w:rsidRPr="0002415B" w:rsidRDefault="0002415B">
      <w:pPr>
        <w:spacing w:line="480" w:lineRule="auto"/>
        <w:ind w:firstLineChars="200" w:firstLine="480"/>
        <w:rPr>
          <w:color w:val="000000"/>
          <w:sz w:val="24"/>
          <w:szCs w:val="24"/>
        </w:rPr>
      </w:pPr>
      <w:r w:rsidRPr="0002415B">
        <w:rPr>
          <w:rFonts w:hint="eastAsia"/>
          <w:color w:val="000000"/>
          <w:sz w:val="24"/>
          <w:szCs w:val="24"/>
        </w:rPr>
        <w:t xml:space="preserve">To decrease the effect on the overall diagnosis, the samples could be observed using the oil immersion lens of the microscope. As shown in Fig. S2, the fluorescence intensity was amplified and cell morphology was maintained well under the oil immersion lens of the microscope. Also, Liu </w:t>
      </w:r>
      <w:r w:rsidRPr="0002415B">
        <w:rPr>
          <w:rFonts w:hint="eastAsia"/>
          <w:i/>
          <w:iCs/>
          <w:color w:val="000000"/>
          <w:sz w:val="24"/>
          <w:szCs w:val="24"/>
        </w:rPr>
        <w:t>et al.</w:t>
      </w:r>
      <w:r w:rsidRPr="0002415B">
        <w:rPr>
          <w:rFonts w:hint="eastAsia"/>
          <w:color w:val="000000"/>
          <w:sz w:val="24"/>
          <w:szCs w:val="24"/>
        </w:rPr>
        <w:t xml:space="preserve"> developed a method for the separation and detection of ovarian cancer cells from female whole blood using folic acid conjugated magnetic nanoparticles under the oil immersion lens of the microscope [5]. Hence, the overall diagnosis will not be influenced.</w:t>
      </w:r>
    </w:p>
    <w:p w14:paraId="0064C317" w14:textId="77777777" w:rsidR="00577717" w:rsidRPr="0002415B" w:rsidRDefault="00577717">
      <w:pPr>
        <w:spacing w:line="480" w:lineRule="auto"/>
        <w:ind w:firstLineChars="200" w:firstLine="480"/>
        <w:rPr>
          <w:color w:val="000000"/>
          <w:sz w:val="24"/>
          <w:szCs w:val="24"/>
        </w:rPr>
      </w:pPr>
    </w:p>
    <w:p w14:paraId="349CF8B6" w14:textId="77777777" w:rsidR="00577717" w:rsidRPr="0002415B" w:rsidRDefault="0002415B">
      <w:pPr>
        <w:spacing w:afterLines="50" w:after="156" w:line="480" w:lineRule="auto"/>
        <w:rPr>
          <w:color w:val="000000"/>
        </w:rPr>
      </w:pPr>
      <w:r w:rsidRPr="0002415B">
        <w:rPr>
          <w:noProof/>
          <w:color w:val="000000"/>
        </w:rPr>
        <w:drawing>
          <wp:inline distT="0" distB="0" distL="114300" distR="114300" wp14:anchorId="6B7C1D47" wp14:editId="137C285A">
            <wp:extent cx="5269865" cy="1172845"/>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3"/>
                    <a:stretch>
                      <a:fillRect/>
                    </a:stretch>
                  </pic:blipFill>
                  <pic:spPr>
                    <a:xfrm>
                      <a:off x="0" y="0"/>
                      <a:ext cx="5269865" cy="1172845"/>
                    </a:xfrm>
                    <a:prstGeom prst="rect">
                      <a:avLst/>
                    </a:prstGeom>
                    <a:noFill/>
                    <a:ln w="9525">
                      <a:noFill/>
                    </a:ln>
                  </pic:spPr>
                </pic:pic>
              </a:graphicData>
            </a:graphic>
          </wp:inline>
        </w:drawing>
      </w:r>
    </w:p>
    <w:p w14:paraId="04FE302B" w14:textId="77777777" w:rsidR="00577717" w:rsidRPr="0002415B" w:rsidRDefault="0002415B">
      <w:pPr>
        <w:spacing w:line="480" w:lineRule="auto"/>
        <w:rPr>
          <w:color w:val="000000"/>
          <w:sz w:val="24"/>
          <w:szCs w:val="24"/>
        </w:rPr>
        <w:sectPr w:rsidR="00577717" w:rsidRPr="0002415B">
          <w:pgSz w:w="11906" w:h="16838"/>
          <w:pgMar w:top="1440" w:right="1800" w:bottom="1440" w:left="1800" w:header="851" w:footer="992" w:gutter="0"/>
          <w:cols w:space="720"/>
          <w:docGrid w:type="lines" w:linePitch="312"/>
        </w:sectPr>
      </w:pPr>
      <w:r w:rsidRPr="0002415B">
        <w:rPr>
          <w:rFonts w:hint="eastAsia"/>
          <w:b/>
          <w:bCs/>
          <w:color w:val="000000"/>
          <w:sz w:val="24"/>
          <w:szCs w:val="24"/>
        </w:rPr>
        <w:t>Fig. S2</w:t>
      </w:r>
      <w:r w:rsidRPr="0002415B">
        <w:rPr>
          <w:rFonts w:hint="eastAsia"/>
          <w:color w:val="000000"/>
          <w:sz w:val="24"/>
          <w:szCs w:val="24"/>
        </w:rPr>
        <w:t xml:space="preserve"> Bright-field optical image (A), fluorescence image (B) and merged image (C) of DLBCL cells </w:t>
      </w:r>
      <w:bookmarkStart w:id="6" w:name="OLE_LINK9"/>
      <w:r w:rsidRPr="0002415B">
        <w:rPr>
          <w:rFonts w:hint="eastAsia"/>
          <w:color w:val="000000"/>
          <w:sz w:val="24"/>
          <w:szCs w:val="24"/>
        </w:rPr>
        <w:t>using the oil immersion lens of the microscope</w:t>
      </w:r>
      <w:bookmarkEnd w:id="6"/>
      <w:r w:rsidRPr="0002415B">
        <w:rPr>
          <w:rFonts w:hint="eastAsia"/>
          <w:color w:val="000000"/>
          <w:sz w:val="24"/>
          <w:szCs w:val="24"/>
        </w:rPr>
        <w:t xml:space="preserve">. </w:t>
      </w:r>
    </w:p>
    <w:p w14:paraId="268A9F84" w14:textId="77777777" w:rsidR="00577717" w:rsidRPr="0002415B" w:rsidRDefault="0002415B">
      <w:pPr>
        <w:spacing w:line="360" w:lineRule="auto"/>
        <w:rPr>
          <w:b/>
          <w:bCs/>
          <w:color w:val="000000"/>
          <w:sz w:val="24"/>
          <w:szCs w:val="24"/>
        </w:rPr>
      </w:pPr>
      <w:r w:rsidRPr="0002415B">
        <w:rPr>
          <w:rFonts w:hint="eastAsia"/>
          <w:b/>
          <w:bCs/>
          <w:color w:val="000000"/>
          <w:sz w:val="24"/>
          <w:szCs w:val="24"/>
        </w:rPr>
        <w:lastRenderedPageBreak/>
        <w:t xml:space="preserve">Table S1 </w:t>
      </w:r>
      <w:r w:rsidRPr="0002415B">
        <w:rPr>
          <w:rFonts w:hint="eastAsia"/>
          <w:color w:val="000000"/>
          <w:sz w:val="24"/>
        </w:rPr>
        <w:t>Clinical data of three patients.</w:t>
      </w:r>
    </w:p>
    <w:tbl>
      <w:tblPr>
        <w:tblpPr w:leftFromText="180" w:rightFromText="180" w:vertAnchor="text" w:horzAnchor="page" w:tblpX="549" w:tblpY="59"/>
        <w:tblOverlap w:val="never"/>
        <w:tblW w:w="16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920"/>
        <w:gridCol w:w="2466"/>
        <w:gridCol w:w="1658"/>
        <w:gridCol w:w="1360"/>
        <w:gridCol w:w="1458"/>
        <w:gridCol w:w="1313"/>
        <w:gridCol w:w="1329"/>
        <w:gridCol w:w="1051"/>
        <w:gridCol w:w="1140"/>
        <w:gridCol w:w="1090"/>
        <w:gridCol w:w="1265"/>
      </w:tblGrid>
      <w:tr w:rsidR="00577717" w:rsidRPr="0002415B" w14:paraId="33270C64" w14:textId="77777777">
        <w:trPr>
          <w:trHeight w:val="976"/>
        </w:trPr>
        <w:tc>
          <w:tcPr>
            <w:tcW w:w="1000" w:type="dxa"/>
            <w:tcBorders>
              <w:top w:val="single" w:sz="4" w:space="0" w:color="auto"/>
              <w:left w:val="nil"/>
              <w:bottom w:val="single" w:sz="4" w:space="0" w:color="auto"/>
              <w:right w:val="nil"/>
            </w:tcBorders>
            <w:vAlign w:val="center"/>
          </w:tcPr>
          <w:p w14:paraId="2F163FC7" w14:textId="77777777" w:rsidR="00577717" w:rsidRPr="0002415B" w:rsidRDefault="0002415B">
            <w:pPr>
              <w:pStyle w:val="NormalWeb"/>
              <w:widowControl/>
              <w:jc w:val="center"/>
              <w:rPr>
                <w:color w:val="000000"/>
                <w:kern w:val="2"/>
                <w:sz w:val="21"/>
                <w:szCs w:val="21"/>
              </w:rPr>
            </w:pPr>
            <w:bookmarkStart w:id="7" w:name="OLE_LINK3"/>
            <w:r w:rsidRPr="0002415B">
              <w:rPr>
                <w:rFonts w:hint="eastAsia"/>
                <w:color w:val="000000"/>
                <w:kern w:val="2"/>
                <w:sz w:val="21"/>
                <w:szCs w:val="21"/>
              </w:rPr>
              <w:t>Samples</w:t>
            </w:r>
          </w:p>
        </w:tc>
        <w:tc>
          <w:tcPr>
            <w:tcW w:w="920" w:type="dxa"/>
            <w:tcBorders>
              <w:top w:val="single" w:sz="4" w:space="0" w:color="auto"/>
              <w:left w:val="nil"/>
              <w:bottom w:val="single" w:sz="4" w:space="0" w:color="auto"/>
              <w:right w:val="nil"/>
            </w:tcBorders>
            <w:vAlign w:val="center"/>
          </w:tcPr>
          <w:p w14:paraId="0399914F"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Type</w:t>
            </w:r>
          </w:p>
        </w:tc>
        <w:tc>
          <w:tcPr>
            <w:tcW w:w="2466" w:type="dxa"/>
            <w:tcBorders>
              <w:top w:val="single" w:sz="4" w:space="0" w:color="auto"/>
              <w:left w:val="nil"/>
              <w:bottom w:val="single" w:sz="4" w:space="0" w:color="auto"/>
              <w:right w:val="nil"/>
            </w:tcBorders>
            <w:vAlign w:val="center"/>
          </w:tcPr>
          <w:p w14:paraId="35683946"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Clinical diagnosis</w:t>
            </w:r>
          </w:p>
        </w:tc>
        <w:tc>
          <w:tcPr>
            <w:tcW w:w="1658" w:type="dxa"/>
            <w:tcBorders>
              <w:top w:val="single" w:sz="4" w:space="0" w:color="auto"/>
              <w:left w:val="nil"/>
              <w:bottom w:val="single" w:sz="4" w:space="0" w:color="auto"/>
              <w:right w:val="nil"/>
            </w:tcBorders>
            <w:vAlign w:val="center"/>
          </w:tcPr>
          <w:p w14:paraId="7A6A0765"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Neutrophilic metamyelocyte</w:t>
            </w:r>
          </w:p>
        </w:tc>
        <w:tc>
          <w:tcPr>
            <w:tcW w:w="1360" w:type="dxa"/>
            <w:tcBorders>
              <w:top w:val="single" w:sz="4" w:space="0" w:color="auto"/>
              <w:left w:val="nil"/>
              <w:bottom w:val="single" w:sz="4" w:space="0" w:color="auto"/>
              <w:right w:val="nil"/>
            </w:tcBorders>
            <w:vAlign w:val="center"/>
          </w:tcPr>
          <w:p w14:paraId="50AAAD25"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Band form neutrophilic granulocyte</w:t>
            </w:r>
          </w:p>
        </w:tc>
        <w:tc>
          <w:tcPr>
            <w:tcW w:w="1458" w:type="dxa"/>
            <w:tcBorders>
              <w:top w:val="single" w:sz="4" w:space="0" w:color="auto"/>
              <w:left w:val="nil"/>
              <w:bottom w:val="single" w:sz="4" w:space="0" w:color="auto"/>
              <w:right w:val="nil"/>
            </w:tcBorders>
            <w:vAlign w:val="center"/>
          </w:tcPr>
          <w:p w14:paraId="3EC13D3B"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Neutrophilic segmented granulocyte</w:t>
            </w:r>
          </w:p>
        </w:tc>
        <w:tc>
          <w:tcPr>
            <w:tcW w:w="1313" w:type="dxa"/>
            <w:tcBorders>
              <w:top w:val="single" w:sz="4" w:space="0" w:color="auto"/>
              <w:left w:val="nil"/>
              <w:bottom w:val="single" w:sz="4" w:space="0" w:color="auto"/>
              <w:right w:val="nil"/>
            </w:tcBorders>
            <w:vAlign w:val="center"/>
          </w:tcPr>
          <w:p w14:paraId="1656E3A4"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Eosinophilic granulocyte</w:t>
            </w:r>
          </w:p>
        </w:tc>
        <w:tc>
          <w:tcPr>
            <w:tcW w:w="1329" w:type="dxa"/>
            <w:tcBorders>
              <w:top w:val="single" w:sz="4" w:space="0" w:color="auto"/>
              <w:left w:val="nil"/>
              <w:bottom w:val="single" w:sz="4" w:space="0" w:color="auto"/>
              <w:right w:val="nil"/>
            </w:tcBorders>
            <w:vAlign w:val="center"/>
          </w:tcPr>
          <w:p w14:paraId="1E67D0F0"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Lymphocyte</w:t>
            </w:r>
          </w:p>
        </w:tc>
        <w:tc>
          <w:tcPr>
            <w:tcW w:w="1051" w:type="dxa"/>
            <w:tcBorders>
              <w:top w:val="single" w:sz="4" w:space="0" w:color="auto"/>
              <w:left w:val="nil"/>
              <w:bottom w:val="single" w:sz="4" w:space="0" w:color="auto"/>
              <w:right w:val="nil"/>
            </w:tcBorders>
            <w:vAlign w:val="center"/>
          </w:tcPr>
          <w:p w14:paraId="0FC7502C"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Primitive monocyte</w:t>
            </w:r>
          </w:p>
        </w:tc>
        <w:tc>
          <w:tcPr>
            <w:tcW w:w="1140" w:type="dxa"/>
            <w:tcBorders>
              <w:top w:val="single" w:sz="4" w:space="0" w:color="auto"/>
              <w:left w:val="nil"/>
              <w:bottom w:val="single" w:sz="4" w:space="0" w:color="auto"/>
              <w:right w:val="nil"/>
            </w:tcBorders>
            <w:vAlign w:val="center"/>
          </w:tcPr>
          <w:p w14:paraId="6C5B5850"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Naive monocyte</w:t>
            </w:r>
          </w:p>
        </w:tc>
        <w:tc>
          <w:tcPr>
            <w:tcW w:w="1090" w:type="dxa"/>
            <w:tcBorders>
              <w:top w:val="single" w:sz="4" w:space="0" w:color="auto"/>
              <w:left w:val="nil"/>
              <w:bottom w:val="single" w:sz="4" w:space="0" w:color="auto"/>
              <w:right w:val="nil"/>
            </w:tcBorders>
            <w:vAlign w:val="center"/>
          </w:tcPr>
          <w:p w14:paraId="0757D4F9"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Monocyte</w:t>
            </w:r>
          </w:p>
        </w:tc>
        <w:tc>
          <w:tcPr>
            <w:tcW w:w="1265" w:type="dxa"/>
            <w:tcBorders>
              <w:top w:val="single" w:sz="4" w:space="0" w:color="auto"/>
              <w:left w:val="nil"/>
              <w:bottom w:val="single" w:sz="4" w:space="0" w:color="auto"/>
              <w:right w:val="nil"/>
            </w:tcBorders>
            <w:vAlign w:val="center"/>
          </w:tcPr>
          <w:p w14:paraId="4F921B1D" w14:textId="77777777" w:rsidR="00577717" w:rsidRPr="0002415B" w:rsidRDefault="0002415B">
            <w:pPr>
              <w:pStyle w:val="NormalWeb"/>
              <w:widowControl/>
              <w:jc w:val="center"/>
              <w:rPr>
                <w:color w:val="000000"/>
                <w:kern w:val="2"/>
                <w:sz w:val="21"/>
                <w:szCs w:val="21"/>
              </w:rPr>
            </w:pPr>
            <w:r w:rsidRPr="0002415B">
              <w:rPr>
                <w:rFonts w:hint="eastAsia"/>
                <w:color w:val="000000"/>
                <w:kern w:val="2"/>
                <w:sz w:val="21"/>
                <w:szCs w:val="21"/>
              </w:rPr>
              <w:t>Lymphoma cell</w:t>
            </w:r>
          </w:p>
        </w:tc>
      </w:tr>
      <w:tr w:rsidR="00577717" w:rsidRPr="0002415B" w14:paraId="52C155F1" w14:textId="77777777">
        <w:trPr>
          <w:trHeight w:val="804"/>
        </w:trPr>
        <w:tc>
          <w:tcPr>
            <w:tcW w:w="1000" w:type="dxa"/>
            <w:tcBorders>
              <w:top w:val="nil"/>
              <w:left w:val="nil"/>
              <w:bottom w:val="nil"/>
              <w:right w:val="nil"/>
            </w:tcBorders>
            <w:vAlign w:val="center"/>
          </w:tcPr>
          <w:p w14:paraId="7C131E88" w14:textId="77777777" w:rsidR="00577717" w:rsidRPr="0002415B" w:rsidRDefault="0002415B">
            <w:pPr>
              <w:pStyle w:val="NormalWeb"/>
              <w:widowControl/>
              <w:jc w:val="center"/>
              <w:rPr>
                <w:iCs/>
                <w:color w:val="000000"/>
                <w:sz w:val="21"/>
                <w:szCs w:val="21"/>
              </w:rPr>
            </w:pPr>
            <w:r w:rsidRPr="0002415B">
              <w:rPr>
                <w:rFonts w:hint="eastAsia"/>
                <w:iCs/>
                <w:color w:val="000000"/>
                <w:sz w:val="21"/>
                <w:szCs w:val="21"/>
              </w:rPr>
              <w:t>A</w:t>
            </w:r>
          </w:p>
        </w:tc>
        <w:tc>
          <w:tcPr>
            <w:tcW w:w="920" w:type="dxa"/>
            <w:tcBorders>
              <w:top w:val="nil"/>
              <w:left w:val="nil"/>
              <w:bottom w:val="nil"/>
              <w:right w:val="nil"/>
            </w:tcBorders>
            <w:vAlign w:val="center"/>
          </w:tcPr>
          <w:p w14:paraId="04874F2E" w14:textId="77777777" w:rsidR="00577717" w:rsidRPr="0002415B" w:rsidRDefault="0002415B">
            <w:pPr>
              <w:pStyle w:val="NormalWeb"/>
              <w:widowControl/>
              <w:jc w:val="center"/>
              <w:rPr>
                <w:iCs/>
                <w:color w:val="000000"/>
                <w:sz w:val="21"/>
                <w:szCs w:val="21"/>
              </w:rPr>
            </w:pPr>
            <w:r w:rsidRPr="0002415B">
              <w:rPr>
                <w:rFonts w:hint="eastAsia"/>
                <w:iCs/>
                <w:color w:val="000000"/>
                <w:sz w:val="21"/>
                <w:szCs w:val="21"/>
              </w:rPr>
              <w:t>Blood</w:t>
            </w:r>
          </w:p>
        </w:tc>
        <w:tc>
          <w:tcPr>
            <w:tcW w:w="2466" w:type="dxa"/>
            <w:tcBorders>
              <w:top w:val="nil"/>
              <w:left w:val="nil"/>
              <w:bottom w:val="nil"/>
              <w:right w:val="nil"/>
            </w:tcBorders>
            <w:vAlign w:val="center"/>
          </w:tcPr>
          <w:p w14:paraId="55F55048" w14:textId="77777777" w:rsidR="00577717" w:rsidRPr="0002415B" w:rsidRDefault="0002415B">
            <w:pPr>
              <w:pStyle w:val="NormalWeb"/>
              <w:widowControl/>
              <w:jc w:val="center"/>
              <w:rPr>
                <w:color w:val="000000"/>
                <w:sz w:val="21"/>
                <w:szCs w:val="21"/>
              </w:rPr>
            </w:pPr>
            <w:r w:rsidRPr="0002415B">
              <w:rPr>
                <w:rFonts w:hint="eastAsia"/>
                <w:iCs/>
                <w:color w:val="000000"/>
                <w:sz w:val="21"/>
                <w:szCs w:val="21"/>
              </w:rPr>
              <w:t xml:space="preserve">Acute monocytic leukaemia (subtype </w:t>
            </w:r>
            <w:r w:rsidRPr="0002415B">
              <w:rPr>
                <w:rFonts w:hint="eastAsia"/>
                <w:i/>
                <w:color w:val="000000"/>
                <w:sz w:val="21"/>
                <w:szCs w:val="21"/>
              </w:rPr>
              <w:t>M</w:t>
            </w:r>
            <w:r w:rsidRPr="0002415B">
              <w:rPr>
                <w:rFonts w:hint="eastAsia"/>
                <w:i/>
                <w:color w:val="000000"/>
                <w:sz w:val="21"/>
                <w:szCs w:val="21"/>
                <w:vertAlign w:val="subscript"/>
              </w:rPr>
              <w:t>5b</w:t>
            </w:r>
            <w:r w:rsidRPr="0002415B">
              <w:rPr>
                <w:rFonts w:hint="eastAsia"/>
                <w:iCs/>
                <w:color w:val="000000"/>
                <w:sz w:val="21"/>
                <w:szCs w:val="21"/>
              </w:rPr>
              <w:t>)</w:t>
            </w:r>
          </w:p>
        </w:tc>
        <w:tc>
          <w:tcPr>
            <w:tcW w:w="1658" w:type="dxa"/>
            <w:tcBorders>
              <w:top w:val="nil"/>
              <w:left w:val="nil"/>
              <w:bottom w:val="nil"/>
              <w:right w:val="nil"/>
            </w:tcBorders>
            <w:vAlign w:val="center"/>
          </w:tcPr>
          <w:p w14:paraId="3F15B951"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1%</w:t>
            </w:r>
          </w:p>
        </w:tc>
        <w:tc>
          <w:tcPr>
            <w:tcW w:w="1360" w:type="dxa"/>
            <w:tcBorders>
              <w:top w:val="nil"/>
              <w:left w:val="nil"/>
              <w:bottom w:val="nil"/>
              <w:right w:val="nil"/>
            </w:tcBorders>
            <w:vAlign w:val="center"/>
          </w:tcPr>
          <w:p w14:paraId="3F732620"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2%</w:t>
            </w:r>
          </w:p>
        </w:tc>
        <w:tc>
          <w:tcPr>
            <w:tcW w:w="1458" w:type="dxa"/>
            <w:tcBorders>
              <w:top w:val="nil"/>
              <w:left w:val="nil"/>
              <w:bottom w:val="nil"/>
              <w:right w:val="nil"/>
            </w:tcBorders>
            <w:vAlign w:val="center"/>
          </w:tcPr>
          <w:p w14:paraId="3F8A8153"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2%</w:t>
            </w:r>
          </w:p>
        </w:tc>
        <w:tc>
          <w:tcPr>
            <w:tcW w:w="1313" w:type="dxa"/>
            <w:tcBorders>
              <w:top w:val="nil"/>
              <w:left w:val="nil"/>
              <w:bottom w:val="nil"/>
              <w:right w:val="nil"/>
            </w:tcBorders>
            <w:vAlign w:val="center"/>
          </w:tcPr>
          <w:p w14:paraId="3F9035FA"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329" w:type="dxa"/>
            <w:tcBorders>
              <w:top w:val="nil"/>
              <w:left w:val="nil"/>
              <w:bottom w:val="nil"/>
              <w:right w:val="nil"/>
            </w:tcBorders>
            <w:vAlign w:val="center"/>
          </w:tcPr>
          <w:p w14:paraId="1A739615"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29%</w:t>
            </w:r>
          </w:p>
        </w:tc>
        <w:tc>
          <w:tcPr>
            <w:tcW w:w="1051" w:type="dxa"/>
            <w:tcBorders>
              <w:top w:val="nil"/>
              <w:left w:val="nil"/>
              <w:bottom w:val="nil"/>
              <w:right w:val="nil"/>
            </w:tcBorders>
            <w:vAlign w:val="center"/>
          </w:tcPr>
          <w:p w14:paraId="5F516A6F"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2%</w:t>
            </w:r>
          </w:p>
        </w:tc>
        <w:tc>
          <w:tcPr>
            <w:tcW w:w="1140" w:type="dxa"/>
            <w:tcBorders>
              <w:top w:val="nil"/>
              <w:left w:val="nil"/>
              <w:bottom w:val="nil"/>
              <w:right w:val="nil"/>
            </w:tcBorders>
            <w:vAlign w:val="center"/>
          </w:tcPr>
          <w:p w14:paraId="516D171D"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52%</w:t>
            </w:r>
          </w:p>
        </w:tc>
        <w:tc>
          <w:tcPr>
            <w:tcW w:w="1090" w:type="dxa"/>
            <w:tcBorders>
              <w:top w:val="nil"/>
              <w:left w:val="nil"/>
              <w:bottom w:val="nil"/>
              <w:right w:val="nil"/>
            </w:tcBorders>
            <w:vAlign w:val="center"/>
          </w:tcPr>
          <w:p w14:paraId="611C97DD"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12%</w:t>
            </w:r>
          </w:p>
        </w:tc>
        <w:tc>
          <w:tcPr>
            <w:tcW w:w="1265" w:type="dxa"/>
            <w:tcBorders>
              <w:top w:val="nil"/>
              <w:left w:val="nil"/>
              <w:bottom w:val="nil"/>
              <w:right w:val="nil"/>
            </w:tcBorders>
            <w:vAlign w:val="center"/>
          </w:tcPr>
          <w:p w14:paraId="20FADB72" w14:textId="77777777" w:rsidR="00577717" w:rsidRPr="0002415B" w:rsidRDefault="0002415B">
            <w:pPr>
              <w:pStyle w:val="NormalWeb"/>
              <w:widowControl/>
              <w:jc w:val="center"/>
              <w:rPr>
                <w:color w:val="000000"/>
                <w:sz w:val="21"/>
                <w:szCs w:val="21"/>
              </w:rPr>
            </w:pPr>
            <w:r w:rsidRPr="0002415B">
              <w:rPr>
                <w:color w:val="000000"/>
                <w:szCs w:val="21"/>
              </w:rPr>
              <w:t>−</w:t>
            </w:r>
          </w:p>
        </w:tc>
      </w:tr>
      <w:tr w:rsidR="00577717" w:rsidRPr="0002415B" w14:paraId="7116B670" w14:textId="77777777">
        <w:trPr>
          <w:trHeight w:val="915"/>
        </w:trPr>
        <w:tc>
          <w:tcPr>
            <w:tcW w:w="1000" w:type="dxa"/>
            <w:tcBorders>
              <w:top w:val="nil"/>
              <w:left w:val="nil"/>
              <w:bottom w:val="nil"/>
              <w:right w:val="nil"/>
            </w:tcBorders>
            <w:vAlign w:val="center"/>
          </w:tcPr>
          <w:p w14:paraId="5E0ADADC"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B</w:t>
            </w:r>
          </w:p>
        </w:tc>
        <w:tc>
          <w:tcPr>
            <w:tcW w:w="920" w:type="dxa"/>
            <w:tcBorders>
              <w:top w:val="nil"/>
              <w:left w:val="nil"/>
              <w:bottom w:val="nil"/>
              <w:right w:val="nil"/>
            </w:tcBorders>
            <w:vAlign w:val="center"/>
          </w:tcPr>
          <w:p w14:paraId="617B21BB"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Bone marrow</w:t>
            </w:r>
          </w:p>
        </w:tc>
        <w:tc>
          <w:tcPr>
            <w:tcW w:w="2466" w:type="dxa"/>
            <w:tcBorders>
              <w:top w:val="nil"/>
              <w:left w:val="nil"/>
              <w:bottom w:val="nil"/>
              <w:right w:val="nil"/>
            </w:tcBorders>
            <w:vAlign w:val="center"/>
          </w:tcPr>
          <w:p w14:paraId="4BC9EDC8"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Small B-cell lymphoma/leukemia (non CLL)</w:t>
            </w:r>
          </w:p>
        </w:tc>
        <w:tc>
          <w:tcPr>
            <w:tcW w:w="1658" w:type="dxa"/>
            <w:tcBorders>
              <w:top w:val="nil"/>
              <w:left w:val="nil"/>
              <w:bottom w:val="nil"/>
              <w:right w:val="nil"/>
            </w:tcBorders>
            <w:vAlign w:val="center"/>
          </w:tcPr>
          <w:p w14:paraId="1CB3EC3F"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360" w:type="dxa"/>
            <w:tcBorders>
              <w:top w:val="nil"/>
              <w:left w:val="nil"/>
              <w:bottom w:val="nil"/>
              <w:right w:val="nil"/>
            </w:tcBorders>
            <w:vAlign w:val="center"/>
          </w:tcPr>
          <w:p w14:paraId="3D7AF784"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458" w:type="dxa"/>
            <w:tcBorders>
              <w:top w:val="nil"/>
              <w:left w:val="nil"/>
              <w:bottom w:val="nil"/>
              <w:right w:val="nil"/>
            </w:tcBorders>
            <w:vAlign w:val="center"/>
          </w:tcPr>
          <w:p w14:paraId="3176597F"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313" w:type="dxa"/>
            <w:tcBorders>
              <w:top w:val="nil"/>
              <w:left w:val="nil"/>
              <w:bottom w:val="nil"/>
              <w:right w:val="nil"/>
            </w:tcBorders>
            <w:vAlign w:val="center"/>
          </w:tcPr>
          <w:p w14:paraId="24542F1C"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2%</w:t>
            </w:r>
          </w:p>
        </w:tc>
        <w:tc>
          <w:tcPr>
            <w:tcW w:w="1329" w:type="dxa"/>
            <w:tcBorders>
              <w:top w:val="nil"/>
              <w:left w:val="nil"/>
              <w:bottom w:val="nil"/>
              <w:right w:val="nil"/>
            </w:tcBorders>
            <w:vAlign w:val="center"/>
          </w:tcPr>
          <w:p w14:paraId="4CA01412"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9%</w:t>
            </w:r>
          </w:p>
        </w:tc>
        <w:tc>
          <w:tcPr>
            <w:tcW w:w="1051" w:type="dxa"/>
            <w:tcBorders>
              <w:top w:val="nil"/>
              <w:left w:val="nil"/>
              <w:bottom w:val="nil"/>
              <w:right w:val="nil"/>
            </w:tcBorders>
            <w:vAlign w:val="center"/>
          </w:tcPr>
          <w:p w14:paraId="342EDAA5"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140" w:type="dxa"/>
            <w:tcBorders>
              <w:top w:val="nil"/>
              <w:left w:val="nil"/>
              <w:bottom w:val="nil"/>
              <w:right w:val="nil"/>
            </w:tcBorders>
            <w:vAlign w:val="center"/>
          </w:tcPr>
          <w:p w14:paraId="0486B932"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090" w:type="dxa"/>
            <w:tcBorders>
              <w:top w:val="nil"/>
              <w:left w:val="nil"/>
              <w:bottom w:val="nil"/>
              <w:right w:val="nil"/>
            </w:tcBorders>
            <w:vAlign w:val="center"/>
          </w:tcPr>
          <w:p w14:paraId="3F7B710E"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265" w:type="dxa"/>
            <w:tcBorders>
              <w:top w:val="nil"/>
              <w:left w:val="nil"/>
              <w:bottom w:val="nil"/>
              <w:right w:val="nil"/>
            </w:tcBorders>
            <w:vAlign w:val="center"/>
          </w:tcPr>
          <w:p w14:paraId="7DAD0145"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89%</w:t>
            </w:r>
          </w:p>
        </w:tc>
      </w:tr>
      <w:tr w:rsidR="00577717" w:rsidRPr="0002415B" w14:paraId="14E8A7CD" w14:textId="77777777">
        <w:trPr>
          <w:trHeight w:val="839"/>
        </w:trPr>
        <w:tc>
          <w:tcPr>
            <w:tcW w:w="1000" w:type="dxa"/>
            <w:tcBorders>
              <w:top w:val="nil"/>
              <w:left w:val="nil"/>
              <w:bottom w:val="single" w:sz="4" w:space="0" w:color="auto"/>
              <w:right w:val="nil"/>
            </w:tcBorders>
            <w:vAlign w:val="center"/>
          </w:tcPr>
          <w:p w14:paraId="0F61E8FE" w14:textId="77777777" w:rsidR="00577717" w:rsidRPr="0002415B" w:rsidRDefault="0002415B">
            <w:pPr>
              <w:pStyle w:val="NormalWeb"/>
              <w:widowControl/>
              <w:jc w:val="center"/>
              <w:rPr>
                <w:iCs/>
                <w:color w:val="000000"/>
                <w:sz w:val="21"/>
                <w:szCs w:val="21"/>
              </w:rPr>
            </w:pPr>
            <w:r w:rsidRPr="0002415B">
              <w:rPr>
                <w:rFonts w:hint="eastAsia"/>
                <w:iCs/>
                <w:color w:val="000000"/>
                <w:sz w:val="21"/>
                <w:szCs w:val="21"/>
              </w:rPr>
              <w:t>C</w:t>
            </w:r>
          </w:p>
        </w:tc>
        <w:tc>
          <w:tcPr>
            <w:tcW w:w="920" w:type="dxa"/>
            <w:tcBorders>
              <w:top w:val="nil"/>
              <w:left w:val="nil"/>
              <w:bottom w:val="single" w:sz="4" w:space="0" w:color="auto"/>
              <w:right w:val="nil"/>
            </w:tcBorders>
            <w:vAlign w:val="center"/>
          </w:tcPr>
          <w:p w14:paraId="3A3406F4" w14:textId="77777777" w:rsidR="00577717" w:rsidRPr="0002415B" w:rsidRDefault="0002415B">
            <w:pPr>
              <w:pStyle w:val="NormalWeb"/>
              <w:widowControl/>
              <w:jc w:val="center"/>
              <w:rPr>
                <w:iCs/>
                <w:color w:val="000000"/>
                <w:sz w:val="21"/>
                <w:szCs w:val="21"/>
              </w:rPr>
            </w:pPr>
            <w:r w:rsidRPr="0002415B">
              <w:rPr>
                <w:rFonts w:hint="eastAsia"/>
                <w:iCs/>
                <w:color w:val="000000"/>
                <w:sz w:val="21"/>
                <w:szCs w:val="21"/>
              </w:rPr>
              <w:t>Blood</w:t>
            </w:r>
          </w:p>
        </w:tc>
        <w:tc>
          <w:tcPr>
            <w:tcW w:w="2466" w:type="dxa"/>
            <w:tcBorders>
              <w:top w:val="nil"/>
              <w:left w:val="nil"/>
              <w:bottom w:val="single" w:sz="4" w:space="0" w:color="auto"/>
              <w:right w:val="nil"/>
            </w:tcBorders>
            <w:vAlign w:val="center"/>
          </w:tcPr>
          <w:p w14:paraId="78FB9EB2" w14:textId="77777777" w:rsidR="00577717" w:rsidRPr="0002415B" w:rsidRDefault="0002415B">
            <w:pPr>
              <w:pStyle w:val="NormalWeb"/>
              <w:widowControl/>
              <w:jc w:val="center"/>
              <w:rPr>
                <w:color w:val="000000"/>
                <w:sz w:val="21"/>
                <w:szCs w:val="21"/>
              </w:rPr>
            </w:pPr>
            <w:r w:rsidRPr="0002415B">
              <w:rPr>
                <w:rFonts w:hint="eastAsia"/>
                <w:iCs/>
                <w:color w:val="000000"/>
                <w:sz w:val="21"/>
                <w:szCs w:val="21"/>
              </w:rPr>
              <w:t xml:space="preserve">Acute monocytic leukaemia (subtype </w:t>
            </w:r>
            <w:r w:rsidRPr="0002415B">
              <w:rPr>
                <w:rFonts w:hint="eastAsia"/>
                <w:i/>
                <w:color w:val="000000"/>
                <w:sz w:val="21"/>
                <w:szCs w:val="21"/>
              </w:rPr>
              <w:t>M</w:t>
            </w:r>
            <w:r w:rsidRPr="0002415B">
              <w:rPr>
                <w:rFonts w:hint="eastAsia"/>
                <w:i/>
                <w:color w:val="000000"/>
                <w:sz w:val="21"/>
                <w:szCs w:val="21"/>
                <w:vertAlign w:val="subscript"/>
              </w:rPr>
              <w:t>5b</w:t>
            </w:r>
            <w:r w:rsidRPr="0002415B">
              <w:rPr>
                <w:rFonts w:hint="eastAsia"/>
                <w:iCs/>
                <w:color w:val="000000"/>
                <w:sz w:val="21"/>
                <w:szCs w:val="21"/>
              </w:rPr>
              <w:t>)</w:t>
            </w:r>
          </w:p>
        </w:tc>
        <w:tc>
          <w:tcPr>
            <w:tcW w:w="1658" w:type="dxa"/>
            <w:tcBorders>
              <w:top w:val="nil"/>
              <w:left w:val="nil"/>
              <w:bottom w:val="single" w:sz="4" w:space="0" w:color="auto"/>
              <w:right w:val="nil"/>
            </w:tcBorders>
            <w:vAlign w:val="center"/>
          </w:tcPr>
          <w:p w14:paraId="68040D9F"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360" w:type="dxa"/>
            <w:tcBorders>
              <w:top w:val="nil"/>
              <w:left w:val="nil"/>
              <w:bottom w:val="single" w:sz="4" w:space="0" w:color="auto"/>
              <w:right w:val="nil"/>
            </w:tcBorders>
            <w:vAlign w:val="center"/>
          </w:tcPr>
          <w:p w14:paraId="7E8B6972"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458" w:type="dxa"/>
            <w:tcBorders>
              <w:top w:val="nil"/>
              <w:left w:val="nil"/>
              <w:bottom w:val="single" w:sz="4" w:space="0" w:color="auto"/>
              <w:right w:val="nil"/>
            </w:tcBorders>
            <w:vAlign w:val="center"/>
          </w:tcPr>
          <w:p w14:paraId="45592EB4"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19%</w:t>
            </w:r>
          </w:p>
        </w:tc>
        <w:tc>
          <w:tcPr>
            <w:tcW w:w="1313" w:type="dxa"/>
            <w:tcBorders>
              <w:top w:val="nil"/>
              <w:left w:val="nil"/>
              <w:bottom w:val="single" w:sz="4" w:space="0" w:color="auto"/>
              <w:right w:val="nil"/>
            </w:tcBorders>
            <w:vAlign w:val="center"/>
          </w:tcPr>
          <w:p w14:paraId="096185A3"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329" w:type="dxa"/>
            <w:tcBorders>
              <w:top w:val="nil"/>
              <w:left w:val="nil"/>
              <w:bottom w:val="single" w:sz="4" w:space="0" w:color="auto"/>
              <w:right w:val="nil"/>
            </w:tcBorders>
            <w:vAlign w:val="center"/>
          </w:tcPr>
          <w:p w14:paraId="7D50744F"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5%</w:t>
            </w:r>
          </w:p>
        </w:tc>
        <w:tc>
          <w:tcPr>
            <w:tcW w:w="1051" w:type="dxa"/>
            <w:tcBorders>
              <w:top w:val="nil"/>
              <w:left w:val="nil"/>
              <w:bottom w:val="single" w:sz="4" w:space="0" w:color="auto"/>
              <w:right w:val="nil"/>
            </w:tcBorders>
            <w:vAlign w:val="center"/>
          </w:tcPr>
          <w:p w14:paraId="128B0073"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10%</w:t>
            </w:r>
          </w:p>
        </w:tc>
        <w:tc>
          <w:tcPr>
            <w:tcW w:w="1140" w:type="dxa"/>
            <w:tcBorders>
              <w:top w:val="nil"/>
              <w:left w:val="nil"/>
              <w:bottom w:val="single" w:sz="4" w:space="0" w:color="auto"/>
              <w:right w:val="nil"/>
            </w:tcBorders>
            <w:vAlign w:val="center"/>
          </w:tcPr>
          <w:p w14:paraId="799CF817" w14:textId="77777777" w:rsidR="00577717" w:rsidRPr="0002415B" w:rsidRDefault="0002415B">
            <w:pPr>
              <w:pStyle w:val="NormalWeb"/>
              <w:widowControl/>
              <w:jc w:val="center"/>
              <w:rPr>
                <w:color w:val="000000"/>
                <w:sz w:val="21"/>
                <w:szCs w:val="21"/>
              </w:rPr>
            </w:pPr>
            <w:r w:rsidRPr="0002415B">
              <w:rPr>
                <w:color w:val="000000"/>
                <w:szCs w:val="21"/>
              </w:rPr>
              <w:t>−</w:t>
            </w:r>
          </w:p>
        </w:tc>
        <w:tc>
          <w:tcPr>
            <w:tcW w:w="1090" w:type="dxa"/>
            <w:tcBorders>
              <w:top w:val="nil"/>
              <w:left w:val="nil"/>
              <w:bottom w:val="single" w:sz="4" w:space="0" w:color="auto"/>
              <w:right w:val="nil"/>
            </w:tcBorders>
            <w:vAlign w:val="center"/>
          </w:tcPr>
          <w:p w14:paraId="15E69307" w14:textId="77777777" w:rsidR="00577717" w:rsidRPr="0002415B" w:rsidRDefault="0002415B">
            <w:pPr>
              <w:pStyle w:val="NormalWeb"/>
              <w:widowControl/>
              <w:jc w:val="center"/>
              <w:rPr>
                <w:color w:val="000000"/>
                <w:sz w:val="21"/>
                <w:szCs w:val="21"/>
              </w:rPr>
            </w:pPr>
            <w:r w:rsidRPr="0002415B">
              <w:rPr>
                <w:rFonts w:hint="eastAsia"/>
                <w:color w:val="000000"/>
                <w:sz w:val="21"/>
                <w:szCs w:val="21"/>
              </w:rPr>
              <w:t>66%</w:t>
            </w:r>
          </w:p>
        </w:tc>
        <w:tc>
          <w:tcPr>
            <w:tcW w:w="1265" w:type="dxa"/>
            <w:tcBorders>
              <w:top w:val="nil"/>
              <w:left w:val="nil"/>
              <w:bottom w:val="single" w:sz="4" w:space="0" w:color="auto"/>
              <w:right w:val="nil"/>
            </w:tcBorders>
            <w:vAlign w:val="center"/>
          </w:tcPr>
          <w:p w14:paraId="49A33302" w14:textId="77777777" w:rsidR="00577717" w:rsidRPr="0002415B" w:rsidRDefault="0002415B">
            <w:pPr>
              <w:pStyle w:val="NormalWeb"/>
              <w:widowControl/>
              <w:jc w:val="center"/>
              <w:rPr>
                <w:color w:val="000000"/>
                <w:sz w:val="21"/>
                <w:szCs w:val="21"/>
              </w:rPr>
            </w:pPr>
            <w:r w:rsidRPr="0002415B">
              <w:rPr>
                <w:color w:val="000000"/>
                <w:szCs w:val="21"/>
              </w:rPr>
              <w:t>−</w:t>
            </w:r>
          </w:p>
        </w:tc>
      </w:tr>
      <w:bookmarkEnd w:id="7"/>
    </w:tbl>
    <w:p w14:paraId="3C7A0F4E" w14:textId="77777777" w:rsidR="00577717" w:rsidRPr="0002415B" w:rsidRDefault="00577717">
      <w:pPr>
        <w:spacing w:line="360" w:lineRule="auto"/>
        <w:rPr>
          <w:color w:val="000000"/>
          <w:sz w:val="24"/>
          <w:szCs w:val="24"/>
        </w:rPr>
        <w:sectPr w:rsidR="00577717" w:rsidRPr="0002415B">
          <w:pgSz w:w="16838" w:h="11906" w:orient="landscape"/>
          <w:pgMar w:top="1800" w:right="1440" w:bottom="1800" w:left="1440" w:header="851" w:footer="992" w:gutter="0"/>
          <w:cols w:space="720"/>
          <w:docGrid w:type="lines" w:linePitch="312"/>
        </w:sectPr>
      </w:pPr>
    </w:p>
    <w:p w14:paraId="31AA0724" w14:textId="77777777" w:rsidR="00577717" w:rsidRPr="0002415B" w:rsidRDefault="0002415B">
      <w:pPr>
        <w:spacing w:beforeLines="50" w:before="156" w:afterLines="50" w:after="156" w:line="480" w:lineRule="auto"/>
        <w:rPr>
          <w:b/>
          <w:bCs/>
          <w:color w:val="000000"/>
          <w:sz w:val="24"/>
          <w:szCs w:val="24"/>
        </w:rPr>
      </w:pPr>
      <w:r w:rsidRPr="0002415B">
        <w:rPr>
          <w:rFonts w:hint="eastAsia"/>
          <w:b/>
          <w:bCs/>
          <w:color w:val="000000"/>
          <w:sz w:val="24"/>
          <w:szCs w:val="24"/>
        </w:rPr>
        <w:lastRenderedPageBreak/>
        <w:t>Table S2</w:t>
      </w:r>
      <w:r w:rsidRPr="0002415B">
        <w:rPr>
          <w:rFonts w:hint="eastAsia"/>
          <w:color w:val="000000"/>
          <w:sz w:val="24"/>
          <w:szCs w:val="24"/>
        </w:rPr>
        <w:t xml:space="preserve"> Comparison of various methods for diagnosis of leukemia.</w:t>
      </w:r>
    </w:p>
    <w:tbl>
      <w:tblPr>
        <w:tblW w:w="0" w:type="auto"/>
        <w:jc w:val="center"/>
        <w:tblLook w:val="04A0" w:firstRow="1" w:lastRow="0" w:firstColumn="1" w:lastColumn="0" w:noHBand="0" w:noVBand="1"/>
      </w:tblPr>
      <w:tblGrid>
        <w:gridCol w:w="3734"/>
        <w:gridCol w:w="9277"/>
        <w:gridCol w:w="1163"/>
      </w:tblGrid>
      <w:tr w:rsidR="00577717" w:rsidRPr="0002415B" w14:paraId="76A8FF82" w14:textId="77777777">
        <w:trPr>
          <w:jc w:val="center"/>
        </w:trPr>
        <w:tc>
          <w:tcPr>
            <w:tcW w:w="3734" w:type="dxa"/>
            <w:tcBorders>
              <w:top w:val="single" w:sz="4" w:space="0" w:color="auto"/>
              <w:bottom w:val="single" w:sz="4" w:space="0" w:color="auto"/>
            </w:tcBorders>
          </w:tcPr>
          <w:p w14:paraId="62E0C7D1" w14:textId="77777777" w:rsidR="00577717" w:rsidRPr="0002415B" w:rsidRDefault="0002415B">
            <w:pPr>
              <w:spacing w:line="480" w:lineRule="auto"/>
              <w:jc w:val="center"/>
              <w:rPr>
                <w:color w:val="000000"/>
                <w:szCs w:val="21"/>
              </w:rPr>
            </w:pPr>
            <w:r w:rsidRPr="0002415B">
              <w:rPr>
                <w:color w:val="000000"/>
                <w:szCs w:val="21"/>
              </w:rPr>
              <w:t>Methods</w:t>
            </w:r>
          </w:p>
        </w:tc>
        <w:tc>
          <w:tcPr>
            <w:tcW w:w="9277" w:type="dxa"/>
            <w:tcBorders>
              <w:top w:val="single" w:sz="4" w:space="0" w:color="auto"/>
              <w:bottom w:val="single" w:sz="4" w:space="0" w:color="auto"/>
            </w:tcBorders>
          </w:tcPr>
          <w:p w14:paraId="645E91AA" w14:textId="77777777" w:rsidR="00577717" w:rsidRPr="0002415B" w:rsidRDefault="0002415B">
            <w:pPr>
              <w:spacing w:line="480" w:lineRule="auto"/>
              <w:jc w:val="center"/>
              <w:rPr>
                <w:color w:val="000000"/>
                <w:szCs w:val="21"/>
              </w:rPr>
            </w:pPr>
            <w:r w:rsidRPr="0002415B">
              <w:rPr>
                <w:color w:val="000000"/>
                <w:szCs w:val="21"/>
              </w:rPr>
              <w:t>Characteristics</w:t>
            </w:r>
          </w:p>
        </w:tc>
        <w:tc>
          <w:tcPr>
            <w:tcW w:w="1163" w:type="dxa"/>
            <w:tcBorders>
              <w:top w:val="single" w:sz="4" w:space="0" w:color="auto"/>
              <w:bottom w:val="single" w:sz="4" w:space="0" w:color="auto"/>
            </w:tcBorders>
          </w:tcPr>
          <w:p w14:paraId="1B070073" w14:textId="77777777" w:rsidR="00577717" w:rsidRPr="0002415B" w:rsidRDefault="0002415B">
            <w:pPr>
              <w:spacing w:line="480" w:lineRule="auto"/>
              <w:jc w:val="center"/>
              <w:rPr>
                <w:color w:val="000000"/>
                <w:szCs w:val="21"/>
              </w:rPr>
            </w:pPr>
            <w:r w:rsidRPr="0002415B">
              <w:rPr>
                <w:color w:val="000000"/>
                <w:szCs w:val="21"/>
              </w:rPr>
              <w:t>Reference</w:t>
            </w:r>
          </w:p>
        </w:tc>
      </w:tr>
      <w:tr w:rsidR="00577717" w:rsidRPr="0002415B" w14:paraId="25BFC2E1" w14:textId="77777777">
        <w:trPr>
          <w:trHeight w:val="1066"/>
          <w:jc w:val="center"/>
        </w:trPr>
        <w:tc>
          <w:tcPr>
            <w:tcW w:w="3734" w:type="dxa"/>
            <w:tcBorders>
              <w:top w:val="single" w:sz="4" w:space="0" w:color="auto"/>
            </w:tcBorders>
          </w:tcPr>
          <w:p w14:paraId="4C5F2639" w14:textId="77777777" w:rsidR="00577717" w:rsidRPr="0002415B" w:rsidRDefault="0002415B">
            <w:pPr>
              <w:spacing w:line="360" w:lineRule="auto"/>
              <w:jc w:val="left"/>
              <w:rPr>
                <w:color w:val="000000"/>
                <w:szCs w:val="21"/>
              </w:rPr>
            </w:pPr>
            <w:r w:rsidRPr="0002415B">
              <w:rPr>
                <w:color w:val="000000"/>
                <w:szCs w:val="21"/>
              </w:rPr>
              <w:t>Bone marrow aspiration smear cyto</w:t>
            </w:r>
            <w:r w:rsidRPr="0002415B">
              <w:rPr>
                <w:rFonts w:hint="eastAsia"/>
                <w:color w:val="000000"/>
                <w:szCs w:val="21"/>
              </w:rPr>
              <w:t>morphology</w:t>
            </w:r>
          </w:p>
        </w:tc>
        <w:tc>
          <w:tcPr>
            <w:tcW w:w="9277" w:type="dxa"/>
            <w:tcBorders>
              <w:top w:val="single" w:sz="4" w:space="0" w:color="auto"/>
            </w:tcBorders>
          </w:tcPr>
          <w:p w14:paraId="794A2641" w14:textId="77777777" w:rsidR="00577717" w:rsidRPr="0002415B" w:rsidRDefault="0002415B">
            <w:pPr>
              <w:spacing w:line="360" w:lineRule="auto"/>
              <w:rPr>
                <w:color w:val="000000"/>
                <w:szCs w:val="21"/>
              </w:rPr>
            </w:pPr>
            <w:r w:rsidRPr="0002415B">
              <w:rPr>
                <w:color w:val="000000"/>
                <w:szCs w:val="21"/>
              </w:rPr>
              <w:t>Bone marrow particles were aspirated and spread on slides, stained by the Wright-Giemsa or other techniques for microscopic examination. I</w:t>
            </w:r>
            <w:r w:rsidRPr="0002415B">
              <w:rPr>
                <w:rFonts w:hint="eastAsia"/>
                <w:color w:val="000000"/>
                <w:szCs w:val="21"/>
                <w:lang w:eastAsia="zh-Hans"/>
              </w:rPr>
              <w:t>t</w:t>
            </w:r>
            <w:r w:rsidRPr="0002415B">
              <w:rPr>
                <w:color w:val="000000"/>
                <w:szCs w:val="21"/>
                <w:lang w:eastAsia="zh-Hans"/>
              </w:rPr>
              <w:t xml:space="preserve"> </w:t>
            </w:r>
            <w:r w:rsidRPr="0002415B">
              <w:rPr>
                <w:color w:val="000000"/>
                <w:szCs w:val="21"/>
              </w:rPr>
              <w:t xml:space="preserve">is </w:t>
            </w:r>
            <w:r w:rsidRPr="0002415B">
              <w:rPr>
                <w:rFonts w:hint="eastAsia"/>
                <w:color w:val="000000"/>
                <w:szCs w:val="21"/>
                <w:lang w:eastAsia="zh-Hans"/>
              </w:rPr>
              <w:t>a</w:t>
            </w:r>
            <w:r w:rsidRPr="0002415B">
              <w:rPr>
                <w:color w:val="000000"/>
                <w:szCs w:val="21"/>
                <w:lang w:eastAsia="zh-Hans"/>
              </w:rPr>
              <w:t xml:space="preserve"> </w:t>
            </w:r>
            <w:r w:rsidRPr="0002415B">
              <w:rPr>
                <w:color w:val="000000"/>
                <w:szCs w:val="21"/>
              </w:rPr>
              <w:t>simple, reliable and rapid method of marrow evaluation.</w:t>
            </w:r>
          </w:p>
        </w:tc>
        <w:tc>
          <w:tcPr>
            <w:tcW w:w="1163" w:type="dxa"/>
            <w:tcBorders>
              <w:top w:val="single" w:sz="4" w:space="0" w:color="auto"/>
            </w:tcBorders>
          </w:tcPr>
          <w:p w14:paraId="2CAA8BBE" w14:textId="77777777" w:rsidR="00577717" w:rsidRPr="0002415B" w:rsidRDefault="0002415B">
            <w:pPr>
              <w:spacing w:line="360" w:lineRule="auto"/>
              <w:jc w:val="center"/>
              <w:rPr>
                <w:color w:val="000000"/>
                <w:szCs w:val="21"/>
              </w:rPr>
            </w:pPr>
            <w:r w:rsidRPr="0002415B">
              <w:rPr>
                <w:color w:val="000000"/>
                <w:szCs w:val="21"/>
              </w:rPr>
              <w:t>[6-7]</w:t>
            </w:r>
          </w:p>
        </w:tc>
      </w:tr>
      <w:tr w:rsidR="00577717" w:rsidRPr="0002415B" w14:paraId="53D64D53" w14:textId="77777777">
        <w:trPr>
          <w:trHeight w:val="1478"/>
          <w:jc w:val="center"/>
        </w:trPr>
        <w:tc>
          <w:tcPr>
            <w:tcW w:w="3734" w:type="dxa"/>
          </w:tcPr>
          <w:p w14:paraId="48A3F6D2" w14:textId="77777777" w:rsidR="00577717" w:rsidRPr="0002415B" w:rsidRDefault="0002415B">
            <w:pPr>
              <w:spacing w:line="360" w:lineRule="auto"/>
              <w:jc w:val="left"/>
              <w:rPr>
                <w:color w:val="000000"/>
                <w:szCs w:val="21"/>
              </w:rPr>
            </w:pPr>
            <w:r w:rsidRPr="0002415B">
              <w:rPr>
                <w:color w:val="000000"/>
                <w:szCs w:val="21"/>
              </w:rPr>
              <w:t>Bone marrow trephine biopsy histopathology</w:t>
            </w:r>
          </w:p>
        </w:tc>
        <w:tc>
          <w:tcPr>
            <w:tcW w:w="9277" w:type="dxa"/>
          </w:tcPr>
          <w:p w14:paraId="5540C242" w14:textId="77777777" w:rsidR="00577717" w:rsidRPr="0002415B" w:rsidRDefault="0002415B">
            <w:pPr>
              <w:spacing w:line="360" w:lineRule="auto"/>
              <w:rPr>
                <w:color w:val="000000"/>
                <w:szCs w:val="21"/>
              </w:rPr>
            </w:pPr>
            <w:r w:rsidRPr="0002415B">
              <w:rPr>
                <w:color w:val="000000"/>
                <w:szCs w:val="21"/>
              </w:rPr>
              <w:t xml:space="preserve">Biopsies were fixed by using 10% neutral buffered formalin. About 4–6 </w:t>
            </w:r>
            <w:r w:rsidRPr="0002415B">
              <w:rPr>
                <w:rFonts w:ascii="Times New Roman Regular" w:hAnsi="Times New Roman Regular" w:cs="Times New Roman Regular"/>
                <w:color w:val="000000"/>
                <w:szCs w:val="21"/>
              </w:rPr>
              <w:t>μ</w:t>
            </w:r>
            <w:r w:rsidRPr="0002415B">
              <w:rPr>
                <w:color w:val="000000"/>
                <w:szCs w:val="21"/>
              </w:rPr>
              <w:t xml:space="preserve">m thick sections were cut and stained with </w:t>
            </w:r>
            <w:r w:rsidRPr="0002415B">
              <w:rPr>
                <w:rFonts w:hint="eastAsia"/>
                <w:color w:val="000000"/>
                <w:szCs w:val="21"/>
              </w:rPr>
              <w:t>hematoxylin</w:t>
            </w:r>
            <w:r w:rsidRPr="0002415B">
              <w:rPr>
                <w:color w:val="000000"/>
                <w:szCs w:val="21"/>
              </w:rPr>
              <w:t xml:space="preserve"> and </w:t>
            </w:r>
            <w:r w:rsidRPr="0002415B">
              <w:rPr>
                <w:rFonts w:hint="eastAsia"/>
                <w:color w:val="000000"/>
                <w:szCs w:val="21"/>
              </w:rPr>
              <w:t>eosin</w:t>
            </w:r>
            <w:r w:rsidRPr="0002415B">
              <w:rPr>
                <w:color w:val="000000"/>
                <w:szCs w:val="21"/>
              </w:rPr>
              <w:t xml:space="preserve"> for microscopic examination, which providing excellent appreciation of spatial relationships between cells and of overall bone marrow structure. Biopsy is a painful procedure and its processing takes at least 48–72 h.</w:t>
            </w:r>
          </w:p>
        </w:tc>
        <w:tc>
          <w:tcPr>
            <w:tcW w:w="1163" w:type="dxa"/>
          </w:tcPr>
          <w:p w14:paraId="3069545D" w14:textId="77777777" w:rsidR="00577717" w:rsidRPr="0002415B" w:rsidRDefault="0002415B">
            <w:pPr>
              <w:spacing w:line="360" w:lineRule="auto"/>
              <w:jc w:val="center"/>
              <w:rPr>
                <w:color w:val="000000"/>
                <w:szCs w:val="21"/>
              </w:rPr>
            </w:pPr>
            <w:r w:rsidRPr="0002415B">
              <w:rPr>
                <w:color w:val="000000"/>
                <w:szCs w:val="21"/>
              </w:rPr>
              <w:t>[7]</w:t>
            </w:r>
          </w:p>
        </w:tc>
      </w:tr>
      <w:tr w:rsidR="00577717" w:rsidRPr="0002415B" w14:paraId="3501B0D9" w14:textId="77777777">
        <w:trPr>
          <w:trHeight w:val="1430"/>
          <w:jc w:val="center"/>
        </w:trPr>
        <w:tc>
          <w:tcPr>
            <w:tcW w:w="3734" w:type="dxa"/>
          </w:tcPr>
          <w:p w14:paraId="5F614550" w14:textId="77777777" w:rsidR="00577717" w:rsidRPr="0002415B" w:rsidRDefault="0002415B">
            <w:pPr>
              <w:spacing w:line="360" w:lineRule="auto"/>
              <w:jc w:val="left"/>
              <w:rPr>
                <w:color w:val="000000"/>
                <w:szCs w:val="21"/>
              </w:rPr>
            </w:pPr>
            <w:r w:rsidRPr="0002415B">
              <w:rPr>
                <w:color w:val="000000"/>
                <w:szCs w:val="21"/>
              </w:rPr>
              <w:t>Immunohistochemistry</w:t>
            </w:r>
          </w:p>
        </w:tc>
        <w:tc>
          <w:tcPr>
            <w:tcW w:w="9277" w:type="dxa"/>
          </w:tcPr>
          <w:p w14:paraId="31ACF7F0" w14:textId="77777777" w:rsidR="00577717" w:rsidRPr="0002415B" w:rsidRDefault="0002415B">
            <w:pPr>
              <w:spacing w:line="360" w:lineRule="auto"/>
              <w:rPr>
                <w:color w:val="000000"/>
                <w:szCs w:val="21"/>
              </w:rPr>
            </w:pPr>
            <w:r w:rsidRPr="0002415B">
              <w:rPr>
                <w:color w:val="000000"/>
                <w:szCs w:val="21"/>
              </w:rPr>
              <w:t xml:space="preserve">Applied to bone marrow (BM) core biopsy specimens and BM aspirate clot sections, is an integral part of BM investigation and is often followed by ancillary studies. Immunohistochemistry provides </w:t>
            </w:r>
            <w:r w:rsidRPr="0002415B">
              <w:rPr>
                <w:rFonts w:ascii="Times New Roman Italic" w:hAnsi="Times New Roman Italic" w:cs="Times New Roman Italic"/>
                <w:i/>
                <w:iCs/>
                <w:color w:val="000000"/>
                <w:szCs w:val="21"/>
              </w:rPr>
              <w:t>in situ</w:t>
            </w:r>
            <w:r w:rsidRPr="0002415B">
              <w:rPr>
                <w:color w:val="000000"/>
                <w:szCs w:val="21"/>
              </w:rPr>
              <w:t xml:space="preserve"> coupling of morphological assessment and immunophenotype.</w:t>
            </w:r>
          </w:p>
        </w:tc>
        <w:tc>
          <w:tcPr>
            <w:tcW w:w="1163" w:type="dxa"/>
          </w:tcPr>
          <w:p w14:paraId="53B07EEA" w14:textId="77777777" w:rsidR="00577717" w:rsidRPr="0002415B" w:rsidRDefault="0002415B">
            <w:pPr>
              <w:spacing w:line="360" w:lineRule="auto"/>
              <w:jc w:val="center"/>
              <w:rPr>
                <w:color w:val="000000"/>
                <w:szCs w:val="21"/>
              </w:rPr>
            </w:pPr>
            <w:r w:rsidRPr="0002415B">
              <w:rPr>
                <w:color w:val="000000"/>
                <w:szCs w:val="21"/>
              </w:rPr>
              <w:t>[8]</w:t>
            </w:r>
          </w:p>
        </w:tc>
      </w:tr>
      <w:tr w:rsidR="00577717" w:rsidRPr="0002415B" w14:paraId="747CFEDB" w14:textId="77777777">
        <w:trPr>
          <w:jc w:val="center"/>
        </w:trPr>
        <w:tc>
          <w:tcPr>
            <w:tcW w:w="3734" w:type="dxa"/>
          </w:tcPr>
          <w:p w14:paraId="1CEA4682" w14:textId="77777777" w:rsidR="00577717" w:rsidRPr="0002415B" w:rsidRDefault="0002415B">
            <w:pPr>
              <w:spacing w:line="360" w:lineRule="auto"/>
              <w:jc w:val="left"/>
              <w:rPr>
                <w:color w:val="000000"/>
                <w:szCs w:val="21"/>
              </w:rPr>
            </w:pPr>
            <w:r w:rsidRPr="0002415B">
              <w:rPr>
                <w:color w:val="000000"/>
                <w:szCs w:val="21"/>
              </w:rPr>
              <w:t>Chromosome banding analysis</w:t>
            </w:r>
          </w:p>
        </w:tc>
        <w:tc>
          <w:tcPr>
            <w:tcW w:w="9277" w:type="dxa"/>
          </w:tcPr>
          <w:p w14:paraId="629F9C40" w14:textId="77777777" w:rsidR="00577717" w:rsidRPr="0002415B" w:rsidRDefault="0002415B">
            <w:pPr>
              <w:spacing w:line="360" w:lineRule="auto"/>
              <w:rPr>
                <w:color w:val="000000"/>
                <w:szCs w:val="21"/>
              </w:rPr>
            </w:pPr>
            <w:r w:rsidRPr="0002415B">
              <w:rPr>
                <w:color w:val="000000"/>
                <w:szCs w:val="21"/>
              </w:rPr>
              <w:t>Overview of whole karyotype provides an overall evaluation of the whole genome and helps direct further analysis (specific probes for FISH and/or PCR). This method requires fresh tissues and highly skilled personnel.</w:t>
            </w:r>
          </w:p>
        </w:tc>
        <w:tc>
          <w:tcPr>
            <w:tcW w:w="1163" w:type="dxa"/>
          </w:tcPr>
          <w:p w14:paraId="203A37D7" w14:textId="77777777" w:rsidR="00577717" w:rsidRPr="0002415B" w:rsidRDefault="0002415B">
            <w:pPr>
              <w:spacing w:line="360" w:lineRule="auto"/>
              <w:jc w:val="center"/>
              <w:rPr>
                <w:color w:val="000000"/>
                <w:szCs w:val="21"/>
              </w:rPr>
            </w:pPr>
            <w:r w:rsidRPr="0002415B">
              <w:rPr>
                <w:color w:val="000000"/>
                <w:szCs w:val="21"/>
              </w:rPr>
              <w:t>[9]</w:t>
            </w:r>
          </w:p>
        </w:tc>
      </w:tr>
      <w:tr w:rsidR="00577717" w:rsidRPr="0002415B" w14:paraId="5052C88C" w14:textId="77777777">
        <w:trPr>
          <w:jc w:val="center"/>
        </w:trPr>
        <w:tc>
          <w:tcPr>
            <w:tcW w:w="3734" w:type="dxa"/>
          </w:tcPr>
          <w:p w14:paraId="7A4A09E5" w14:textId="77777777" w:rsidR="00577717" w:rsidRPr="0002415B" w:rsidRDefault="0002415B">
            <w:pPr>
              <w:spacing w:line="360" w:lineRule="auto"/>
              <w:jc w:val="left"/>
              <w:rPr>
                <w:color w:val="000000"/>
                <w:szCs w:val="21"/>
              </w:rPr>
            </w:pPr>
            <w:r w:rsidRPr="0002415B">
              <w:rPr>
                <w:color w:val="000000"/>
                <w:szCs w:val="21"/>
              </w:rPr>
              <w:lastRenderedPageBreak/>
              <w:t xml:space="preserve">Fluorescence </w:t>
            </w:r>
            <w:r w:rsidRPr="0002415B">
              <w:rPr>
                <w:rFonts w:ascii="Times New Roman Italic" w:hAnsi="Times New Roman Italic" w:cs="Times New Roman Italic"/>
                <w:i/>
                <w:iCs/>
                <w:color w:val="000000"/>
                <w:szCs w:val="21"/>
              </w:rPr>
              <w:t>in situ</w:t>
            </w:r>
            <w:r w:rsidRPr="0002415B">
              <w:rPr>
                <w:color w:val="000000"/>
                <w:szCs w:val="21"/>
              </w:rPr>
              <w:t xml:space="preserve"> hybridisation (FISH)</w:t>
            </w:r>
          </w:p>
        </w:tc>
        <w:tc>
          <w:tcPr>
            <w:tcW w:w="9277" w:type="dxa"/>
          </w:tcPr>
          <w:p w14:paraId="056A9D97" w14:textId="77777777" w:rsidR="00577717" w:rsidRPr="0002415B" w:rsidRDefault="0002415B">
            <w:pPr>
              <w:spacing w:line="360" w:lineRule="auto"/>
              <w:rPr>
                <w:color w:val="000000"/>
                <w:szCs w:val="21"/>
              </w:rPr>
            </w:pPr>
            <w:r w:rsidRPr="0002415B">
              <w:rPr>
                <w:color w:val="000000"/>
                <w:szCs w:val="21"/>
              </w:rPr>
              <w:t>FISH uses test probes against target DNA in the nucleus of interphase cells or metaphase chromosomes. FISH allows the analysis of specific DNA changes in cells or intact chromosomes and does not require metaphase chromosomes. It is a sensitive and valuable method that enables screening for the recurrent chromosomal aberrations in hematologic disorders.</w:t>
            </w:r>
          </w:p>
        </w:tc>
        <w:tc>
          <w:tcPr>
            <w:tcW w:w="1163" w:type="dxa"/>
          </w:tcPr>
          <w:p w14:paraId="662C6605" w14:textId="77777777" w:rsidR="00577717" w:rsidRPr="0002415B" w:rsidRDefault="0002415B">
            <w:pPr>
              <w:spacing w:line="360" w:lineRule="auto"/>
              <w:jc w:val="center"/>
              <w:rPr>
                <w:color w:val="000000"/>
                <w:szCs w:val="21"/>
              </w:rPr>
            </w:pPr>
            <w:r w:rsidRPr="0002415B">
              <w:rPr>
                <w:color w:val="000000"/>
                <w:szCs w:val="21"/>
              </w:rPr>
              <w:t>[10]</w:t>
            </w:r>
          </w:p>
        </w:tc>
      </w:tr>
      <w:tr w:rsidR="00577717" w:rsidRPr="0002415B" w14:paraId="5C1519D7" w14:textId="77777777">
        <w:trPr>
          <w:trHeight w:val="980"/>
          <w:jc w:val="center"/>
        </w:trPr>
        <w:tc>
          <w:tcPr>
            <w:tcW w:w="3734" w:type="dxa"/>
          </w:tcPr>
          <w:p w14:paraId="12E490EF" w14:textId="77777777" w:rsidR="00577717" w:rsidRPr="0002415B" w:rsidRDefault="0002415B">
            <w:pPr>
              <w:spacing w:line="360" w:lineRule="auto"/>
              <w:jc w:val="left"/>
              <w:rPr>
                <w:color w:val="000000"/>
                <w:szCs w:val="21"/>
              </w:rPr>
            </w:pPr>
            <w:r w:rsidRPr="0002415B">
              <w:rPr>
                <w:color w:val="000000"/>
                <w:szCs w:val="21"/>
              </w:rPr>
              <w:t>Multiplex FISH (M-FISH)</w:t>
            </w:r>
          </w:p>
        </w:tc>
        <w:tc>
          <w:tcPr>
            <w:tcW w:w="9277" w:type="dxa"/>
          </w:tcPr>
          <w:p w14:paraId="6598CDC7" w14:textId="77777777" w:rsidR="00577717" w:rsidRPr="0002415B" w:rsidRDefault="0002415B">
            <w:pPr>
              <w:spacing w:line="360" w:lineRule="auto"/>
              <w:rPr>
                <w:color w:val="000000"/>
                <w:szCs w:val="21"/>
              </w:rPr>
            </w:pPr>
            <w:r w:rsidRPr="0002415B">
              <w:rPr>
                <w:color w:val="000000"/>
                <w:szCs w:val="21"/>
              </w:rPr>
              <w:t>Originally designed to generate 24-color karyotyping, a multichromosomal paiting technique, that allows for the simultaneous visualization of all chromosomes of metaphase in a single hybridization step.</w:t>
            </w:r>
          </w:p>
        </w:tc>
        <w:tc>
          <w:tcPr>
            <w:tcW w:w="1163" w:type="dxa"/>
          </w:tcPr>
          <w:p w14:paraId="321B4AE6" w14:textId="77777777" w:rsidR="00577717" w:rsidRPr="0002415B" w:rsidRDefault="0002415B">
            <w:pPr>
              <w:spacing w:line="360" w:lineRule="auto"/>
              <w:jc w:val="center"/>
              <w:rPr>
                <w:color w:val="000000"/>
                <w:szCs w:val="21"/>
              </w:rPr>
            </w:pPr>
            <w:r w:rsidRPr="0002415B">
              <w:rPr>
                <w:color w:val="000000"/>
                <w:szCs w:val="21"/>
              </w:rPr>
              <w:t>[11]</w:t>
            </w:r>
          </w:p>
        </w:tc>
      </w:tr>
      <w:tr w:rsidR="00577717" w:rsidRPr="0002415B" w14:paraId="18320655" w14:textId="77777777">
        <w:trPr>
          <w:jc w:val="center"/>
        </w:trPr>
        <w:tc>
          <w:tcPr>
            <w:tcW w:w="3734" w:type="dxa"/>
          </w:tcPr>
          <w:p w14:paraId="308D4777" w14:textId="77777777" w:rsidR="00577717" w:rsidRPr="0002415B" w:rsidRDefault="0002415B">
            <w:pPr>
              <w:spacing w:line="360" w:lineRule="auto"/>
              <w:jc w:val="left"/>
              <w:rPr>
                <w:color w:val="000000"/>
                <w:szCs w:val="21"/>
              </w:rPr>
            </w:pPr>
            <w:r w:rsidRPr="0002415B">
              <w:rPr>
                <w:color w:val="000000"/>
                <w:szCs w:val="21"/>
              </w:rPr>
              <w:t>Polymerase chain reaction (PCR)</w:t>
            </w:r>
          </w:p>
        </w:tc>
        <w:tc>
          <w:tcPr>
            <w:tcW w:w="9277" w:type="dxa"/>
          </w:tcPr>
          <w:p w14:paraId="36FB6B76" w14:textId="77777777" w:rsidR="00577717" w:rsidRPr="0002415B" w:rsidRDefault="0002415B">
            <w:pPr>
              <w:spacing w:line="360" w:lineRule="auto"/>
              <w:rPr>
                <w:color w:val="000000"/>
                <w:szCs w:val="21"/>
              </w:rPr>
            </w:pPr>
            <w:r w:rsidRPr="0002415B">
              <w:rPr>
                <w:color w:val="000000"/>
                <w:szCs w:val="21"/>
              </w:rPr>
              <w:t>It targets a segment of DNA and produces multiple copies (usually between 10</w:t>
            </w:r>
            <w:r w:rsidRPr="0002415B">
              <w:rPr>
                <w:color w:val="000000"/>
                <w:szCs w:val="21"/>
                <w:vertAlign w:val="superscript"/>
              </w:rPr>
              <w:t>7</w:t>
            </w:r>
            <w:r w:rsidRPr="0002415B">
              <w:rPr>
                <w:color w:val="000000"/>
                <w:szCs w:val="21"/>
              </w:rPr>
              <w:t>-10</w:t>
            </w:r>
            <w:r w:rsidRPr="0002415B">
              <w:rPr>
                <w:color w:val="000000"/>
                <w:szCs w:val="21"/>
                <w:vertAlign w:val="superscript"/>
              </w:rPr>
              <w:t>11</w:t>
            </w:r>
            <w:r w:rsidRPr="0002415B">
              <w:rPr>
                <w:color w:val="000000"/>
                <w:szCs w:val="21"/>
              </w:rPr>
              <w:t>) of DNA region of interest. Three major steps in PCR include denaturation of double-stranded DNA into single stranded DNA, hybridization of oligonucleotide primers to both ends of target sequence, and a synthesis achieved by addition of four nucleotide base and a Taq polymerase. A PCR reaction usually involves 30-40 cycles. PCR provides unlimited amounts of precise genetic material for diagnosis.</w:t>
            </w:r>
          </w:p>
        </w:tc>
        <w:tc>
          <w:tcPr>
            <w:tcW w:w="1163" w:type="dxa"/>
          </w:tcPr>
          <w:p w14:paraId="66564F6D" w14:textId="77777777" w:rsidR="00577717" w:rsidRPr="0002415B" w:rsidRDefault="0002415B">
            <w:pPr>
              <w:spacing w:line="360" w:lineRule="auto"/>
              <w:jc w:val="center"/>
              <w:rPr>
                <w:color w:val="000000"/>
                <w:szCs w:val="21"/>
              </w:rPr>
            </w:pPr>
            <w:r w:rsidRPr="0002415B">
              <w:rPr>
                <w:color w:val="000000"/>
                <w:szCs w:val="21"/>
              </w:rPr>
              <w:t>[12]</w:t>
            </w:r>
          </w:p>
        </w:tc>
      </w:tr>
      <w:tr w:rsidR="00577717" w:rsidRPr="0002415B" w14:paraId="601C35E2" w14:textId="77777777">
        <w:trPr>
          <w:trHeight w:val="1436"/>
          <w:jc w:val="center"/>
        </w:trPr>
        <w:tc>
          <w:tcPr>
            <w:tcW w:w="3734" w:type="dxa"/>
          </w:tcPr>
          <w:p w14:paraId="52299669" w14:textId="77777777" w:rsidR="00577717" w:rsidRPr="0002415B" w:rsidRDefault="0002415B">
            <w:pPr>
              <w:spacing w:line="360" w:lineRule="auto"/>
              <w:jc w:val="left"/>
              <w:rPr>
                <w:color w:val="000000"/>
                <w:szCs w:val="21"/>
              </w:rPr>
            </w:pPr>
            <w:r w:rsidRPr="0002415B">
              <w:rPr>
                <w:color w:val="000000"/>
                <w:szCs w:val="21"/>
              </w:rPr>
              <w:t>Nested PCR</w:t>
            </w:r>
          </w:p>
        </w:tc>
        <w:tc>
          <w:tcPr>
            <w:tcW w:w="9277" w:type="dxa"/>
          </w:tcPr>
          <w:p w14:paraId="207C2871" w14:textId="77777777" w:rsidR="00577717" w:rsidRPr="0002415B" w:rsidRDefault="0002415B">
            <w:pPr>
              <w:spacing w:line="360" w:lineRule="auto"/>
              <w:rPr>
                <w:color w:val="000000"/>
                <w:szCs w:val="21"/>
              </w:rPr>
            </w:pPr>
            <w:r w:rsidRPr="0002415B">
              <w:rPr>
                <w:color w:val="000000"/>
                <w:szCs w:val="21"/>
              </w:rPr>
              <w:t>Nested PCR involves two PCR reactions for a single locus. It uses two sets of primers, the second of which lies within the first set of primers (the first target is longer and the second is shorter) ,which increases both sensitivity and specificity. Because of the high sensitivity of this methodology, it is used for a target expressed at very low level.</w:t>
            </w:r>
          </w:p>
        </w:tc>
        <w:tc>
          <w:tcPr>
            <w:tcW w:w="1163" w:type="dxa"/>
          </w:tcPr>
          <w:p w14:paraId="562838E9" w14:textId="77777777" w:rsidR="00577717" w:rsidRPr="0002415B" w:rsidRDefault="0002415B">
            <w:pPr>
              <w:spacing w:line="360" w:lineRule="auto"/>
              <w:jc w:val="center"/>
              <w:rPr>
                <w:color w:val="000000"/>
                <w:szCs w:val="21"/>
              </w:rPr>
            </w:pPr>
            <w:r w:rsidRPr="0002415B">
              <w:rPr>
                <w:color w:val="000000"/>
                <w:szCs w:val="21"/>
              </w:rPr>
              <w:t>[13]</w:t>
            </w:r>
          </w:p>
        </w:tc>
      </w:tr>
      <w:tr w:rsidR="00577717" w:rsidRPr="0002415B" w14:paraId="1B3AA606" w14:textId="77777777">
        <w:trPr>
          <w:trHeight w:val="963"/>
          <w:jc w:val="center"/>
        </w:trPr>
        <w:tc>
          <w:tcPr>
            <w:tcW w:w="3734" w:type="dxa"/>
          </w:tcPr>
          <w:p w14:paraId="354C06E1" w14:textId="77777777" w:rsidR="00577717" w:rsidRPr="0002415B" w:rsidRDefault="0002415B">
            <w:pPr>
              <w:spacing w:line="360" w:lineRule="auto"/>
              <w:jc w:val="left"/>
              <w:rPr>
                <w:color w:val="000000"/>
                <w:szCs w:val="21"/>
              </w:rPr>
            </w:pPr>
            <w:r w:rsidRPr="0002415B">
              <w:rPr>
                <w:color w:val="000000"/>
                <w:szCs w:val="21"/>
              </w:rPr>
              <w:lastRenderedPageBreak/>
              <w:t>Reverse transcriptase polymerase chain reaction (RT-PCR)</w:t>
            </w:r>
          </w:p>
        </w:tc>
        <w:tc>
          <w:tcPr>
            <w:tcW w:w="9277" w:type="dxa"/>
          </w:tcPr>
          <w:p w14:paraId="40B0AF2B" w14:textId="77777777" w:rsidR="00577717" w:rsidRPr="0002415B" w:rsidRDefault="0002415B">
            <w:pPr>
              <w:spacing w:line="360" w:lineRule="auto"/>
              <w:rPr>
                <w:color w:val="000000"/>
                <w:szCs w:val="21"/>
              </w:rPr>
            </w:pPr>
            <w:r w:rsidRPr="0002415B">
              <w:rPr>
                <w:color w:val="000000"/>
                <w:szCs w:val="21"/>
              </w:rPr>
              <w:t>RT-PCR methodology amplifies RNA and consists of two major steps: first, it employs an enzyme, reverse transcriptase,which converts RNA into the single-stranded complementary DNA,which in the second step serves as a template for conventional PCR.</w:t>
            </w:r>
          </w:p>
        </w:tc>
        <w:tc>
          <w:tcPr>
            <w:tcW w:w="1163" w:type="dxa"/>
          </w:tcPr>
          <w:p w14:paraId="553CDEC2" w14:textId="77777777" w:rsidR="00577717" w:rsidRPr="0002415B" w:rsidRDefault="0002415B">
            <w:pPr>
              <w:spacing w:line="360" w:lineRule="auto"/>
              <w:jc w:val="center"/>
              <w:rPr>
                <w:color w:val="000000"/>
                <w:szCs w:val="21"/>
              </w:rPr>
            </w:pPr>
            <w:r w:rsidRPr="0002415B">
              <w:rPr>
                <w:color w:val="000000"/>
                <w:szCs w:val="21"/>
              </w:rPr>
              <w:t>[14]</w:t>
            </w:r>
          </w:p>
        </w:tc>
      </w:tr>
      <w:tr w:rsidR="00577717" w:rsidRPr="0002415B" w14:paraId="45E19BF3" w14:textId="77777777">
        <w:trPr>
          <w:jc w:val="center"/>
        </w:trPr>
        <w:tc>
          <w:tcPr>
            <w:tcW w:w="3734" w:type="dxa"/>
          </w:tcPr>
          <w:p w14:paraId="33FFFD16" w14:textId="77777777" w:rsidR="00577717" w:rsidRPr="0002415B" w:rsidRDefault="0002415B">
            <w:pPr>
              <w:spacing w:line="360" w:lineRule="auto"/>
              <w:jc w:val="left"/>
              <w:rPr>
                <w:color w:val="000000"/>
                <w:szCs w:val="21"/>
              </w:rPr>
            </w:pPr>
            <w:r w:rsidRPr="0002415B">
              <w:rPr>
                <w:color w:val="000000"/>
                <w:szCs w:val="21"/>
              </w:rPr>
              <w:t>Real-time quantitative PCR (RQ-PCR)</w:t>
            </w:r>
          </w:p>
        </w:tc>
        <w:tc>
          <w:tcPr>
            <w:tcW w:w="9277" w:type="dxa"/>
          </w:tcPr>
          <w:p w14:paraId="7E9D04B6" w14:textId="77777777" w:rsidR="00577717" w:rsidRPr="0002415B" w:rsidRDefault="0002415B">
            <w:pPr>
              <w:spacing w:line="360" w:lineRule="auto"/>
              <w:rPr>
                <w:color w:val="000000"/>
                <w:szCs w:val="21"/>
              </w:rPr>
            </w:pPr>
            <w:r w:rsidRPr="0002415B">
              <w:rPr>
                <w:color w:val="000000"/>
                <w:szCs w:val="21"/>
              </w:rPr>
              <w:t>RQ-PCR allows simultaneous amplification and detection of PCR products in a single reaction tube. The reaction is monitored in real time after each cycle of amplification by computer software permitting both detection and quantification of PCR products.</w:t>
            </w:r>
          </w:p>
        </w:tc>
        <w:tc>
          <w:tcPr>
            <w:tcW w:w="1163" w:type="dxa"/>
          </w:tcPr>
          <w:p w14:paraId="68CAC482" w14:textId="77777777" w:rsidR="00577717" w:rsidRPr="0002415B" w:rsidRDefault="0002415B">
            <w:pPr>
              <w:spacing w:line="360" w:lineRule="auto"/>
              <w:jc w:val="center"/>
              <w:rPr>
                <w:color w:val="000000"/>
                <w:szCs w:val="21"/>
              </w:rPr>
            </w:pPr>
            <w:r w:rsidRPr="0002415B">
              <w:rPr>
                <w:color w:val="000000"/>
                <w:szCs w:val="21"/>
              </w:rPr>
              <w:t>[15]</w:t>
            </w:r>
          </w:p>
        </w:tc>
      </w:tr>
      <w:tr w:rsidR="00577717" w:rsidRPr="0002415B" w14:paraId="3491ED6F" w14:textId="77777777">
        <w:trPr>
          <w:trHeight w:val="1411"/>
          <w:jc w:val="center"/>
        </w:trPr>
        <w:tc>
          <w:tcPr>
            <w:tcW w:w="3734" w:type="dxa"/>
          </w:tcPr>
          <w:p w14:paraId="7B288241" w14:textId="77777777" w:rsidR="00577717" w:rsidRPr="0002415B" w:rsidRDefault="0002415B">
            <w:pPr>
              <w:spacing w:line="360" w:lineRule="auto"/>
              <w:jc w:val="left"/>
              <w:rPr>
                <w:color w:val="000000"/>
                <w:szCs w:val="21"/>
              </w:rPr>
            </w:pPr>
            <w:r w:rsidRPr="0002415B">
              <w:rPr>
                <w:color w:val="000000"/>
                <w:szCs w:val="21"/>
              </w:rPr>
              <w:t>Allele-specific PCR (AS-PCR)</w:t>
            </w:r>
          </w:p>
        </w:tc>
        <w:tc>
          <w:tcPr>
            <w:tcW w:w="9277" w:type="dxa"/>
          </w:tcPr>
          <w:p w14:paraId="5C19F4AB" w14:textId="77777777" w:rsidR="00577717" w:rsidRPr="0002415B" w:rsidRDefault="0002415B">
            <w:pPr>
              <w:spacing w:line="360" w:lineRule="auto"/>
              <w:rPr>
                <w:color w:val="000000"/>
                <w:szCs w:val="21"/>
              </w:rPr>
            </w:pPr>
            <w:r w:rsidRPr="0002415B">
              <w:rPr>
                <w:color w:val="000000"/>
                <w:szCs w:val="21"/>
              </w:rPr>
              <w:t>This target amplification method is based on positioning the 3’ base of a PCR primer to match one single nucleotide polymorphisms allele and accurately extend only the correctly matched primer under stringent conditions. AS-PCR has the advantage of combining the amplification and detection events, with no additional probes or enzymes required.</w:t>
            </w:r>
          </w:p>
        </w:tc>
        <w:tc>
          <w:tcPr>
            <w:tcW w:w="1163" w:type="dxa"/>
          </w:tcPr>
          <w:p w14:paraId="6ACC241A" w14:textId="77777777" w:rsidR="00577717" w:rsidRPr="0002415B" w:rsidRDefault="0002415B">
            <w:pPr>
              <w:spacing w:line="360" w:lineRule="auto"/>
              <w:jc w:val="center"/>
              <w:rPr>
                <w:color w:val="000000"/>
                <w:szCs w:val="21"/>
              </w:rPr>
            </w:pPr>
            <w:r w:rsidRPr="0002415B">
              <w:rPr>
                <w:color w:val="000000"/>
                <w:szCs w:val="21"/>
              </w:rPr>
              <w:t>[16]</w:t>
            </w:r>
          </w:p>
        </w:tc>
      </w:tr>
      <w:tr w:rsidR="00577717" w:rsidRPr="0002415B" w14:paraId="2649C814" w14:textId="77777777">
        <w:trPr>
          <w:jc w:val="center"/>
        </w:trPr>
        <w:tc>
          <w:tcPr>
            <w:tcW w:w="3734" w:type="dxa"/>
          </w:tcPr>
          <w:p w14:paraId="5D4E9C0E" w14:textId="77777777" w:rsidR="00577717" w:rsidRPr="0002415B" w:rsidRDefault="0002415B">
            <w:pPr>
              <w:spacing w:line="360" w:lineRule="auto"/>
              <w:jc w:val="left"/>
              <w:rPr>
                <w:color w:val="000000"/>
                <w:szCs w:val="21"/>
              </w:rPr>
            </w:pPr>
            <w:r w:rsidRPr="0002415B">
              <w:rPr>
                <w:color w:val="000000"/>
                <w:szCs w:val="21"/>
              </w:rPr>
              <w:t>Droplet digital PCR (ddPCR)</w:t>
            </w:r>
          </w:p>
        </w:tc>
        <w:tc>
          <w:tcPr>
            <w:tcW w:w="9277" w:type="dxa"/>
          </w:tcPr>
          <w:p w14:paraId="2BC5B209" w14:textId="77777777" w:rsidR="00577717" w:rsidRPr="0002415B" w:rsidRDefault="0002415B">
            <w:pPr>
              <w:spacing w:line="360" w:lineRule="auto"/>
              <w:rPr>
                <w:color w:val="000000"/>
                <w:szCs w:val="21"/>
              </w:rPr>
            </w:pPr>
            <w:r w:rsidRPr="0002415B">
              <w:rPr>
                <w:color w:val="000000"/>
                <w:szCs w:val="21"/>
              </w:rPr>
              <w:t>Droplet digital PCR is a novel absolute quantitative technique that divides the reaction system into thousands of units. The fluorescence signal of each reaction unit is detected,and the original concentration is calculated according to a Poisson distribution.</w:t>
            </w:r>
          </w:p>
        </w:tc>
        <w:tc>
          <w:tcPr>
            <w:tcW w:w="1163" w:type="dxa"/>
          </w:tcPr>
          <w:p w14:paraId="5A4BBACA" w14:textId="77777777" w:rsidR="00577717" w:rsidRPr="0002415B" w:rsidRDefault="0002415B">
            <w:pPr>
              <w:spacing w:line="360" w:lineRule="auto"/>
              <w:jc w:val="center"/>
              <w:rPr>
                <w:color w:val="000000"/>
                <w:szCs w:val="21"/>
              </w:rPr>
            </w:pPr>
            <w:r w:rsidRPr="0002415B">
              <w:rPr>
                <w:color w:val="000000"/>
                <w:szCs w:val="21"/>
              </w:rPr>
              <w:t>[17]</w:t>
            </w:r>
          </w:p>
        </w:tc>
      </w:tr>
      <w:tr w:rsidR="00577717" w:rsidRPr="0002415B" w14:paraId="0A124486" w14:textId="77777777">
        <w:trPr>
          <w:trHeight w:val="2896"/>
          <w:jc w:val="center"/>
        </w:trPr>
        <w:tc>
          <w:tcPr>
            <w:tcW w:w="3734" w:type="dxa"/>
          </w:tcPr>
          <w:p w14:paraId="778D61EE" w14:textId="77777777" w:rsidR="00577717" w:rsidRPr="0002415B" w:rsidRDefault="0002415B">
            <w:pPr>
              <w:spacing w:line="360" w:lineRule="auto"/>
              <w:jc w:val="left"/>
              <w:rPr>
                <w:color w:val="000000"/>
                <w:szCs w:val="21"/>
              </w:rPr>
            </w:pPr>
            <w:r w:rsidRPr="0002415B">
              <w:rPr>
                <w:color w:val="000000"/>
                <w:szCs w:val="21"/>
              </w:rPr>
              <w:lastRenderedPageBreak/>
              <w:t>Flow cytometry (FC)</w:t>
            </w:r>
          </w:p>
        </w:tc>
        <w:tc>
          <w:tcPr>
            <w:tcW w:w="9277" w:type="dxa"/>
          </w:tcPr>
          <w:p w14:paraId="05F2F049" w14:textId="77777777" w:rsidR="00577717" w:rsidRPr="0002415B" w:rsidRDefault="0002415B">
            <w:pPr>
              <w:spacing w:line="360" w:lineRule="auto"/>
              <w:rPr>
                <w:color w:val="000000"/>
                <w:szCs w:val="21"/>
              </w:rPr>
            </w:pPr>
            <w:r w:rsidRPr="0002415B">
              <w:rPr>
                <w:color w:val="000000"/>
                <w:szCs w:val="21"/>
              </w:rPr>
              <w:t>FC measures simultaneously several surface and/or intracytoplasmic markers on a single cell, allowing for an accurate phenotypic characterization of analyzed population(s). Analysis with panels of antibodies allows for separation of hematologic tumors into very precise subtypes with different prognosis and treatment requirements. Monoclonal antibodies used in FC are conjugated with fluorochromes, which are excited or stimulated by laser(s) in a flow cytometer. In the FC protocol, the sample is incubated with antibodies, followed by red blood cell lysis, washing, fixation in paraformaldehyde, and FC analysis. Data are displayed in a singleparameter histogram and two-parameter dot plots.</w:t>
            </w:r>
          </w:p>
        </w:tc>
        <w:tc>
          <w:tcPr>
            <w:tcW w:w="1163" w:type="dxa"/>
          </w:tcPr>
          <w:p w14:paraId="53F8C7B5" w14:textId="77777777" w:rsidR="00577717" w:rsidRPr="0002415B" w:rsidRDefault="0002415B">
            <w:pPr>
              <w:spacing w:line="360" w:lineRule="auto"/>
              <w:jc w:val="center"/>
              <w:rPr>
                <w:color w:val="000000"/>
                <w:szCs w:val="21"/>
              </w:rPr>
            </w:pPr>
            <w:r w:rsidRPr="0002415B">
              <w:rPr>
                <w:color w:val="000000"/>
                <w:szCs w:val="21"/>
              </w:rPr>
              <w:t>[18]</w:t>
            </w:r>
          </w:p>
        </w:tc>
      </w:tr>
      <w:tr w:rsidR="00577717" w:rsidRPr="0002415B" w14:paraId="4B369F7F" w14:textId="77777777">
        <w:trPr>
          <w:jc w:val="center"/>
        </w:trPr>
        <w:tc>
          <w:tcPr>
            <w:tcW w:w="3734" w:type="dxa"/>
          </w:tcPr>
          <w:p w14:paraId="79DB6D04" w14:textId="77777777" w:rsidR="00577717" w:rsidRPr="0002415B" w:rsidRDefault="0002415B">
            <w:pPr>
              <w:spacing w:line="360" w:lineRule="auto"/>
              <w:jc w:val="left"/>
              <w:rPr>
                <w:color w:val="000000"/>
                <w:szCs w:val="21"/>
              </w:rPr>
            </w:pPr>
            <w:r w:rsidRPr="0002415B">
              <w:rPr>
                <w:color w:val="000000"/>
                <w:szCs w:val="21"/>
              </w:rPr>
              <w:t>Multicolor flow cytometry</w:t>
            </w:r>
          </w:p>
        </w:tc>
        <w:tc>
          <w:tcPr>
            <w:tcW w:w="9277" w:type="dxa"/>
          </w:tcPr>
          <w:p w14:paraId="71F23653" w14:textId="77777777" w:rsidR="00577717" w:rsidRPr="0002415B" w:rsidRDefault="0002415B">
            <w:pPr>
              <w:spacing w:line="360" w:lineRule="auto"/>
              <w:rPr>
                <w:color w:val="000000"/>
                <w:szCs w:val="21"/>
              </w:rPr>
            </w:pPr>
            <w:r w:rsidRPr="0002415B">
              <w:rPr>
                <w:color w:val="000000"/>
                <w:szCs w:val="21"/>
              </w:rPr>
              <w:t>Immunophenotypes of the bone marrow cells from AML patients were assessed using eight-color flow cytometry on FACSCanto II (BD Biosciences) as part of the routine clinical workup. Briefly, BM cells that were stained with monoclonal antibodies were acquired on FACSCanto II instruments (BD Biosciences). The data were interpreted by in-house board certified hematopathologists.</w:t>
            </w:r>
          </w:p>
        </w:tc>
        <w:tc>
          <w:tcPr>
            <w:tcW w:w="1163" w:type="dxa"/>
          </w:tcPr>
          <w:p w14:paraId="741B025D" w14:textId="77777777" w:rsidR="00577717" w:rsidRPr="0002415B" w:rsidRDefault="0002415B">
            <w:pPr>
              <w:spacing w:line="360" w:lineRule="auto"/>
              <w:jc w:val="center"/>
              <w:rPr>
                <w:color w:val="000000"/>
                <w:szCs w:val="21"/>
              </w:rPr>
            </w:pPr>
            <w:r w:rsidRPr="0002415B">
              <w:rPr>
                <w:color w:val="000000"/>
                <w:szCs w:val="21"/>
              </w:rPr>
              <w:t>[19]</w:t>
            </w:r>
          </w:p>
        </w:tc>
      </w:tr>
      <w:tr w:rsidR="00577717" w:rsidRPr="0002415B" w14:paraId="5FD069CA" w14:textId="77777777">
        <w:trPr>
          <w:trHeight w:val="844"/>
          <w:jc w:val="center"/>
        </w:trPr>
        <w:tc>
          <w:tcPr>
            <w:tcW w:w="3734" w:type="dxa"/>
          </w:tcPr>
          <w:p w14:paraId="0991B2C4" w14:textId="77777777" w:rsidR="00577717" w:rsidRPr="0002415B" w:rsidRDefault="0002415B">
            <w:pPr>
              <w:spacing w:line="360" w:lineRule="auto"/>
              <w:jc w:val="left"/>
              <w:rPr>
                <w:color w:val="000000"/>
                <w:szCs w:val="21"/>
              </w:rPr>
            </w:pPr>
            <w:r w:rsidRPr="0002415B">
              <w:rPr>
                <w:color w:val="000000"/>
                <w:szCs w:val="21"/>
              </w:rPr>
              <w:t>Mass cytometry</w:t>
            </w:r>
          </w:p>
        </w:tc>
        <w:tc>
          <w:tcPr>
            <w:tcW w:w="9277" w:type="dxa"/>
          </w:tcPr>
          <w:p w14:paraId="3583C4B2" w14:textId="77777777" w:rsidR="00577717" w:rsidRPr="0002415B" w:rsidRDefault="0002415B">
            <w:pPr>
              <w:spacing w:line="360" w:lineRule="auto"/>
              <w:rPr>
                <w:color w:val="000000"/>
                <w:szCs w:val="21"/>
              </w:rPr>
            </w:pPr>
            <w:r w:rsidRPr="0002415B">
              <w:rPr>
                <w:color w:val="000000"/>
                <w:szCs w:val="21"/>
              </w:rPr>
              <w:t>Is a single-cell–based platform that utilizes antibodies conjugated to rare heavy metal ions for analysis of cellular proteins by a time-of-flight mass spectrometer. This new technology allows for the evaluation of &gt;40 simultaneous cellular parameters in a single sample.</w:t>
            </w:r>
          </w:p>
        </w:tc>
        <w:tc>
          <w:tcPr>
            <w:tcW w:w="1163" w:type="dxa"/>
          </w:tcPr>
          <w:p w14:paraId="1B1DC30C" w14:textId="77777777" w:rsidR="00577717" w:rsidRPr="0002415B" w:rsidRDefault="0002415B">
            <w:pPr>
              <w:spacing w:line="360" w:lineRule="auto"/>
              <w:jc w:val="center"/>
              <w:rPr>
                <w:color w:val="000000"/>
                <w:szCs w:val="21"/>
              </w:rPr>
            </w:pPr>
            <w:r w:rsidRPr="0002415B">
              <w:rPr>
                <w:color w:val="000000"/>
                <w:szCs w:val="21"/>
              </w:rPr>
              <w:t>[20]</w:t>
            </w:r>
          </w:p>
        </w:tc>
      </w:tr>
      <w:tr w:rsidR="00577717" w:rsidRPr="0002415B" w14:paraId="0F1025C5" w14:textId="77777777">
        <w:trPr>
          <w:jc w:val="center"/>
        </w:trPr>
        <w:tc>
          <w:tcPr>
            <w:tcW w:w="3734" w:type="dxa"/>
          </w:tcPr>
          <w:p w14:paraId="597760B1" w14:textId="77777777" w:rsidR="00577717" w:rsidRPr="0002415B" w:rsidRDefault="0002415B">
            <w:pPr>
              <w:spacing w:line="360" w:lineRule="auto"/>
              <w:jc w:val="left"/>
              <w:rPr>
                <w:color w:val="000000"/>
                <w:szCs w:val="21"/>
              </w:rPr>
            </w:pPr>
            <w:r w:rsidRPr="0002415B">
              <w:rPr>
                <w:color w:val="000000"/>
                <w:szCs w:val="21"/>
              </w:rPr>
              <w:t>Comparative genomic hybridization (CGH)</w:t>
            </w:r>
          </w:p>
        </w:tc>
        <w:tc>
          <w:tcPr>
            <w:tcW w:w="9277" w:type="dxa"/>
          </w:tcPr>
          <w:p w14:paraId="53C55F3C" w14:textId="77777777" w:rsidR="00577717" w:rsidRPr="0002415B" w:rsidRDefault="0002415B">
            <w:pPr>
              <w:spacing w:line="360" w:lineRule="auto"/>
              <w:rPr>
                <w:color w:val="000000"/>
                <w:szCs w:val="21"/>
              </w:rPr>
            </w:pPr>
            <w:r w:rsidRPr="0002415B">
              <w:rPr>
                <w:color w:val="000000"/>
                <w:szCs w:val="21"/>
              </w:rPr>
              <w:t xml:space="preserve">Based on the comparison of two genomic DNA populations, an analyzed sample (tumor) and a karyotypically normal reference. Differentially labeled test DNA from a tumor and control (normal) </w:t>
            </w:r>
            <w:r w:rsidRPr="0002415B">
              <w:rPr>
                <w:color w:val="000000"/>
                <w:szCs w:val="21"/>
              </w:rPr>
              <w:lastRenderedPageBreak/>
              <w:t>reference DNA (metaphase chromosomes from blood lymphocytes) are hybridized simultaneously onto normal human metaphase chromosomes, competing for the same targets. The hybridization products are detected with two different fluorochromes (usually red and green). The fluorescence signal (ratio of the green and red fluorescence) of the tumor sample is compared that of a control cell. Changes in the ratio of the intensities of the two fluorochromes as compared to the expected one-to-one ratio seen in the control sample indicates regions of gain or loss of DNA sequences.</w:t>
            </w:r>
          </w:p>
        </w:tc>
        <w:tc>
          <w:tcPr>
            <w:tcW w:w="1163" w:type="dxa"/>
          </w:tcPr>
          <w:p w14:paraId="55E36114" w14:textId="77777777" w:rsidR="00577717" w:rsidRPr="0002415B" w:rsidRDefault="0002415B">
            <w:pPr>
              <w:spacing w:line="360" w:lineRule="auto"/>
              <w:jc w:val="center"/>
              <w:rPr>
                <w:color w:val="000000"/>
                <w:szCs w:val="21"/>
              </w:rPr>
            </w:pPr>
            <w:r w:rsidRPr="0002415B">
              <w:rPr>
                <w:color w:val="000000"/>
                <w:szCs w:val="21"/>
              </w:rPr>
              <w:lastRenderedPageBreak/>
              <w:t>[21]</w:t>
            </w:r>
          </w:p>
        </w:tc>
      </w:tr>
      <w:tr w:rsidR="00577717" w:rsidRPr="0002415B" w14:paraId="2790CB9B" w14:textId="77777777">
        <w:trPr>
          <w:jc w:val="center"/>
        </w:trPr>
        <w:tc>
          <w:tcPr>
            <w:tcW w:w="3734" w:type="dxa"/>
          </w:tcPr>
          <w:p w14:paraId="7985A073" w14:textId="77777777" w:rsidR="00577717" w:rsidRPr="0002415B" w:rsidRDefault="0002415B">
            <w:pPr>
              <w:spacing w:line="360" w:lineRule="auto"/>
              <w:jc w:val="left"/>
              <w:rPr>
                <w:color w:val="000000"/>
                <w:szCs w:val="21"/>
              </w:rPr>
            </w:pPr>
            <w:r w:rsidRPr="0002415B">
              <w:rPr>
                <w:color w:val="000000"/>
                <w:szCs w:val="21"/>
              </w:rPr>
              <w:t>Array CGH</w:t>
            </w:r>
          </w:p>
        </w:tc>
        <w:tc>
          <w:tcPr>
            <w:tcW w:w="9277" w:type="dxa"/>
          </w:tcPr>
          <w:p w14:paraId="16694A39" w14:textId="77777777" w:rsidR="00577717" w:rsidRPr="0002415B" w:rsidRDefault="0002415B">
            <w:pPr>
              <w:spacing w:line="360" w:lineRule="auto"/>
              <w:rPr>
                <w:color w:val="000000"/>
                <w:szCs w:val="21"/>
              </w:rPr>
            </w:pPr>
            <w:r w:rsidRPr="0002415B">
              <w:rPr>
                <w:color w:val="000000"/>
                <w:szCs w:val="21"/>
              </w:rPr>
              <w:t>CGH has been largely superseded by DNA microarray formats (array CGH or aCGH) which offers considerable improvements in resolution and provides mapping of the copy number directly ontothe genome sequence. This involves the same competitive hybridization of a test and reference genome as cCGH, but the hybridization template comprises of a nucleic acid sequence of known genomic location spotted onto an array slide, used to assess the genomic location of the copy number changes in the test DNA sample.</w:t>
            </w:r>
          </w:p>
        </w:tc>
        <w:tc>
          <w:tcPr>
            <w:tcW w:w="1163" w:type="dxa"/>
          </w:tcPr>
          <w:p w14:paraId="60513CA7" w14:textId="77777777" w:rsidR="00577717" w:rsidRPr="0002415B" w:rsidRDefault="0002415B">
            <w:pPr>
              <w:spacing w:line="360" w:lineRule="auto"/>
              <w:jc w:val="center"/>
              <w:rPr>
                <w:color w:val="000000"/>
                <w:szCs w:val="21"/>
              </w:rPr>
            </w:pPr>
            <w:r w:rsidRPr="0002415B">
              <w:rPr>
                <w:color w:val="000000"/>
                <w:szCs w:val="21"/>
              </w:rPr>
              <w:t>[22]</w:t>
            </w:r>
          </w:p>
        </w:tc>
      </w:tr>
      <w:tr w:rsidR="00577717" w:rsidRPr="0002415B" w14:paraId="62D694F6" w14:textId="77777777">
        <w:trPr>
          <w:jc w:val="center"/>
        </w:trPr>
        <w:tc>
          <w:tcPr>
            <w:tcW w:w="3734" w:type="dxa"/>
          </w:tcPr>
          <w:p w14:paraId="78DFB33A" w14:textId="77777777" w:rsidR="00577717" w:rsidRPr="0002415B" w:rsidRDefault="0002415B">
            <w:pPr>
              <w:spacing w:line="360" w:lineRule="auto"/>
              <w:jc w:val="left"/>
              <w:rPr>
                <w:color w:val="000000"/>
                <w:szCs w:val="21"/>
              </w:rPr>
            </w:pPr>
            <w:r w:rsidRPr="0002415B">
              <w:rPr>
                <w:color w:val="000000"/>
                <w:szCs w:val="21"/>
              </w:rPr>
              <w:t>Single nucleotide polymorphism (SNP) arrays</w:t>
            </w:r>
          </w:p>
        </w:tc>
        <w:tc>
          <w:tcPr>
            <w:tcW w:w="9277" w:type="dxa"/>
          </w:tcPr>
          <w:p w14:paraId="38EBA192" w14:textId="77777777" w:rsidR="00577717" w:rsidRPr="0002415B" w:rsidRDefault="0002415B">
            <w:pPr>
              <w:spacing w:line="360" w:lineRule="auto"/>
              <w:rPr>
                <w:color w:val="000000"/>
                <w:szCs w:val="21"/>
              </w:rPr>
            </w:pPr>
            <w:r w:rsidRPr="0002415B">
              <w:rPr>
                <w:color w:val="000000"/>
                <w:szCs w:val="21"/>
              </w:rPr>
              <w:t xml:space="preserve">SNP array offer the ability to define simultaneously the copy number changes and LOH (loss of heterozygosity) events. Two major technologies which allow simultaneous genotyping of over half a million SNPs across the genome include Affymetrix SNP arrays with oligonucleotide probes spotted on gene chips (adopted from the microarray hybridization chip technology) and Illumina arrays, in which </w:t>
            </w:r>
            <w:r w:rsidRPr="0002415B">
              <w:rPr>
                <w:color w:val="000000"/>
                <w:szCs w:val="21"/>
              </w:rPr>
              <w:lastRenderedPageBreak/>
              <w:t>allele-specific oligonu-cleotide probes are adsorbed to microbeads arranged on a microarray.</w:t>
            </w:r>
          </w:p>
        </w:tc>
        <w:tc>
          <w:tcPr>
            <w:tcW w:w="1163" w:type="dxa"/>
          </w:tcPr>
          <w:p w14:paraId="42A22E4A" w14:textId="77777777" w:rsidR="00577717" w:rsidRPr="0002415B" w:rsidRDefault="0002415B">
            <w:pPr>
              <w:spacing w:line="360" w:lineRule="auto"/>
              <w:jc w:val="center"/>
              <w:rPr>
                <w:color w:val="000000"/>
                <w:szCs w:val="21"/>
              </w:rPr>
            </w:pPr>
            <w:r w:rsidRPr="0002415B">
              <w:rPr>
                <w:color w:val="000000"/>
                <w:szCs w:val="21"/>
              </w:rPr>
              <w:lastRenderedPageBreak/>
              <w:t>[23]</w:t>
            </w:r>
          </w:p>
        </w:tc>
      </w:tr>
      <w:tr w:rsidR="00577717" w:rsidRPr="0002415B" w14:paraId="175F7849" w14:textId="77777777">
        <w:trPr>
          <w:jc w:val="center"/>
        </w:trPr>
        <w:tc>
          <w:tcPr>
            <w:tcW w:w="3734" w:type="dxa"/>
          </w:tcPr>
          <w:p w14:paraId="5D1D9787" w14:textId="77777777" w:rsidR="00577717" w:rsidRPr="0002415B" w:rsidRDefault="0002415B">
            <w:pPr>
              <w:spacing w:line="360" w:lineRule="auto"/>
              <w:jc w:val="left"/>
              <w:rPr>
                <w:color w:val="000000"/>
                <w:szCs w:val="21"/>
              </w:rPr>
            </w:pPr>
            <w:r w:rsidRPr="0002415B">
              <w:rPr>
                <w:color w:val="000000"/>
                <w:szCs w:val="21"/>
              </w:rPr>
              <w:t>DNA microarrays</w:t>
            </w:r>
          </w:p>
        </w:tc>
        <w:tc>
          <w:tcPr>
            <w:tcW w:w="9277" w:type="dxa"/>
          </w:tcPr>
          <w:p w14:paraId="534B010A" w14:textId="77777777" w:rsidR="00577717" w:rsidRPr="0002415B" w:rsidRDefault="0002415B">
            <w:pPr>
              <w:spacing w:line="360" w:lineRule="auto"/>
              <w:rPr>
                <w:color w:val="000000"/>
                <w:szCs w:val="21"/>
              </w:rPr>
            </w:pPr>
            <w:r w:rsidRPr="0002415B">
              <w:rPr>
                <w:color w:val="000000"/>
                <w:szCs w:val="21"/>
              </w:rPr>
              <w:t>A DNA chip or microarray consists of thousands of fragments of DNA bound to a slicon chip. The methodology involves of the extraction of RNA from a sample, its conversion to cDNA by labeled probes, hybridization of these labeled cDNAs, and laser scanning of the hybridized array. The automated examination of a chip delivers the information about thousands of probe sites.</w:t>
            </w:r>
          </w:p>
        </w:tc>
        <w:tc>
          <w:tcPr>
            <w:tcW w:w="1163" w:type="dxa"/>
          </w:tcPr>
          <w:p w14:paraId="7F73C527" w14:textId="77777777" w:rsidR="00577717" w:rsidRPr="0002415B" w:rsidRDefault="0002415B">
            <w:pPr>
              <w:spacing w:line="360" w:lineRule="auto"/>
              <w:jc w:val="center"/>
              <w:rPr>
                <w:color w:val="000000"/>
                <w:szCs w:val="21"/>
              </w:rPr>
            </w:pPr>
            <w:r w:rsidRPr="0002415B">
              <w:rPr>
                <w:color w:val="000000"/>
                <w:szCs w:val="21"/>
              </w:rPr>
              <w:t>[24]</w:t>
            </w:r>
          </w:p>
        </w:tc>
      </w:tr>
      <w:tr w:rsidR="00577717" w:rsidRPr="0002415B" w14:paraId="099E9919" w14:textId="77777777">
        <w:trPr>
          <w:jc w:val="center"/>
        </w:trPr>
        <w:tc>
          <w:tcPr>
            <w:tcW w:w="3734" w:type="dxa"/>
          </w:tcPr>
          <w:p w14:paraId="44963999" w14:textId="77777777" w:rsidR="00577717" w:rsidRPr="0002415B" w:rsidRDefault="0002415B">
            <w:pPr>
              <w:spacing w:line="360" w:lineRule="auto"/>
              <w:jc w:val="left"/>
              <w:rPr>
                <w:color w:val="000000"/>
                <w:szCs w:val="21"/>
              </w:rPr>
            </w:pPr>
            <w:r w:rsidRPr="0002415B">
              <w:rPr>
                <w:color w:val="000000"/>
                <w:szCs w:val="21"/>
              </w:rPr>
              <w:t>Maxam and Gilbert sequencing</w:t>
            </w:r>
          </w:p>
        </w:tc>
        <w:tc>
          <w:tcPr>
            <w:tcW w:w="9277" w:type="dxa"/>
          </w:tcPr>
          <w:p w14:paraId="522C7B72" w14:textId="77777777" w:rsidR="00577717" w:rsidRPr="0002415B" w:rsidRDefault="0002415B">
            <w:pPr>
              <w:spacing w:line="360" w:lineRule="auto"/>
              <w:rPr>
                <w:color w:val="000000"/>
                <w:szCs w:val="21"/>
              </w:rPr>
            </w:pPr>
            <w:r w:rsidRPr="0002415B">
              <w:rPr>
                <w:color w:val="000000"/>
                <w:szCs w:val="21"/>
              </w:rPr>
              <w:t xml:space="preserve">Also called the partial chemical degradation method, utilizes chemicals that target specific, individual purines or pyrimidines to cleave the radiolabeled DNA backbone into fragments. The DNA is labelled with radioactive </w:t>
            </w:r>
            <w:r w:rsidRPr="0002415B">
              <w:rPr>
                <w:color w:val="000000"/>
                <w:szCs w:val="21"/>
                <w:vertAlign w:val="superscript"/>
              </w:rPr>
              <w:t>32</w:t>
            </w:r>
            <w:r w:rsidRPr="0002415B">
              <w:rPr>
                <w:color w:val="000000"/>
                <w:szCs w:val="21"/>
              </w:rPr>
              <w:t>P at the 5’ end. Next, specific chemicals are used to modify the nucleotides. For example, hydrazine removes the nitrogenous base from cytosine and thymine, but in the presence of high-salt concentrations, it preferentially cleaves cytosine. Formic acid is used to methylate adenine and guanine is methylated by dimethyl sulfate. Following base modification, piperidine is used to cleave the sugar-phosphate backbone, producing fragments that are analyzed using polyacrylamide gel electrophoresis.</w:t>
            </w:r>
          </w:p>
        </w:tc>
        <w:tc>
          <w:tcPr>
            <w:tcW w:w="1163" w:type="dxa"/>
          </w:tcPr>
          <w:p w14:paraId="0F88AE97" w14:textId="77777777" w:rsidR="00577717" w:rsidRPr="0002415B" w:rsidRDefault="0002415B">
            <w:pPr>
              <w:spacing w:line="360" w:lineRule="auto"/>
              <w:jc w:val="center"/>
              <w:rPr>
                <w:color w:val="000000"/>
                <w:szCs w:val="21"/>
              </w:rPr>
            </w:pPr>
            <w:r w:rsidRPr="0002415B">
              <w:rPr>
                <w:color w:val="000000"/>
                <w:szCs w:val="21"/>
              </w:rPr>
              <w:t>[25]</w:t>
            </w:r>
          </w:p>
        </w:tc>
      </w:tr>
      <w:tr w:rsidR="00577717" w:rsidRPr="0002415B" w14:paraId="4B512CC9" w14:textId="77777777">
        <w:trPr>
          <w:jc w:val="center"/>
        </w:trPr>
        <w:tc>
          <w:tcPr>
            <w:tcW w:w="3734" w:type="dxa"/>
          </w:tcPr>
          <w:p w14:paraId="2463F713" w14:textId="77777777" w:rsidR="00577717" w:rsidRPr="0002415B" w:rsidRDefault="0002415B">
            <w:pPr>
              <w:spacing w:line="360" w:lineRule="auto"/>
              <w:jc w:val="left"/>
              <w:rPr>
                <w:color w:val="000000"/>
                <w:szCs w:val="21"/>
              </w:rPr>
            </w:pPr>
            <w:r w:rsidRPr="0002415B">
              <w:rPr>
                <w:color w:val="000000"/>
                <w:szCs w:val="21"/>
              </w:rPr>
              <w:t>Sanger sequencing</w:t>
            </w:r>
          </w:p>
        </w:tc>
        <w:tc>
          <w:tcPr>
            <w:tcW w:w="9277" w:type="dxa"/>
          </w:tcPr>
          <w:p w14:paraId="2A0A6713" w14:textId="77777777" w:rsidR="00577717" w:rsidRPr="0002415B" w:rsidRDefault="0002415B">
            <w:pPr>
              <w:spacing w:line="360" w:lineRule="auto"/>
              <w:rPr>
                <w:color w:val="000000"/>
                <w:szCs w:val="21"/>
              </w:rPr>
            </w:pPr>
            <w:r w:rsidRPr="0002415B">
              <w:rPr>
                <w:color w:val="000000"/>
                <w:szCs w:val="21"/>
              </w:rPr>
              <w:t xml:space="preserve">With the development of Sanger’s ‘chain-termination’ or dideoxy technique. The chain-termination technique makes use of chemical analogues of the deoxyribonucleotides (dNTPs) that are the monomers of DNA strands. Dideoxynucleotides (ddNTPs) lack the 3’ hydroxyl group that is required for extension of </w:t>
            </w:r>
            <w:r w:rsidRPr="0002415B">
              <w:rPr>
                <w:color w:val="000000"/>
                <w:szCs w:val="21"/>
              </w:rPr>
              <w:lastRenderedPageBreak/>
              <w:t>DNA chains, and therefore cannot form a bond with the 5’ phosphate of the next dNTP. Mixing radiolabelled ddNTPs into a DNA extension reaction at a fraction of the concentration of standard dNTPs results in DNA strands of each possible length being produced, as the dideoxy nucleotides get randomly incorporated as the strand extends, halting further progression. By performing four parallel reactions containing each individual ddNTP base and running the results on four lanes of a polyacrylamide gel, one is able to use autoradiography to infer what the nucleotide sequence in the original template was, as there will a radioactive band in the corresponding lane at that position of the gel.</w:t>
            </w:r>
          </w:p>
        </w:tc>
        <w:tc>
          <w:tcPr>
            <w:tcW w:w="1163" w:type="dxa"/>
          </w:tcPr>
          <w:p w14:paraId="6C210F34" w14:textId="77777777" w:rsidR="00577717" w:rsidRPr="0002415B" w:rsidRDefault="0002415B">
            <w:pPr>
              <w:spacing w:line="360" w:lineRule="auto"/>
              <w:jc w:val="center"/>
              <w:rPr>
                <w:color w:val="000000"/>
                <w:szCs w:val="21"/>
              </w:rPr>
            </w:pPr>
            <w:r w:rsidRPr="0002415B">
              <w:rPr>
                <w:color w:val="000000"/>
                <w:szCs w:val="21"/>
              </w:rPr>
              <w:lastRenderedPageBreak/>
              <w:t>[26]</w:t>
            </w:r>
          </w:p>
        </w:tc>
      </w:tr>
      <w:tr w:rsidR="00577717" w:rsidRPr="0002415B" w14:paraId="6181520D" w14:textId="77777777">
        <w:trPr>
          <w:jc w:val="center"/>
        </w:trPr>
        <w:tc>
          <w:tcPr>
            <w:tcW w:w="3734" w:type="dxa"/>
          </w:tcPr>
          <w:p w14:paraId="042FEE45" w14:textId="77777777" w:rsidR="00577717" w:rsidRPr="0002415B" w:rsidRDefault="0002415B">
            <w:pPr>
              <w:spacing w:line="360" w:lineRule="auto"/>
              <w:jc w:val="left"/>
              <w:rPr>
                <w:color w:val="000000"/>
                <w:szCs w:val="21"/>
              </w:rPr>
            </w:pPr>
            <w:r w:rsidRPr="0002415B">
              <w:rPr>
                <w:color w:val="000000"/>
                <w:szCs w:val="21"/>
              </w:rPr>
              <w:t>Chromatin immunoprecipitation (ChIP)</w:t>
            </w:r>
          </w:p>
        </w:tc>
        <w:tc>
          <w:tcPr>
            <w:tcW w:w="9277" w:type="dxa"/>
          </w:tcPr>
          <w:p w14:paraId="3DD478FA" w14:textId="77777777" w:rsidR="00577717" w:rsidRPr="0002415B" w:rsidRDefault="0002415B">
            <w:pPr>
              <w:spacing w:line="360" w:lineRule="auto"/>
              <w:rPr>
                <w:color w:val="000000"/>
                <w:szCs w:val="21"/>
              </w:rPr>
            </w:pPr>
            <w:r w:rsidRPr="0002415B">
              <w:rPr>
                <w:color w:val="000000"/>
                <w:szCs w:val="21"/>
              </w:rPr>
              <w:t>Chromatin immunoprecipitation (ChIP) is a powerful technique for analyzing histone modifications as well as binding sites for proteins that bind either directly or indirectly to DNA. These techniques are based on the ability of formaldehyde to form protein–protein and protein–DNA Schiff’s base cross-linkages that can be reversed by acid or increased temperature. The immunoprecipitated DNA can then be detected by a variety of ways, including Southern blotting, conventional PCR, quantitative PCR, hybridization to arrays (“Chip-on-chip”), or cloning and sequencing (ChIP-serial analysis of gene expression –“ChIP-SAGE”). Although straightforward in principle, the ChIP technique is dependent on many variables, such as the specific antibody, cross-linking conditions, and sonication conditions that must be empirically determined.</w:t>
            </w:r>
          </w:p>
        </w:tc>
        <w:tc>
          <w:tcPr>
            <w:tcW w:w="1163" w:type="dxa"/>
          </w:tcPr>
          <w:p w14:paraId="1B31D33B" w14:textId="77777777" w:rsidR="00577717" w:rsidRPr="0002415B" w:rsidRDefault="0002415B">
            <w:pPr>
              <w:spacing w:line="360" w:lineRule="auto"/>
              <w:jc w:val="center"/>
              <w:rPr>
                <w:color w:val="000000"/>
                <w:szCs w:val="21"/>
              </w:rPr>
            </w:pPr>
            <w:r w:rsidRPr="0002415B">
              <w:rPr>
                <w:color w:val="000000"/>
                <w:szCs w:val="21"/>
              </w:rPr>
              <w:t>[27]</w:t>
            </w:r>
          </w:p>
        </w:tc>
      </w:tr>
      <w:tr w:rsidR="00577717" w:rsidRPr="0002415B" w14:paraId="6B5A6493" w14:textId="77777777">
        <w:trPr>
          <w:jc w:val="center"/>
        </w:trPr>
        <w:tc>
          <w:tcPr>
            <w:tcW w:w="3734" w:type="dxa"/>
          </w:tcPr>
          <w:p w14:paraId="3935B1D6" w14:textId="77777777" w:rsidR="00577717" w:rsidRPr="0002415B" w:rsidRDefault="0002415B">
            <w:pPr>
              <w:spacing w:line="360" w:lineRule="auto"/>
              <w:jc w:val="left"/>
              <w:rPr>
                <w:color w:val="000000"/>
                <w:szCs w:val="21"/>
              </w:rPr>
            </w:pPr>
            <w:r w:rsidRPr="0002415B">
              <w:rPr>
                <w:color w:val="000000"/>
                <w:szCs w:val="21"/>
              </w:rPr>
              <w:t>Next-generation sequencing (NGS)</w:t>
            </w:r>
          </w:p>
          <w:p w14:paraId="5BF434E9" w14:textId="77777777" w:rsidR="00577717" w:rsidRPr="0002415B" w:rsidRDefault="00577717">
            <w:pPr>
              <w:spacing w:line="360" w:lineRule="auto"/>
              <w:jc w:val="left"/>
              <w:rPr>
                <w:color w:val="000000"/>
                <w:szCs w:val="21"/>
              </w:rPr>
            </w:pPr>
          </w:p>
        </w:tc>
        <w:tc>
          <w:tcPr>
            <w:tcW w:w="9277" w:type="dxa"/>
          </w:tcPr>
          <w:p w14:paraId="429EA423" w14:textId="77777777" w:rsidR="00577717" w:rsidRPr="0002415B" w:rsidRDefault="0002415B">
            <w:pPr>
              <w:spacing w:line="360" w:lineRule="auto"/>
              <w:rPr>
                <w:color w:val="000000"/>
                <w:szCs w:val="21"/>
              </w:rPr>
            </w:pPr>
            <w:r w:rsidRPr="0002415B">
              <w:rPr>
                <w:color w:val="000000"/>
                <w:szCs w:val="21"/>
              </w:rPr>
              <w:lastRenderedPageBreak/>
              <w:t xml:space="preserve">NGS relies on standard sequencing approaches from Sanger techniques, but there have been innovative improvements in other ways allowing millions of parallel sequencing reactions to be conducted. NGS can </w:t>
            </w:r>
            <w:r w:rsidRPr="0002415B">
              <w:rPr>
                <w:color w:val="000000"/>
                <w:szCs w:val="21"/>
              </w:rPr>
              <w:lastRenderedPageBreak/>
              <w:t>sequence smaller subclones at a high resolution and can identify genetic differences as the sequence of each base can be identified and numerous target loci (several genes) are detectable for simultaneous analysis. In addition, NGS is a high-throughput sequencing technology with higher flux and sensitivity, faster speed and lower cost.</w:t>
            </w:r>
          </w:p>
        </w:tc>
        <w:tc>
          <w:tcPr>
            <w:tcW w:w="1163" w:type="dxa"/>
          </w:tcPr>
          <w:p w14:paraId="5B0BB638" w14:textId="77777777" w:rsidR="00577717" w:rsidRPr="0002415B" w:rsidRDefault="0002415B">
            <w:pPr>
              <w:spacing w:line="360" w:lineRule="auto"/>
              <w:jc w:val="center"/>
              <w:rPr>
                <w:color w:val="000000"/>
                <w:szCs w:val="21"/>
              </w:rPr>
            </w:pPr>
            <w:r w:rsidRPr="0002415B">
              <w:rPr>
                <w:color w:val="000000"/>
                <w:szCs w:val="21"/>
              </w:rPr>
              <w:lastRenderedPageBreak/>
              <w:t>[28]</w:t>
            </w:r>
          </w:p>
        </w:tc>
      </w:tr>
      <w:tr w:rsidR="00577717" w:rsidRPr="0002415B" w14:paraId="687B872D" w14:textId="77777777">
        <w:trPr>
          <w:jc w:val="center"/>
        </w:trPr>
        <w:tc>
          <w:tcPr>
            <w:tcW w:w="3734" w:type="dxa"/>
          </w:tcPr>
          <w:p w14:paraId="05D13A44" w14:textId="77777777" w:rsidR="00577717" w:rsidRPr="0002415B" w:rsidRDefault="0002415B">
            <w:pPr>
              <w:spacing w:line="360" w:lineRule="auto"/>
              <w:jc w:val="left"/>
              <w:rPr>
                <w:color w:val="000000"/>
                <w:szCs w:val="21"/>
              </w:rPr>
            </w:pPr>
            <w:r w:rsidRPr="0002415B">
              <w:rPr>
                <w:color w:val="000000"/>
                <w:szCs w:val="21"/>
              </w:rPr>
              <w:t>Single-cell DNA-seq (scDNA-seq)</w:t>
            </w:r>
          </w:p>
        </w:tc>
        <w:tc>
          <w:tcPr>
            <w:tcW w:w="9277" w:type="dxa"/>
          </w:tcPr>
          <w:p w14:paraId="46B4F4AE" w14:textId="77777777" w:rsidR="00577717" w:rsidRPr="0002415B" w:rsidRDefault="0002415B">
            <w:pPr>
              <w:spacing w:line="360" w:lineRule="auto"/>
              <w:rPr>
                <w:color w:val="000000"/>
                <w:szCs w:val="21"/>
              </w:rPr>
            </w:pPr>
            <w:r w:rsidRPr="0002415B">
              <w:rPr>
                <w:color w:val="000000"/>
                <w:szCs w:val="21"/>
              </w:rPr>
              <w:t>Single-cell DNA-seq encompasses a suite of technologies and approaches that interrogate DNA at the level of single cells. These technologies contrast with standard DNA sequencing, also known as “bulk” sequencing, that homogenizes the DNA content of usually thousands to millions of cells. Much like the voice of a single individual or a small number of individuals can be “drowned out” in a large crowd, genomic signals (variants, DNA modifications, or structural properties of DNA) that are present in only one or a small number of cells in a sample may be undetectable without interrogating single-cell genomes. The development of scDNA-seq methods has at every step been motivated by biological questions that seek to explore this cellular genomic diversity that would otherwise be missed by bulk sequencing.</w:t>
            </w:r>
          </w:p>
        </w:tc>
        <w:tc>
          <w:tcPr>
            <w:tcW w:w="1163" w:type="dxa"/>
          </w:tcPr>
          <w:p w14:paraId="271B96F9" w14:textId="77777777" w:rsidR="00577717" w:rsidRPr="0002415B" w:rsidRDefault="0002415B">
            <w:pPr>
              <w:spacing w:line="360" w:lineRule="auto"/>
              <w:jc w:val="center"/>
              <w:rPr>
                <w:color w:val="000000"/>
                <w:szCs w:val="21"/>
              </w:rPr>
            </w:pPr>
            <w:r w:rsidRPr="0002415B">
              <w:rPr>
                <w:color w:val="000000"/>
                <w:szCs w:val="21"/>
              </w:rPr>
              <w:t>[29]</w:t>
            </w:r>
          </w:p>
        </w:tc>
      </w:tr>
      <w:tr w:rsidR="00577717" w:rsidRPr="0002415B" w14:paraId="0BCB6FA7" w14:textId="77777777">
        <w:trPr>
          <w:jc w:val="center"/>
        </w:trPr>
        <w:tc>
          <w:tcPr>
            <w:tcW w:w="3734" w:type="dxa"/>
          </w:tcPr>
          <w:p w14:paraId="65FDB671" w14:textId="77777777" w:rsidR="00577717" w:rsidRPr="0002415B" w:rsidRDefault="0002415B">
            <w:pPr>
              <w:spacing w:line="360" w:lineRule="auto"/>
              <w:jc w:val="left"/>
              <w:rPr>
                <w:color w:val="000000"/>
                <w:szCs w:val="21"/>
              </w:rPr>
            </w:pPr>
            <w:r w:rsidRPr="0002415B">
              <w:rPr>
                <w:color w:val="000000"/>
                <w:szCs w:val="21"/>
              </w:rPr>
              <w:t>Single-cell mRNA-seq of Tang’s method</w:t>
            </w:r>
          </w:p>
        </w:tc>
        <w:tc>
          <w:tcPr>
            <w:tcW w:w="9277" w:type="dxa"/>
          </w:tcPr>
          <w:p w14:paraId="514CF8DF" w14:textId="77777777" w:rsidR="00577717" w:rsidRPr="0002415B" w:rsidRDefault="0002415B">
            <w:pPr>
              <w:spacing w:line="360" w:lineRule="auto"/>
              <w:rPr>
                <w:color w:val="000000"/>
                <w:szCs w:val="21"/>
              </w:rPr>
            </w:pPr>
            <w:r w:rsidRPr="0002415B">
              <w:rPr>
                <w:color w:val="000000"/>
                <w:szCs w:val="21"/>
              </w:rPr>
              <w:t xml:space="preserve">A single cell is picked and directly lysed, and mRNA is reverse-transcribed into cDNA by using an oligo-dT primer with an anchor sequence (UP1) in cell lysate.Free primers are removed by exonuclease I, and a poly(A) tail is added to the 30-end of the first strand of cDNA by terminal deoxynucleotidyl transferase. The second strand of cDNA is synthesized using an oligo-dT primer with another anchor sequence (UP2), and cDNA is evenly amplified by PCR using the UP1 and UP2 primers. The resulting </w:t>
            </w:r>
            <w:r w:rsidRPr="0002415B">
              <w:rPr>
                <w:color w:val="000000"/>
                <w:szCs w:val="21"/>
              </w:rPr>
              <w:lastRenderedPageBreak/>
              <w:t>amplified cDNA is adequate for constructing a library that can be used in nextgeneration sequencing.</w:t>
            </w:r>
          </w:p>
        </w:tc>
        <w:tc>
          <w:tcPr>
            <w:tcW w:w="1163" w:type="dxa"/>
          </w:tcPr>
          <w:p w14:paraId="10F46B77" w14:textId="77777777" w:rsidR="00577717" w:rsidRPr="0002415B" w:rsidRDefault="0002415B">
            <w:pPr>
              <w:spacing w:line="360" w:lineRule="auto"/>
              <w:jc w:val="center"/>
              <w:rPr>
                <w:color w:val="000000"/>
                <w:szCs w:val="21"/>
              </w:rPr>
            </w:pPr>
            <w:r w:rsidRPr="0002415B">
              <w:rPr>
                <w:color w:val="000000"/>
                <w:szCs w:val="21"/>
              </w:rPr>
              <w:lastRenderedPageBreak/>
              <w:t>[30]</w:t>
            </w:r>
          </w:p>
        </w:tc>
      </w:tr>
      <w:tr w:rsidR="00577717" w:rsidRPr="0002415B" w14:paraId="1FD6F995" w14:textId="77777777">
        <w:trPr>
          <w:trHeight w:val="1411"/>
          <w:jc w:val="center"/>
        </w:trPr>
        <w:tc>
          <w:tcPr>
            <w:tcW w:w="3734" w:type="dxa"/>
          </w:tcPr>
          <w:p w14:paraId="16870EB8" w14:textId="77777777" w:rsidR="00577717" w:rsidRPr="0002415B" w:rsidRDefault="0002415B">
            <w:pPr>
              <w:spacing w:line="360" w:lineRule="auto"/>
              <w:jc w:val="left"/>
              <w:rPr>
                <w:color w:val="000000"/>
                <w:szCs w:val="21"/>
              </w:rPr>
            </w:pPr>
            <w:r w:rsidRPr="0002415B">
              <w:rPr>
                <w:color w:val="000000"/>
                <w:szCs w:val="21"/>
              </w:rPr>
              <w:t>Degenerate oligonucleotide–primed polymerase chain reaction (DOP-PCR)</w:t>
            </w:r>
          </w:p>
        </w:tc>
        <w:tc>
          <w:tcPr>
            <w:tcW w:w="9277" w:type="dxa"/>
          </w:tcPr>
          <w:p w14:paraId="564C7365" w14:textId="77777777" w:rsidR="00577717" w:rsidRPr="0002415B" w:rsidRDefault="0002415B">
            <w:pPr>
              <w:spacing w:line="360" w:lineRule="auto"/>
              <w:rPr>
                <w:color w:val="000000"/>
                <w:szCs w:val="21"/>
              </w:rPr>
            </w:pPr>
            <w:r w:rsidRPr="0002415B">
              <w:rPr>
                <w:color w:val="000000"/>
                <w:szCs w:val="21"/>
              </w:rPr>
              <w:t>The principle of DOP-PCR is to use degenerate primers containing a random six-base sequence at the 3’ end and a fixed sequence at the 5’ end. For the initial amplification, the random primers bind to the DNA template at a low annealing temperature (</w:t>
            </w:r>
            <w:r w:rsidRPr="0002415B">
              <w:rPr>
                <w:rFonts w:ascii="Times New Roman Italic" w:hAnsi="Times New Roman Italic" w:cs="Times New Roman Italic"/>
                <w:i/>
                <w:iCs/>
                <w:color w:val="000000"/>
                <w:szCs w:val="21"/>
              </w:rPr>
              <w:t>ca.</w:t>
            </w:r>
            <w:r w:rsidRPr="0002415B">
              <w:rPr>
                <w:color w:val="000000"/>
                <w:szCs w:val="21"/>
              </w:rPr>
              <w:t xml:space="preserve"> 30℃). Strand extension is then achieved at a raised temperature. During the second stage of PCR amplification, the previous products are amplified with a primer targeting the 5’ fixed sequence at a higher annealing temperature. The concentrations of the primers and polymerase directly affect the result of DOP-PCR. DOP-PCR has been used to amplify picogram quantities of human genomic DNA for genotypic analyses. DOP-PCR can be well suited for measuring CNVs on a large genomic scale with large bin sizes (1 million bases).</w:t>
            </w:r>
          </w:p>
        </w:tc>
        <w:tc>
          <w:tcPr>
            <w:tcW w:w="1163" w:type="dxa"/>
          </w:tcPr>
          <w:p w14:paraId="4DF3DFA1" w14:textId="77777777" w:rsidR="00577717" w:rsidRPr="0002415B" w:rsidRDefault="0002415B">
            <w:pPr>
              <w:spacing w:line="360" w:lineRule="auto"/>
              <w:jc w:val="center"/>
              <w:rPr>
                <w:color w:val="000000"/>
                <w:szCs w:val="21"/>
              </w:rPr>
            </w:pPr>
            <w:r w:rsidRPr="0002415B">
              <w:rPr>
                <w:color w:val="000000"/>
                <w:szCs w:val="21"/>
              </w:rPr>
              <w:t>[31]</w:t>
            </w:r>
          </w:p>
        </w:tc>
      </w:tr>
      <w:tr w:rsidR="00577717" w:rsidRPr="0002415B" w14:paraId="07DBDBD4" w14:textId="77777777">
        <w:trPr>
          <w:jc w:val="center"/>
        </w:trPr>
        <w:tc>
          <w:tcPr>
            <w:tcW w:w="3734" w:type="dxa"/>
          </w:tcPr>
          <w:p w14:paraId="153197A8" w14:textId="77777777" w:rsidR="00577717" w:rsidRPr="0002415B" w:rsidRDefault="0002415B">
            <w:pPr>
              <w:spacing w:line="360" w:lineRule="auto"/>
              <w:jc w:val="left"/>
              <w:rPr>
                <w:color w:val="000000"/>
                <w:szCs w:val="21"/>
              </w:rPr>
            </w:pPr>
            <w:r w:rsidRPr="0002415B">
              <w:rPr>
                <w:color w:val="000000"/>
                <w:szCs w:val="21"/>
              </w:rPr>
              <w:t>Multiple displacement amplification (MDA)</w:t>
            </w:r>
          </w:p>
        </w:tc>
        <w:tc>
          <w:tcPr>
            <w:tcW w:w="9277" w:type="dxa"/>
          </w:tcPr>
          <w:p w14:paraId="2A93C94C" w14:textId="77777777" w:rsidR="00577717" w:rsidRPr="0002415B" w:rsidRDefault="0002415B">
            <w:pPr>
              <w:spacing w:line="360" w:lineRule="auto"/>
              <w:rPr>
                <w:color w:val="000000"/>
                <w:szCs w:val="21"/>
              </w:rPr>
            </w:pPr>
            <w:r w:rsidRPr="0002415B">
              <w:rPr>
                <w:color w:val="000000"/>
                <w:szCs w:val="21"/>
              </w:rPr>
              <w:t>MDA was developed in 2001 by Lasken and coworkers using a random hexamer as a primer and φ29 DNA polymerase, a highly processive DNA polymerase with strong strand displacement activity. φ29 has a high replication fidelity because of its 3'→5' exonuclease activity and proofreading activity. Under isothermal conditions, MDA extends the random primers and produces branched structures, which are extended by other primers and eventually form multibranched structures. The DNA fragments are 50–100 kb long. which when coupled with the high fidelity of the polymerase allows for comprehensive Single Nucleotide Polymorphism (SNP) genotyping.</w:t>
            </w:r>
          </w:p>
        </w:tc>
        <w:tc>
          <w:tcPr>
            <w:tcW w:w="1163" w:type="dxa"/>
          </w:tcPr>
          <w:p w14:paraId="029E241B" w14:textId="77777777" w:rsidR="00577717" w:rsidRPr="0002415B" w:rsidRDefault="0002415B">
            <w:pPr>
              <w:spacing w:line="360" w:lineRule="auto"/>
              <w:jc w:val="center"/>
              <w:rPr>
                <w:color w:val="000000"/>
                <w:szCs w:val="21"/>
              </w:rPr>
            </w:pPr>
            <w:r w:rsidRPr="0002415B">
              <w:rPr>
                <w:color w:val="000000"/>
                <w:szCs w:val="21"/>
              </w:rPr>
              <w:t>[32]</w:t>
            </w:r>
          </w:p>
        </w:tc>
      </w:tr>
      <w:tr w:rsidR="00577717" w:rsidRPr="0002415B" w14:paraId="06B69F95" w14:textId="77777777">
        <w:trPr>
          <w:jc w:val="center"/>
        </w:trPr>
        <w:tc>
          <w:tcPr>
            <w:tcW w:w="3734" w:type="dxa"/>
          </w:tcPr>
          <w:p w14:paraId="188D1A74" w14:textId="77777777" w:rsidR="00577717" w:rsidRPr="0002415B" w:rsidRDefault="0002415B">
            <w:pPr>
              <w:spacing w:line="360" w:lineRule="auto"/>
              <w:jc w:val="left"/>
              <w:rPr>
                <w:color w:val="000000"/>
                <w:szCs w:val="21"/>
              </w:rPr>
            </w:pPr>
            <w:r w:rsidRPr="0002415B">
              <w:rPr>
                <w:color w:val="000000"/>
                <w:szCs w:val="21"/>
              </w:rPr>
              <w:lastRenderedPageBreak/>
              <w:t>Multiple annealing and looping-based amplification cycles (MALBAC)</w:t>
            </w:r>
          </w:p>
        </w:tc>
        <w:tc>
          <w:tcPr>
            <w:tcW w:w="9277" w:type="dxa"/>
          </w:tcPr>
          <w:p w14:paraId="783C94B7" w14:textId="77777777" w:rsidR="00577717" w:rsidRPr="0002415B" w:rsidRDefault="0002415B">
            <w:pPr>
              <w:spacing w:line="360" w:lineRule="auto"/>
              <w:rPr>
                <w:color w:val="000000"/>
                <w:szCs w:val="21"/>
              </w:rPr>
            </w:pPr>
            <w:r w:rsidRPr="0002415B">
              <w:rPr>
                <w:color w:val="000000"/>
                <w:szCs w:val="21"/>
              </w:rPr>
              <w:t>MALBAC is based upon strand displacement pre-amplification that generates amplicons with complementary ends. This complementarity in theory mediates molecule looping to prevent further amplification. Pre-amplification is then followed by a PCR reaction to yield the resultant library. MALBAC has been used to detect SNVs and CNVs of single cells, exhibiting unparalleled advantages in detecting CNVs than other whole genome amplification methods.</w:t>
            </w:r>
          </w:p>
        </w:tc>
        <w:tc>
          <w:tcPr>
            <w:tcW w:w="1163" w:type="dxa"/>
          </w:tcPr>
          <w:p w14:paraId="47223777" w14:textId="77777777" w:rsidR="00577717" w:rsidRPr="0002415B" w:rsidRDefault="0002415B">
            <w:pPr>
              <w:spacing w:line="360" w:lineRule="auto"/>
              <w:jc w:val="center"/>
              <w:rPr>
                <w:color w:val="000000"/>
                <w:szCs w:val="21"/>
              </w:rPr>
            </w:pPr>
            <w:r w:rsidRPr="0002415B">
              <w:rPr>
                <w:color w:val="000000"/>
                <w:szCs w:val="21"/>
              </w:rPr>
              <w:t>[33]</w:t>
            </w:r>
          </w:p>
        </w:tc>
      </w:tr>
      <w:tr w:rsidR="00577717" w:rsidRPr="0002415B" w14:paraId="752C9DBB" w14:textId="77777777">
        <w:trPr>
          <w:jc w:val="center"/>
        </w:trPr>
        <w:tc>
          <w:tcPr>
            <w:tcW w:w="3734" w:type="dxa"/>
          </w:tcPr>
          <w:p w14:paraId="2714D852" w14:textId="77777777" w:rsidR="00577717" w:rsidRPr="0002415B" w:rsidRDefault="0002415B">
            <w:pPr>
              <w:spacing w:line="360" w:lineRule="auto"/>
              <w:jc w:val="left"/>
              <w:rPr>
                <w:color w:val="000000"/>
                <w:szCs w:val="21"/>
              </w:rPr>
            </w:pPr>
            <w:r w:rsidRPr="0002415B">
              <w:rPr>
                <w:color w:val="000000"/>
                <w:szCs w:val="21"/>
              </w:rPr>
              <w:t>Single-molecule real-time (SMRT) sequencing</w:t>
            </w:r>
          </w:p>
        </w:tc>
        <w:tc>
          <w:tcPr>
            <w:tcW w:w="9277" w:type="dxa"/>
          </w:tcPr>
          <w:p w14:paraId="65BB7650" w14:textId="77777777" w:rsidR="00577717" w:rsidRPr="0002415B" w:rsidRDefault="0002415B">
            <w:pPr>
              <w:spacing w:line="360" w:lineRule="auto"/>
              <w:rPr>
                <w:color w:val="000000"/>
                <w:szCs w:val="21"/>
              </w:rPr>
            </w:pPr>
            <w:r w:rsidRPr="0002415B">
              <w:rPr>
                <w:color w:val="000000"/>
                <w:szCs w:val="21"/>
              </w:rPr>
              <w:t>SMRT sequencing was pioneered by Nanofluidics, Inc. and commercialized by Pacific Biosciences. Template preparation involves ligation of single-stranded,hairpin adapters onto the ends of digested DNA or cDNA molecules,generating a capped template (SMRT-bell). By using a strand displacing polymerase, the original DNA molecule can be sequenced multiple times, thereby increasing accuracy. Importantly, clonal amplification is avoided,allowing direct sequencing of native, and potentially modified, DNA. DNA synthesis occurs in zeptoliter-sized chambers, called zero-mode waveguides (ZMW), in which a single polymerase is immobilized at the bottom of the chamber. The physics of these chambers reduces background noise such that phosphate-labeled versions of all four nucleotides can be present simultaneously. Thus, olymerization occurs continuously, and the DNA sequence can be read in real-time from the fluorescent signals recorded in a video.</w:t>
            </w:r>
          </w:p>
        </w:tc>
        <w:tc>
          <w:tcPr>
            <w:tcW w:w="1163" w:type="dxa"/>
          </w:tcPr>
          <w:p w14:paraId="63B6C190" w14:textId="77777777" w:rsidR="00577717" w:rsidRPr="0002415B" w:rsidRDefault="0002415B">
            <w:pPr>
              <w:spacing w:line="360" w:lineRule="auto"/>
              <w:jc w:val="center"/>
              <w:rPr>
                <w:color w:val="000000"/>
                <w:szCs w:val="21"/>
              </w:rPr>
            </w:pPr>
            <w:r w:rsidRPr="0002415B">
              <w:rPr>
                <w:color w:val="000000"/>
                <w:szCs w:val="21"/>
              </w:rPr>
              <w:t>[34]</w:t>
            </w:r>
          </w:p>
        </w:tc>
      </w:tr>
      <w:tr w:rsidR="00577717" w:rsidRPr="0002415B" w14:paraId="1E6C11D5" w14:textId="77777777">
        <w:trPr>
          <w:jc w:val="center"/>
        </w:trPr>
        <w:tc>
          <w:tcPr>
            <w:tcW w:w="3734" w:type="dxa"/>
          </w:tcPr>
          <w:p w14:paraId="4BAC08C4" w14:textId="77777777" w:rsidR="00577717" w:rsidRPr="0002415B" w:rsidRDefault="0002415B">
            <w:pPr>
              <w:spacing w:line="360" w:lineRule="auto"/>
              <w:jc w:val="left"/>
              <w:rPr>
                <w:color w:val="000000"/>
                <w:szCs w:val="21"/>
              </w:rPr>
            </w:pPr>
            <w:r w:rsidRPr="0002415B">
              <w:rPr>
                <w:color w:val="000000"/>
                <w:szCs w:val="21"/>
              </w:rPr>
              <w:t xml:space="preserve">Microscopic images automatic </w:t>
            </w:r>
            <w:r w:rsidRPr="0002415B">
              <w:rPr>
                <w:color w:val="000000"/>
                <w:szCs w:val="21"/>
              </w:rPr>
              <w:lastRenderedPageBreak/>
              <w:t>identification system</w:t>
            </w:r>
          </w:p>
        </w:tc>
        <w:tc>
          <w:tcPr>
            <w:tcW w:w="9277" w:type="dxa"/>
          </w:tcPr>
          <w:p w14:paraId="21D92E88" w14:textId="77777777" w:rsidR="00577717" w:rsidRPr="0002415B" w:rsidRDefault="0002415B">
            <w:pPr>
              <w:spacing w:line="360" w:lineRule="auto"/>
              <w:rPr>
                <w:color w:val="000000"/>
                <w:szCs w:val="21"/>
              </w:rPr>
            </w:pPr>
            <w:r w:rsidRPr="0002415B">
              <w:rPr>
                <w:color w:val="000000"/>
                <w:szCs w:val="21"/>
              </w:rPr>
              <w:lastRenderedPageBreak/>
              <w:t>I</w:t>
            </w:r>
            <w:r w:rsidRPr="0002415B">
              <w:rPr>
                <w:rFonts w:hint="eastAsia"/>
                <w:color w:val="000000"/>
                <w:szCs w:val="21"/>
                <w:lang w:eastAsia="zh-Hans"/>
              </w:rPr>
              <w:t>t</w:t>
            </w:r>
            <w:r w:rsidRPr="0002415B">
              <w:rPr>
                <w:color w:val="000000"/>
                <w:szCs w:val="21"/>
              </w:rPr>
              <w:t xml:space="preserve"> performs microscopic images acquiring from blood smears, image processing, color segmentation strategy is applied for segmenting white blood cells from other blood components and then discriminative </w:t>
            </w:r>
            <w:r w:rsidRPr="0002415B">
              <w:rPr>
                <w:color w:val="000000"/>
                <w:szCs w:val="21"/>
              </w:rPr>
              <w:lastRenderedPageBreak/>
              <w:t>features, i.e., irregularity, nucleus-cytoplasm ratio, Hausdorff dimension, shape, color, and texture features are extracted from the entire nucleus in the whole images containing multiple nuclei. Images are classified to cancerous and noncancerous images by binary support vector machine (SVM) classifier with 10-fold cross validation technique. Cancerous images are also classified into their prevalent subtypes by multi</w:t>
            </w:r>
            <w:r w:rsidRPr="0002415B">
              <w:rPr>
                <w:color w:val="000000"/>
                <w:szCs w:val="21"/>
              </w:rPr>
              <w:noBreakHyphen/>
              <w:t>SVM classifier. The results show that the proposed algorithm has achieved an acceptable performance for diagnosis of AML and its common subtypes.</w:t>
            </w:r>
          </w:p>
        </w:tc>
        <w:tc>
          <w:tcPr>
            <w:tcW w:w="1163" w:type="dxa"/>
          </w:tcPr>
          <w:p w14:paraId="23DADD64" w14:textId="77777777" w:rsidR="00577717" w:rsidRPr="0002415B" w:rsidRDefault="0002415B">
            <w:pPr>
              <w:spacing w:line="360" w:lineRule="auto"/>
              <w:jc w:val="center"/>
              <w:rPr>
                <w:color w:val="000000"/>
                <w:szCs w:val="21"/>
              </w:rPr>
            </w:pPr>
            <w:r w:rsidRPr="0002415B">
              <w:rPr>
                <w:color w:val="000000"/>
                <w:szCs w:val="21"/>
              </w:rPr>
              <w:lastRenderedPageBreak/>
              <w:t>[35]</w:t>
            </w:r>
          </w:p>
        </w:tc>
      </w:tr>
      <w:tr w:rsidR="00577717" w:rsidRPr="0002415B" w14:paraId="5E2E4E45" w14:textId="77777777">
        <w:trPr>
          <w:jc w:val="center"/>
        </w:trPr>
        <w:tc>
          <w:tcPr>
            <w:tcW w:w="3734" w:type="dxa"/>
            <w:tcBorders>
              <w:bottom w:val="single" w:sz="4" w:space="0" w:color="auto"/>
            </w:tcBorders>
          </w:tcPr>
          <w:p w14:paraId="32F4DD50" w14:textId="77777777" w:rsidR="00577717" w:rsidRPr="0002415B" w:rsidRDefault="0002415B">
            <w:pPr>
              <w:spacing w:line="360" w:lineRule="auto"/>
              <w:jc w:val="left"/>
              <w:rPr>
                <w:color w:val="000000"/>
                <w:szCs w:val="21"/>
              </w:rPr>
            </w:pPr>
            <w:r w:rsidRPr="0002415B">
              <w:rPr>
                <w:color w:val="000000"/>
                <w:szCs w:val="21"/>
              </w:rPr>
              <w:t>Slide immunophenotype-cytomorphology synchronous observation</w:t>
            </w:r>
          </w:p>
        </w:tc>
        <w:tc>
          <w:tcPr>
            <w:tcW w:w="9277" w:type="dxa"/>
            <w:tcBorders>
              <w:bottom w:val="single" w:sz="4" w:space="0" w:color="auto"/>
            </w:tcBorders>
          </w:tcPr>
          <w:p w14:paraId="76DB2418" w14:textId="77777777" w:rsidR="00577717" w:rsidRPr="0002415B" w:rsidRDefault="0002415B">
            <w:pPr>
              <w:spacing w:line="360" w:lineRule="auto"/>
              <w:rPr>
                <w:color w:val="000000"/>
                <w:szCs w:val="21"/>
              </w:rPr>
            </w:pPr>
            <w:r w:rsidRPr="0002415B">
              <w:rPr>
                <w:color w:val="000000"/>
                <w:szCs w:val="21"/>
              </w:rPr>
              <w:t>Leukemia cells labeled with UCNPs-CD immunoflurescence probes were transferred to slide by centrifugation method. After Wright’s staining, cell morphology observations were performed under the microscope, and target cells were selected according to the cell morphological features. Switching to 980 nm laser light source, immunophenotyping of the target cells was observed from the same microscopic field of view, exhibiting unparalleled advantages in combining cytomorphology with immunophenotyping for comprehensive leukemia diagnosis.</w:t>
            </w:r>
          </w:p>
        </w:tc>
        <w:tc>
          <w:tcPr>
            <w:tcW w:w="1163" w:type="dxa"/>
            <w:tcBorders>
              <w:bottom w:val="single" w:sz="4" w:space="0" w:color="auto"/>
            </w:tcBorders>
          </w:tcPr>
          <w:p w14:paraId="5004AB59" w14:textId="77777777" w:rsidR="00577717" w:rsidRPr="0002415B" w:rsidRDefault="0002415B">
            <w:pPr>
              <w:spacing w:line="360" w:lineRule="auto"/>
              <w:jc w:val="center"/>
              <w:rPr>
                <w:color w:val="000000"/>
                <w:szCs w:val="21"/>
              </w:rPr>
            </w:pPr>
            <w:r w:rsidRPr="0002415B">
              <w:rPr>
                <w:color w:val="000000"/>
                <w:szCs w:val="21"/>
              </w:rPr>
              <w:t>This work</w:t>
            </w:r>
          </w:p>
        </w:tc>
      </w:tr>
    </w:tbl>
    <w:p w14:paraId="317D9E36" w14:textId="77777777" w:rsidR="00577717" w:rsidRPr="0002415B" w:rsidRDefault="00577717">
      <w:pPr>
        <w:spacing w:line="360" w:lineRule="auto"/>
        <w:rPr>
          <w:b/>
          <w:bCs/>
          <w:color w:val="000000"/>
          <w:sz w:val="24"/>
          <w:szCs w:val="24"/>
        </w:rPr>
        <w:sectPr w:rsidR="00577717" w:rsidRPr="0002415B">
          <w:pgSz w:w="16838" w:h="11906" w:orient="landscape"/>
          <w:pgMar w:top="1800" w:right="1440" w:bottom="1800" w:left="1440" w:header="851" w:footer="992" w:gutter="0"/>
          <w:cols w:space="720"/>
          <w:docGrid w:type="lines" w:linePitch="312"/>
        </w:sectPr>
      </w:pPr>
    </w:p>
    <w:p w14:paraId="3B2B3BBC" w14:textId="77777777" w:rsidR="00577717" w:rsidRPr="0002415B" w:rsidRDefault="0002415B">
      <w:pPr>
        <w:spacing w:line="480" w:lineRule="auto"/>
        <w:rPr>
          <w:b/>
          <w:bCs/>
          <w:color w:val="000000"/>
          <w:sz w:val="28"/>
          <w:szCs w:val="28"/>
        </w:rPr>
      </w:pPr>
      <w:r w:rsidRPr="0002415B">
        <w:rPr>
          <w:b/>
          <w:bCs/>
          <w:color w:val="000000"/>
          <w:sz w:val="28"/>
          <w:szCs w:val="28"/>
        </w:rPr>
        <w:lastRenderedPageBreak/>
        <w:t>Reference</w:t>
      </w:r>
    </w:p>
    <w:p w14:paraId="049F6508"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 xml:space="preserve">[1] Lin E, Fuda F, Luu HS, Cox AM, Fang F, Feng J, Chen M. Digital pathology and artificial intelligence as the next chapter in diagnostic hematopathology. </w:t>
      </w:r>
      <w:r w:rsidRPr="0002415B">
        <w:rPr>
          <w:rFonts w:hint="eastAsia"/>
          <w:i/>
          <w:iCs/>
          <w:color w:val="000000"/>
          <w:sz w:val="24"/>
          <w:szCs w:val="24"/>
        </w:rPr>
        <w:t>Semin. Diagn. Pathol.</w:t>
      </w:r>
      <w:r w:rsidRPr="0002415B">
        <w:rPr>
          <w:rFonts w:hint="eastAsia"/>
          <w:color w:val="000000"/>
          <w:sz w:val="24"/>
          <w:szCs w:val="24"/>
        </w:rPr>
        <w:t xml:space="preserve"> 2023;40(2):88-94. doi: 10.1053/j.semdp.2023.02.001</w:t>
      </w:r>
    </w:p>
    <w:p w14:paraId="71F38D30"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 xml:space="preserve">[2] Kratz A, Lee SH, Zini G, Riedl JA, Hur M, Machin S. Digital morphology analyzers in hematology: ICSH review and recommendations. </w:t>
      </w:r>
      <w:r w:rsidRPr="0002415B">
        <w:rPr>
          <w:rFonts w:hint="eastAsia"/>
          <w:i/>
          <w:iCs/>
          <w:color w:val="000000"/>
          <w:sz w:val="24"/>
          <w:szCs w:val="24"/>
        </w:rPr>
        <w:t>Int. J. Lab. Hematol.</w:t>
      </w:r>
      <w:r w:rsidRPr="0002415B">
        <w:rPr>
          <w:rFonts w:hint="eastAsia"/>
          <w:color w:val="000000"/>
          <w:sz w:val="24"/>
          <w:szCs w:val="24"/>
        </w:rPr>
        <w:t xml:space="preserve"> 2019;41(4):437-447. doi: 10.1111/ijlh.13042</w:t>
      </w:r>
    </w:p>
    <w:p w14:paraId="277C6DDD"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 xml:space="preserve">[3] Hur M, Cho JH, Kim H, Hong MH, Moon HW, Yun YM, Kim JQ. Optimization of laboratory workflow in clinical hematology laboratory with reduced manual slide review: Comparison between Sysmex XE-2100 and ABX Pentra DX120. </w:t>
      </w:r>
      <w:bookmarkStart w:id="8" w:name="OLE_LINK5"/>
      <w:r w:rsidRPr="0002415B">
        <w:rPr>
          <w:rFonts w:hint="eastAsia"/>
          <w:i/>
          <w:iCs/>
          <w:color w:val="000000"/>
          <w:sz w:val="24"/>
          <w:szCs w:val="24"/>
        </w:rPr>
        <w:t>Int. J. Lab. Hematol.</w:t>
      </w:r>
      <w:bookmarkEnd w:id="8"/>
      <w:r w:rsidRPr="0002415B">
        <w:rPr>
          <w:rFonts w:hint="eastAsia"/>
          <w:color w:val="000000"/>
          <w:sz w:val="24"/>
          <w:szCs w:val="24"/>
        </w:rPr>
        <w:t xml:space="preserve"> 2011;33(4):434-440. doi: 10.1111/j.1751-553X.2011.01306.x</w:t>
      </w:r>
    </w:p>
    <w:p w14:paraId="6B8F81D6"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 xml:space="preserve">[4] Da Costa L. Digital image analysis of blood cells. </w:t>
      </w:r>
      <w:r w:rsidRPr="0002415B">
        <w:rPr>
          <w:rFonts w:hint="eastAsia"/>
          <w:i/>
          <w:iCs/>
          <w:color w:val="000000"/>
          <w:sz w:val="24"/>
          <w:szCs w:val="24"/>
        </w:rPr>
        <w:t>Clin. Lab. Med.</w:t>
      </w:r>
      <w:r w:rsidRPr="0002415B">
        <w:rPr>
          <w:rFonts w:hint="eastAsia"/>
          <w:color w:val="000000"/>
          <w:sz w:val="24"/>
          <w:szCs w:val="24"/>
        </w:rPr>
        <w:t xml:space="preserve"> 2015;35(1):105-122. doi: 10.1016/j.cll.2014.10.005</w:t>
      </w:r>
    </w:p>
    <w:p w14:paraId="7B74E4AD"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 xml:space="preserve">[5] </w:t>
      </w:r>
      <w:r w:rsidRPr="0002415B">
        <w:rPr>
          <w:color w:val="000000"/>
          <w:sz w:val="24"/>
          <w:szCs w:val="24"/>
        </w:rPr>
        <w:t xml:space="preserve">Liu W, Nie L, Li F, Aguilar ZP, Xu H, Xiong Y, </w:t>
      </w:r>
      <w:r w:rsidRPr="0002415B">
        <w:rPr>
          <w:rFonts w:hint="eastAsia"/>
          <w:color w:val="000000"/>
          <w:sz w:val="24"/>
          <w:szCs w:val="24"/>
        </w:rPr>
        <w:t>Fu F,</w:t>
      </w:r>
      <w:r w:rsidRPr="0002415B">
        <w:rPr>
          <w:color w:val="000000"/>
          <w:sz w:val="24"/>
          <w:szCs w:val="24"/>
        </w:rPr>
        <w:t xml:space="preserve"> Xu H. Folic acid conjugated magnetic iron oxide nanoparticles for nondestructive separation and detection of ovarian cancer cells from whole blood. </w:t>
      </w:r>
      <w:r w:rsidRPr="0002415B">
        <w:rPr>
          <w:i/>
          <w:iCs/>
          <w:color w:val="000000"/>
          <w:sz w:val="24"/>
          <w:szCs w:val="24"/>
        </w:rPr>
        <w:t>Biomater</w:t>
      </w:r>
      <w:r w:rsidRPr="0002415B">
        <w:rPr>
          <w:rFonts w:hint="eastAsia"/>
          <w:i/>
          <w:iCs/>
          <w:color w:val="000000"/>
          <w:sz w:val="24"/>
          <w:szCs w:val="24"/>
        </w:rPr>
        <w:t>.</w:t>
      </w:r>
      <w:r w:rsidRPr="0002415B">
        <w:rPr>
          <w:i/>
          <w:iCs/>
          <w:color w:val="000000"/>
          <w:sz w:val="24"/>
          <w:szCs w:val="24"/>
        </w:rPr>
        <w:t xml:space="preserve"> </w:t>
      </w:r>
      <w:r w:rsidRPr="0002415B">
        <w:rPr>
          <w:rFonts w:hint="eastAsia"/>
          <w:i/>
          <w:iCs/>
          <w:color w:val="000000"/>
          <w:sz w:val="24"/>
          <w:szCs w:val="24"/>
        </w:rPr>
        <w:t>S</w:t>
      </w:r>
      <w:r w:rsidRPr="0002415B">
        <w:rPr>
          <w:i/>
          <w:iCs/>
          <w:color w:val="000000"/>
          <w:sz w:val="24"/>
          <w:szCs w:val="24"/>
        </w:rPr>
        <w:t>ci</w:t>
      </w:r>
      <w:r w:rsidRPr="0002415B">
        <w:rPr>
          <w:rFonts w:hint="eastAsia"/>
          <w:i/>
          <w:iCs/>
          <w:color w:val="000000"/>
          <w:sz w:val="24"/>
          <w:szCs w:val="24"/>
        </w:rPr>
        <w:t>-UK</w:t>
      </w:r>
      <w:r w:rsidRPr="0002415B">
        <w:rPr>
          <w:color w:val="000000"/>
          <w:sz w:val="24"/>
          <w:szCs w:val="24"/>
        </w:rPr>
        <w:t xml:space="preserve"> </w:t>
      </w:r>
      <w:r w:rsidRPr="0002415B">
        <w:rPr>
          <w:rFonts w:hint="eastAsia"/>
          <w:color w:val="000000"/>
          <w:sz w:val="24"/>
          <w:szCs w:val="24"/>
        </w:rPr>
        <w:t>2016;</w:t>
      </w:r>
      <w:r w:rsidRPr="0002415B">
        <w:rPr>
          <w:color w:val="000000"/>
          <w:sz w:val="24"/>
          <w:szCs w:val="24"/>
        </w:rPr>
        <w:t>4(1)</w:t>
      </w:r>
      <w:r w:rsidRPr="0002415B">
        <w:rPr>
          <w:rFonts w:hint="eastAsia"/>
          <w:color w:val="000000"/>
          <w:sz w:val="24"/>
          <w:szCs w:val="24"/>
        </w:rPr>
        <w:t>:</w:t>
      </w:r>
      <w:r w:rsidRPr="0002415B">
        <w:rPr>
          <w:color w:val="000000"/>
          <w:sz w:val="24"/>
          <w:szCs w:val="24"/>
        </w:rPr>
        <w:t>159-166.</w:t>
      </w:r>
      <w:r w:rsidRPr="0002415B">
        <w:rPr>
          <w:rFonts w:hint="eastAsia"/>
          <w:color w:val="000000"/>
          <w:sz w:val="24"/>
          <w:szCs w:val="24"/>
        </w:rPr>
        <w:t xml:space="preserve"> doi: 10.1039/c5bm00207a</w:t>
      </w:r>
    </w:p>
    <w:p w14:paraId="4E75BD74"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 xml:space="preserve">[6] Riley RS, Hogan TF, Pavot DR, Forysthe R, Massey D, Smith E, </w:t>
      </w:r>
      <w:r w:rsidRPr="0002415B">
        <w:rPr>
          <w:color w:val="000000"/>
          <w:sz w:val="24"/>
          <w:szCs w:val="24"/>
        </w:rPr>
        <w:t>Wright L,</w:t>
      </w:r>
      <w:r w:rsidRPr="0002415B">
        <w:rPr>
          <w:rFonts w:hint="eastAsia"/>
          <w:color w:val="000000"/>
          <w:sz w:val="24"/>
          <w:szCs w:val="24"/>
        </w:rPr>
        <w:t xml:space="preserve"> Ben</w:t>
      </w:r>
      <w:r w:rsidRPr="0002415B">
        <w:rPr>
          <w:color w:val="000000"/>
          <w:sz w:val="24"/>
          <w:szCs w:val="24"/>
        </w:rPr>
        <w:t>-</w:t>
      </w:r>
      <w:r w:rsidRPr="0002415B">
        <w:rPr>
          <w:rFonts w:hint="eastAsia"/>
          <w:color w:val="000000"/>
          <w:sz w:val="24"/>
          <w:szCs w:val="24"/>
        </w:rPr>
        <w:t xml:space="preserve">Ezra JM. A pathologist's perspective on bone marrow aspiration and biopsy: I. Performing a bone marrow examination. </w:t>
      </w:r>
      <w:r w:rsidRPr="0002415B">
        <w:rPr>
          <w:rFonts w:ascii="Times New Roman Italic" w:hAnsi="Times New Roman Italic" w:cs="Times New Roman Italic"/>
          <w:i/>
          <w:iCs/>
          <w:color w:val="000000"/>
          <w:sz w:val="24"/>
          <w:szCs w:val="24"/>
        </w:rPr>
        <w:t>J. Clin. Lab. Anal.</w:t>
      </w:r>
      <w:r w:rsidRPr="0002415B">
        <w:rPr>
          <w:rFonts w:hint="eastAsia"/>
          <w:color w:val="000000"/>
          <w:sz w:val="24"/>
          <w:szCs w:val="24"/>
        </w:rPr>
        <w:t xml:space="preserve"> </w:t>
      </w:r>
      <w:r w:rsidRPr="0002415B">
        <w:rPr>
          <w:color w:val="000000"/>
          <w:sz w:val="24"/>
          <w:szCs w:val="24"/>
        </w:rPr>
        <w:t>2004;</w:t>
      </w:r>
      <w:r w:rsidRPr="0002415B">
        <w:rPr>
          <w:rFonts w:hint="eastAsia"/>
          <w:color w:val="000000"/>
          <w:sz w:val="24"/>
          <w:szCs w:val="24"/>
        </w:rPr>
        <w:t>18(2)</w:t>
      </w:r>
      <w:r w:rsidRPr="0002415B">
        <w:rPr>
          <w:color w:val="000000"/>
          <w:sz w:val="24"/>
          <w:szCs w:val="24"/>
        </w:rPr>
        <w:t>:</w:t>
      </w:r>
      <w:r w:rsidRPr="0002415B">
        <w:rPr>
          <w:rFonts w:hint="eastAsia"/>
          <w:color w:val="000000"/>
          <w:sz w:val="24"/>
          <w:szCs w:val="24"/>
        </w:rPr>
        <w:t>70-90.</w:t>
      </w:r>
      <w:r w:rsidRPr="0002415B">
        <w:rPr>
          <w:color w:val="000000"/>
          <w:sz w:val="24"/>
          <w:szCs w:val="24"/>
        </w:rPr>
        <w:t xml:space="preserve"> doi: 10.1002/jcla.20008</w:t>
      </w:r>
    </w:p>
    <w:p w14:paraId="15F1E7AE"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lastRenderedPageBreak/>
        <w:t>[</w:t>
      </w:r>
      <w:r w:rsidRPr="0002415B">
        <w:rPr>
          <w:color w:val="000000"/>
          <w:sz w:val="24"/>
          <w:szCs w:val="24"/>
        </w:rPr>
        <w:t xml:space="preserve">7] Gilotra M, Gupta M, Singh S, Sen R. </w:t>
      </w:r>
      <w:hyperlink r:id="rId14" w:history="1">
        <w:r w:rsidRPr="0002415B">
          <w:rPr>
            <w:color w:val="000000"/>
            <w:sz w:val="24"/>
            <w:szCs w:val="24"/>
          </w:rPr>
          <w:t>Comparison of bone marrow aspiration cytology with bone marrow trephine biopsy histopathology: An observational study</w:t>
        </w:r>
      </w:hyperlink>
      <w:r w:rsidRPr="0002415B">
        <w:rPr>
          <w:color w:val="000000"/>
          <w:sz w:val="24"/>
          <w:szCs w:val="24"/>
        </w:rPr>
        <w:t xml:space="preserve">. </w:t>
      </w:r>
      <w:r w:rsidRPr="0002415B">
        <w:rPr>
          <w:i/>
          <w:iCs/>
          <w:color w:val="000000"/>
          <w:sz w:val="24"/>
          <w:szCs w:val="24"/>
        </w:rPr>
        <w:t>J. Lab. Physicians.</w:t>
      </w:r>
      <w:r w:rsidRPr="0002415B">
        <w:rPr>
          <w:color w:val="000000"/>
          <w:sz w:val="24"/>
          <w:szCs w:val="24"/>
        </w:rPr>
        <w:t xml:space="preserve"> 2017;9(3):182-189. doi: 10.4103/JLP.JLP_117_16</w:t>
      </w:r>
    </w:p>
    <w:p w14:paraId="7C51BE32"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8] </w:t>
      </w:r>
      <w:r w:rsidRPr="0002415B">
        <w:rPr>
          <w:rFonts w:hint="eastAsia"/>
          <w:color w:val="000000"/>
          <w:sz w:val="24"/>
          <w:szCs w:val="24"/>
        </w:rPr>
        <w:t xml:space="preserve">Torlakovic EE, Brynes RK, Hyjek E, Lee SH, Kreipe H, Kremer M, </w:t>
      </w:r>
      <w:r w:rsidRPr="0002415B">
        <w:rPr>
          <w:color w:val="000000"/>
          <w:sz w:val="24"/>
          <w:szCs w:val="24"/>
        </w:rPr>
        <w:t>McKenna R, Sadahira Y, Tzankov A, Reis M, Porwit A.</w:t>
      </w:r>
      <w:r w:rsidRPr="0002415B">
        <w:rPr>
          <w:rFonts w:hint="eastAsia"/>
          <w:color w:val="000000"/>
          <w:sz w:val="24"/>
          <w:szCs w:val="24"/>
        </w:rPr>
        <w:t xml:space="preserve"> </w:t>
      </w:r>
      <w:r w:rsidRPr="0002415B">
        <w:rPr>
          <w:color w:val="000000"/>
          <w:sz w:val="24"/>
          <w:szCs w:val="24"/>
        </w:rPr>
        <w:t xml:space="preserve">ICSH guidelines for the standardization of bone marrow immunohistochemistry. </w:t>
      </w:r>
      <w:r w:rsidRPr="0002415B">
        <w:rPr>
          <w:i/>
          <w:iCs/>
          <w:color w:val="000000"/>
          <w:sz w:val="24"/>
          <w:szCs w:val="24"/>
        </w:rPr>
        <w:t xml:space="preserve">Int. J. Lab. Hematol. </w:t>
      </w:r>
      <w:r w:rsidRPr="0002415B">
        <w:rPr>
          <w:color w:val="000000"/>
          <w:sz w:val="24"/>
          <w:szCs w:val="24"/>
        </w:rPr>
        <w:t>2015;37(4):431-449. doi: 10.1111/ijlh.12365 </w:t>
      </w:r>
    </w:p>
    <w:p w14:paraId="66FA8903"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9] Baccarani M, Deininger MW, Rosti G, Hochhaus A, Soverini S, et al. European LeukemiaNet recommendations for the management of chronic myeloid leukemia. </w:t>
      </w:r>
      <w:r w:rsidRPr="0002415B">
        <w:rPr>
          <w:i/>
          <w:iCs/>
          <w:color w:val="000000"/>
          <w:sz w:val="24"/>
          <w:szCs w:val="24"/>
        </w:rPr>
        <w:t>Blood</w:t>
      </w:r>
      <w:r w:rsidRPr="0002415B">
        <w:rPr>
          <w:color w:val="000000"/>
          <w:sz w:val="24"/>
          <w:szCs w:val="24"/>
        </w:rPr>
        <w:t xml:space="preserve"> 2013;122(6):872-884. doi: </w:t>
      </w:r>
      <w:hyperlink r:id="rId15" w:tgtFrame="_blank" w:history="1">
        <w:r w:rsidRPr="0002415B">
          <w:rPr>
            <w:color w:val="000000"/>
            <w:sz w:val="24"/>
            <w:szCs w:val="24"/>
          </w:rPr>
          <w:t>10.1182/blood-2013-05-501569</w:t>
        </w:r>
      </w:hyperlink>
    </w:p>
    <w:p w14:paraId="346713E1"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10] </w:t>
      </w:r>
      <w:hyperlink r:id="rId16" w:history="1">
        <w:r w:rsidRPr="0002415B">
          <w:rPr>
            <w:color w:val="000000"/>
            <w:sz w:val="24"/>
            <w:szCs w:val="24"/>
          </w:rPr>
          <w:t>Rack</w:t>
        </w:r>
      </w:hyperlink>
      <w:r w:rsidRPr="0002415B">
        <w:rPr>
          <w:color w:val="000000"/>
          <w:sz w:val="24"/>
          <w:szCs w:val="24"/>
        </w:rPr>
        <w:t xml:space="preserve"> KA, </w:t>
      </w:r>
      <w:hyperlink r:id="rId17" w:history="1">
        <w:r w:rsidRPr="0002415B">
          <w:rPr>
            <w:color w:val="000000"/>
            <w:sz w:val="24"/>
            <w:szCs w:val="24"/>
          </w:rPr>
          <w:t>Berg</w:t>
        </w:r>
      </w:hyperlink>
      <w:r w:rsidRPr="0002415B">
        <w:rPr>
          <w:color w:val="000000"/>
          <w:sz w:val="24"/>
          <w:szCs w:val="24"/>
        </w:rPr>
        <w:t xml:space="preserve"> E, </w:t>
      </w:r>
      <w:hyperlink r:id="rId18" w:history="1">
        <w:r w:rsidRPr="0002415B">
          <w:rPr>
            <w:color w:val="000000"/>
            <w:sz w:val="24"/>
            <w:szCs w:val="24"/>
          </w:rPr>
          <w:t>Haferlach</w:t>
        </w:r>
      </w:hyperlink>
      <w:r w:rsidRPr="0002415B">
        <w:rPr>
          <w:color w:val="000000"/>
          <w:sz w:val="24"/>
          <w:szCs w:val="24"/>
        </w:rPr>
        <w:t xml:space="preserve"> C, </w:t>
      </w:r>
      <w:hyperlink r:id="rId19" w:history="1">
        <w:r w:rsidRPr="0002415B">
          <w:rPr>
            <w:color w:val="000000"/>
            <w:sz w:val="24"/>
            <w:szCs w:val="24"/>
          </w:rPr>
          <w:t>Beverloo</w:t>
        </w:r>
      </w:hyperlink>
      <w:r w:rsidRPr="0002415B">
        <w:rPr>
          <w:color w:val="000000"/>
          <w:sz w:val="24"/>
          <w:szCs w:val="24"/>
        </w:rPr>
        <w:t xml:space="preserve"> HB, </w:t>
      </w:r>
      <w:hyperlink r:id="rId20" w:history="1">
        <w:r w:rsidRPr="0002415B">
          <w:rPr>
            <w:color w:val="000000"/>
            <w:sz w:val="24"/>
            <w:szCs w:val="24"/>
          </w:rPr>
          <w:t>Costa</w:t>
        </w:r>
      </w:hyperlink>
      <w:r w:rsidRPr="0002415B">
        <w:rPr>
          <w:color w:val="000000"/>
          <w:sz w:val="24"/>
          <w:szCs w:val="24"/>
        </w:rPr>
        <w:t xml:space="preserve"> D, </w:t>
      </w:r>
      <w:hyperlink r:id="rId21" w:history="1">
        <w:r w:rsidRPr="0002415B">
          <w:rPr>
            <w:color w:val="000000"/>
            <w:sz w:val="24"/>
            <w:szCs w:val="24"/>
          </w:rPr>
          <w:t>Espinet</w:t>
        </w:r>
      </w:hyperlink>
      <w:r w:rsidRPr="0002415B">
        <w:rPr>
          <w:color w:val="000000"/>
          <w:sz w:val="24"/>
          <w:szCs w:val="24"/>
        </w:rPr>
        <w:t xml:space="preserve"> B, </w:t>
      </w:r>
      <w:hyperlink r:id="rId22" w:history="1">
        <w:r w:rsidRPr="0002415B">
          <w:rPr>
            <w:color w:val="000000"/>
            <w:sz w:val="24"/>
            <w:szCs w:val="24"/>
          </w:rPr>
          <w:t>Foot</w:t>
        </w:r>
      </w:hyperlink>
      <w:r w:rsidRPr="0002415B">
        <w:rPr>
          <w:color w:val="000000"/>
          <w:sz w:val="24"/>
          <w:szCs w:val="24"/>
        </w:rPr>
        <w:t xml:space="preserve"> N, </w:t>
      </w:r>
      <w:hyperlink r:id="rId23" w:history="1">
        <w:r w:rsidRPr="0002415B">
          <w:rPr>
            <w:color w:val="000000"/>
            <w:sz w:val="24"/>
            <w:szCs w:val="24"/>
          </w:rPr>
          <w:t>Jeffries</w:t>
        </w:r>
      </w:hyperlink>
      <w:r w:rsidRPr="0002415B">
        <w:rPr>
          <w:color w:val="000000"/>
          <w:sz w:val="24"/>
          <w:szCs w:val="24"/>
        </w:rPr>
        <w:t xml:space="preserve"> S, </w:t>
      </w:r>
      <w:hyperlink r:id="rId24" w:history="1">
        <w:r w:rsidRPr="0002415B">
          <w:rPr>
            <w:color w:val="000000"/>
            <w:sz w:val="24"/>
            <w:szCs w:val="24"/>
          </w:rPr>
          <w:t>Martin</w:t>
        </w:r>
      </w:hyperlink>
      <w:r w:rsidRPr="0002415B">
        <w:rPr>
          <w:color w:val="000000"/>
          <w:sz w:val="24"/>
          <w:szCs w:val="24"/>
        </w:rPr>
        <w:t xml:space="preserve"> K, </w:t>
      </w:r>
      <w:hyperlink r:id="rId25" w:history="1">
        <w:r w:rsidRPr="0002415B">
          <w:rPr>
            <w:color w:val="000000"/>
            <w:sz w:val="24"/>
            <w:szCs w:val="24"/>
          </w:rPr>
          <w:t>O’Connor</w:t>
        </w:r>
      </w:hyperlink>
      <w:r w:rsidRPr="0002415B">
        <w:rPr>
          <w:color w:val="000000"/>
          <w:sz w:val="24"/>
          <w:szCs w:val="24"/>
        </w:rPr>
        <w:t xml:space="preserve"> S, </w:t>
      </w:r>
      <w:hyperlink r:id="rId26" w:history="1">
        <w:r w:rsidRPr="0002415B">
          <w:rPr>
            <w:color w:val="000000"/>
            <w:sz w:val="24"/>
            <w:szCs w:val="24"/>
          </w:rPr>
          <w:t>Schoumans</w:t>
        </w:r>
      </w:hyperlink>
      <w:r w:rsidRPr="0002415B">
        <w:rPr>
          <w:color w:val="000000"/>
          <w:sz w:val="24"/>
          <w:szCs w:val="24"/>
        </w:rPr>
        <w:t xml:space="preserve"> J, </w:t>
      </w:r>
      <w:hyperlink r:id="rId27" w:history="1">
        <w:r w:rsidRPr="0002415B">
          <w:rPr>
            <w:color w:val="000000"/>
            <w:sz w:val="24"/>
            <w:szCs w:val="24"/>
          </w:rPr>
          <w:t>Talley</w:t>
        </w:r>
      </w:hyperlink>
      <w:r w:rsidRPr="0002415B">
        <w:rPr>
          <w:color w:val="000000"/>
          <w:sz w:val="24"/>
          <w:szCs w:val="24"/>
        </w:rPr>
        <w:t xml:space="preserve"> P, </w:t>
      </w:r>
      <w:hyperlink r:id="rId28" w:history="1">
        <w:r w:rsidRPr="0002415B">
          <w:rPr>
            <w:color w:val="000000"/>
            <w:sz w:val="24"/>
            <w:szCs w:val="24"/>
          </w:rPr>
          <w:t>Telford</w:t>
        </w:r>
      </w:hyperlink>
      <w:r w:rsidRPr="0002415B">
        <w:rPr>
          <w:color w:val="000000"/>
          <w:sz w:val="24"/>
          <w:szCs w:val="24"/>
        </w:rPr>
        <w:t xml:space="preserve"> N, </w:t>
      </w:r>
      <w:hyperlink r:id="rId29" w:history="1">
        <w:r w:rsidRPr="0002415B">
          <w:rPr>
            <w:color w:val="000000"/>
            <w:sz w:val="24"/>
            <w:szCs w:val="24"/>
          </w:rPr>
          <w:t>Stioui</w:t>
        </w:r>
      </w:hyperlink>
      <w:r w:rsidRPr="0002415B">
        <w:rPr>
          <w:color w:val="000000"/>
          <w:sz w:val="24"/>
          <w:szCs w:val="24"/>
        </w:rPr>
        <w:t xml:space="preserve"> S, </w:t>
      </w:r>
      <w:hyperlink r:id="rId30" w:history="1">
        <w:r w:rsidRPr="0002415B">
          <w:rPr>
            <w:color w:val="000000"/>
            <w:sz w:val="24"/>
            <w:szCs w:val="24"/>
          </w:rPr>
          <w:t>Zemanova</w:t>
        </w:r>
      </w:hyperlink>
      <w:r w:rsidRPr="0002415B">
        <w:rPr>
          <w:color w:val="000000"/>
          <w:sz w:val="24"/>
          <w:szCs w:val="24"/>
        </w:rPr>
        <w:t xml:space="preserve"> Z, </w:t>
      </w:r>
      <w:hyperlink r:id="rId31" w:history="1">
        <w:r w:rsidRPr="0002415B">
          <w:rPr>
            <w:color w:val="000000"/>
            <w:sz w:val="24"/>
            <w:szCs w:val="24"/>
          </w:rPr>
          <w:t>Hastings</w:t>
        </w:r>
      </w:hyperlink>
      <w:r w:rsidRPr="0002415B">
        <w:rPr>
          <w:color w:val="000000"/>
          <w:sz w:val="24"/>
          <w:szCs w:val="24"/>
        </w:rPr>
        <w:t xml:space="preserve"> RJ. European recommendations and quality assurance for cytogenomic analysis of haematological neoplasms: reponse to the comments from the francophone group of hematological cytogenetics (GFCH). </w:t>
      </w:r>
      <w:hyperlink r:id="rId32" w:history="1">
        <w:r w:rsidRPr="0002415B">
          <w:rPr>
            <w:i/>
            <w:iCs/>
            <w:color w:val="000000"/>
            <w:sz w:val="24"/>
            <w:szCs w:val="24"/>
          </w:rPr>
          <w:t>Leukemia</w:t>
        </w:r>
      </w:hyperlink>
      <w:r w:rsidRPr="0002415B">
        <w:rPr>
          <w:color w:val="000000"/>
          <w:sz w:val="24"/>
          <w:szCs w:val="24"/>
        </w:rPr>
        <w:t xml:space="preserve"> 2020;34(8):2262-2264. doi: </w:t>
      </w:r>
      <w:hyperlink r:id="rId33" w:tgtFrame="_blank" w:history="1">
        <w:r w:rsidRPr="0002415B">
          <w:rPr>
            <w:color w:val="000000"/>
            <w:sz w:val="24"/>
            <w:szCs w:val="24"/>
          </w:rPr>
          <w:t>10.1038/s41375-020-0736-x</w:t>
        </w:r>
      </w:hyperlink>
    </w:p>
    <w:p w14:paraId="717265C5"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11] </w:t>
      </w:r>
      <w:hyperlink r:id="rId34" w:history="1">
        <w:r w:rsidRPr="0002415B">
          <w:rPr>
            <w:color w:val="000000"/>
            <w:sz w:val="24"/>
            <w:szCs w:val="24"/>
          </w:rPr>
          <w:t>Tchinda</w:t>
        </w:r>
      </w:hyperlink>
      <w:r w:rsidRPr="0002415B">
        <w:rPr>
          <w:color w:val="000000"/>
          <w:sz w:val="24"/>
          <w:szCs w:val="24"/>
        </w:rPr>
        <w:t xml:space="preserve"> J, </w:t>
      </w:r>
      <w:hyperlink r:id="rId35" w:history="1">
        <w:r w:rsidRPr="0002415B">
          <w:rPr>
            <w:color w:val="000000"/>
            <w:sz w:val="24"/>
            <w:szCs w:val="24"/>
          </w:rPr>
          <w:t>Neumann</w:t>
        </w:r>
      </w:hyperlink>
      <w:r w:rsidRPr="0002415B">
        <w:rPr>
          <w:color w:val="000000"/>
          <w:sz w:val="24"/>
          <w:szCs w:val="24"/>
        </w:rPr>
        <w:t xml:space="preserve"> TE, </w:t>
      </w:r>
      <w:hyperlink r:id="rId36" w:history="1">
        <w:r w:rsidRPr="0002415B">
          <w:rPr>
            <w:color w:val="000000"/>
            <w:sz w:val="24"/>
            <w:szCs w:val="24"/>
          </w:rPr>
          <w:t>Volpert</w:t>
        </w:r>
      </w:hyperlink>
      <w:r w:rsidRPr="0002415B">
        <w:rPr>
          <w:color w:val="000000"/>
          <w:sz w:val="24"/>
          <w:szCs w:val="24"/>
        </w:rPr>
        <w:t xml:space="preserve"> S, </w:t>
      </w:r>
      <w:hyperlink r:id="rId37" w:history="1">
        <w:r w:rsidRPr="0002415B">
          <w:rPr>
            <w:color w:val="000000"/>
            <w:sz w:val="24"/>
            <w:szCs w:val="24"/>
          </w:rPr>
          <w:t>Berdel</w:t>
        </w:r>
      </w:hyperlink>
      <w:r w:rsidRPr="0002415B">
        <w:rPr>
          <w:color w:val="000000"/>
          <w:sz w:val="24"/>
          <w:szCs w:val="24"/>
        </w:rPr>
        <w:t xml:space="preserve"> WE, </w:t>
      </w:r>
      <w:hyperlink r:id="rId38" w:history="1">
        <w:r w:rsidRPr="0002415B">
          <w:rPr>
            <w:color w:val="000000"/>
            <w:sz w:val="24"/>
            <w:szCs w:val="24"/>
          </w:rPr>
          <w:t>Büchner</w:t>
        </w:r>
      </w:hyperlink>
      <w:r w:rsidRPr="0002415B">
        <w:rPr>
          <w:color w:val="000000"/>
          <w:sz w:val="24"/>
          <w:szCs w:val="24"/>
        </w:rPr>
        <w:t xml:space="preserve"> T, </w:t>
      </w:r>
      <w:hyperlink r:id="rId39" w:history="1">
        <w:r w:rsidRPr="0002415B">
          <w:rPr>
            <w:color w:val="000000"/>
            <w:sz w:val="24"/>
            <w:szCs w:val="24"/>
          </w:rPr>
          <w:t>Horst</w:t>
        </w:r>
      </w:hyperlink>
      <w:r w:rsidRPr="0002415B">
        <w:rPr>
          <w:color w:val="000000"/>
          <w:sz w:val="24"/>
          <w:szCs w:val="24"/>
        </w:rPr>
        <w:t xml:space="preserve"> J. Characterization of chromosomal rearrangements in hematological diseases using spectral karyotyping</w:t>
      </w:r>
      <w:r w:rsidRPr="0002415B">
        <w:rPr>
          <w:rFonts w:hint="eastAsia"/>
          <w:color w:val="000000"/>
          <w:sz w:val="24"/>
          <w:szCs w:val="24"/>
        </w:rPr>
        <w:t>.</w:t>
      </w:r>
      <w:r w:rsidRPr="0002415B">
        <w:rPr>
          <w:color w:val="000000"/>
          <w:sz w:val="24"/>
          <w:szCs w:val="24"/>
        </w:rPr>
        <w:t xml:space="preserve"> </w:t>
      </w:r>
      <w:r w:rsidRPr="0002415B">
        <w:rPr>
          <w:i/>
          <w:iCs/>
          <w:color w:val="000000"/>
          <w:sz w:val="24"/>
          <w:szCs w:val="24"/>
        </w:rPr>
        <w:t>Diagn. Mol. Pathol.</w:t>
      </w:r>
      <w:r w:rsidRPr="0002415B">
        <w:rPr>
          <w:color w:val="000000"/>
          <w:sz w:val="24"/>
          <w:szCs w:val="24"/>
        </w:rPr>
        <w:t> 2004;13(3):190-195. doi: 10.1097/01.pas.0000124338.49401.ef</w:t>
      </w:r>
    </w:p>
    <w:p w14:paraId="4CB717E6"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12] </w:t>
      </w:r>
      <w:hyperlink r:id="rId40" w:history="1">
        <w:r w:rsidRPr="0002415B">
          <w:rPr>
            <w:color w:val="000000"/>
            <w:sz w:val="24"/>
            <w:szCs w:val="24"/>
          </w:rPr>
          <w:t>Cavé</w:t>
        </w:r>
      </w:hyperlink>
      <w:r w:rsidRPr="0002415B">
        <w:rPr>
          <w:color w:val="000000"/>
          <w:sz w:val="24"/>
          <w:szCs w:val="24"/>
        </w:rPr>
        <w:t xml:space="preserve"> H. The polymerase chain reaction, so simple, so clever: The discovery that </w:t>
      </w:r>
      <w:r w:rsidRPr="0002415B">
        <w:rPr>
          <w:color w:val="000000"/>
          <w:sz w:val="24"/>
          <w:szCs w:val="24"/>
        </w:rPr>
        <w:lastRenderedPageBreak/>
        <w:t>made minimal residual disease come true</w:t>
      </w:r>
      <w:r w:rsidRPr="0002415B">
        <w:rPr>
          <w:rFonts w:hint="eastAsia"/>
          <w:color w:val="000000"/>
          <w:sz w:val="24"/>
          <w:szCs w:val="24"/>
        </w:rPr>
        <w:t>.</w:t>
      </w:r>
      <w:r w:rsidRPr="0002415B">
        <w:rPr>
          <w:color w:val="000000"/>
          <w:sz w:val="24"/>
          <w:szCs w:val="24"/>
        </w:rPr>
        <w:t xml:space="preserve"> </w:t>
      </w:r>
      <w:hyperlink r:id="rId41" w:history="1">
        <w:r w:rsidRPr="0002415B">
          <w:rPr>
            <w:i/>
            <w:iCs/>
            <w:color w:val="000000"/>
            <w:sz w:val="24"/>
            <w:szCs w:val="24"/>
          </w:rPr>
          <w:t>Haematologica</w:t>
        </w:r>
      </w:hyperlink>
      <w:r w:rsidRPr="0002415B">
        <w:rPr>
          <w:i/>
          <w:iCs/>
          <w:color w:val="000000"/>
          <w:sz w:val="24"/>
          <w:szCs w:val="24"/>
        </w:rPr>
        <w:t>.</w:t>
      </w:r>
      <w:r w:rsidRPr="0002415B">
        <w:rPr>
          <w:color w:val="000000"/>
          <w:sz w:val="24"/>
          <w:szCs w:val="24"/>
        </w:rPr>
        <w:t> 2022;107(8):1737-1738. doi: </w:t>
      </w:r>
      <w:hyperlink r:id="rId42" w:tgtFrame="_blank" w:history="1">
        <w:r w:rsidRPr="0002415B">
          <w:rPr>
            <w:color w:val="000000"/>
            <w:sz w:val="24"/>
            <w:szCs w:val="24"/>
          </w:rPr>
          <w:t>10.3324/haematol.2022.281413</w:t>
        </w:r>
      </w:hyperlink>
    </w:p>
    <w:p w14:paraId="271CAA99"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13] </w:t>
      </w:r>
      <w:hyperlink r:id="rId43" w:history="1">
        <w:r w:rsidRPr="0002415B">
          <w:rPr>
            <w:color w:val="000000"/>
            <w:sz w:val="24"/>
            <w:szCs w:val="24"/>
          </w:rPr>
          <w:t>Lee</w:t>
        </w:r>
      </w:hyperlink>
      <w:r w:rsidRPr="0002415B">
        <w:rPr>
          <w:color w:val="000000"/>
          <w:sz w:val="24"/>
          <w:szCs w:val="24"/>
        </w:rPr>
        <w:t xml:space="preserve"> D, </w:t>
      </w:r>
      <w:hyperlink r:id="rId44" w:history="1">
        <w:r w:rsidRPr="0002415B">
          <w:rPr>
            <w:color w:val="000000"/>
            <w:sz w:val="24"/>
            <w:szCs w:val="24"/>
          </w:rPr>
          <w:t>Suh</w:t>
        </w:r>
      </w:hyperlink>
      <w:r w:rsidRPr="0002415B">
        <w:rPr>
          <w:color w:val="000000"/>
          <w:sz w:val="24"/>
          <w:szCs w:val="24"/>
        </w:rPr>
        <w:t xml:space="preserve"> YL, </w:t>
      </w:r>
      <w:hyperlink r:id="rId45" w:history="1">
        <w:r w:rsidRPr="0002415B">
          <w:rPr>
            <w:color w:val="000000"/>
            <w:sz w:val="24"/>
            <w:szCs w:val="24"/>
          </w:rPr>
          <w:t>Kang</w:t>
        </w:r>
      </w:hyperlink>
      <w:r w:rsidRPr="0002415B">
        <w:rPr>
          <w:color w:val="000000"/>
          <w:sz w:val="24"/>
          <w:szCs w:val="24"/>
        </w:rPr>
        <w:t xml:space="preserve"> SY, </w:t>
      </w:r>
      <w:hyperlink r:id="rId46" w:history="1">
        <w:r w:rsidRPr="0002415B">
          <w:rPr>
            <w:color w:val="000000"/>
            <w:sz w:val="24"/>
            <w:szCs w:val="24"/>
          </w:rPr>
          <w:t>Park</w:t>
        </w:r>
      </w:hyperlink>
      <w:r w:rsidRPr="0002415B">
        <w:rPr>
          <w:color w:val="000000"/>
          <w:sz w:val="24"/>
          <w:szCs w:val="24"/>
        </w:rPr>
        <w:t xml:space="preserve"> TI, </w:t>
      </w:r>
      <w:hyperlink r:id="rId47" w:history="1">
        <w:r w:rsidRPr="0002415B">
          <w:rPr>
            <w:color w:val="000000"/>
            <w:sz w:val="24"/>
            <w:szCs w:val="24"/>
          </w:rPr>
          <w:t>Jeong</w:t>
        </w:r>
      </w:hyperlink>
      <w:r w:rsidRPr="0002415B">
        <w:rPr>
          <w:color w:val="000000"/>
          <w:sz w:val="24"/>
          <w:szCs w:val="24"/>
        </w:rPr>
        <w:t xml:space="preserve"> JY, </w:t>
      </w:r>
      <w:hyperlink r:id="rId48" w:history="1">
        <w:r w:rsidRPr="0002415B">
          <w:rPr>
            <w:color w:val="000000"/>
            <w:sz w:val="24"/>
            <w:szCs w:val="24"/>
          </w:rPr>
          <w:t>Kim</w:t>
        </w:r>
      </w:hyperlink>
      <w:r w:rsidRPr="0002415B">
        <w:rPr>
          <w:color w:val="000000"/>
          <w:sz w:val="24"/>
          <w:szCs w:val="24"/>
        </w:rPr>
        <w:t xml:space="preserve"> SH. DH1 mutations in oligodendroglial tumors: Comparative analysis of direct sequencing, pyrosequencing, immunohistochemistry, nested PCR and PNA-mediated clamping PCR.</w:t>
      </w:r>
      <w:r w:rsidRPr="0002415B">
        <w:rPr>
          <w:rFonts w:eastAsia="DengXian"/>
          <w:color w:val="000000"/>
          <w:sz w:val="24"/>
          <w:szCs w:val="24"/>
        </w:rPr>
        <w:t xml:space="preserve"> </w:t>
      </w:r>
      <w:hyperlink r:id="rId49" w:history="1">
        <w:r w:rsidRPr="0002415B">
          <w:rPr>
            <w:i/>
            <w:iCs/>
            <w:color w:val="000000"/>
            <w:sz w:val="24"/>
            <w:szCs w:val="24"/>
          </w:rPr>
          <w:t>Brain Pathol.</w:t>
        </w:r>
      </w:hyperlink>
      <w:r w:rsidRPr="0002415B">
        <w:rPr>
          <w:color w:val="000000"/>
          <w:sz w:val="24"/>
          <w:szCs w:val="24"/>
        </w:rPr>
        <w:t> 2013;23(3):285-293. doi: </w:t>
      </w:r>
      <w:hyperlink r:id="rId50" w:tgtFrame="_blank" w:history="1">
        <w:r w:rsidRPr="0002415B">
          <w:rPr>
            <w:color w:val="000000"/>
            <w:sz w:val="24"/>
            <w:szCs w:val="24"/>
          </w:rPr>
          <w:t>10.1111/bpa.12000</w:t>
        </w:r>
      </w:hyperlink>
    </w:p>
    <w:p w14:paraId="11C97378"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14] </w:t>
      </w:r>
      <w:hyperlink r:id="rId51" w:history="1">
        <w:r w:rsidRPr="0002415B">
          <w:rPr>
            <w:color w:val="000000"/>
            <w:sz w:val="24"/>
            <w:szCs w:val="24"/>
          </w:rPr>
          <w:t>Liang</w:t>
        </w:r>
      </w:hyperlink>
      <w:r w:rsidRPr="0002415B">
        <w:rPr>
          <w:color w:val="000000"/>
          <w:sz w:val="24"/>
          <w:szCs w:val="24"/>
        </w:rPr>
        <w:t> DC, </w:t>
      </w:r>
      <w:hyperlink r:id="rId52" w:history="1">
        <w:r w:rsidRPr="0002415B">
          <w:rPr>
            <w:color w:val="000000"/>
            <w:sz w:val="24"/>
            <w:szCs w:val="24"/>
          </w:rPr>
          <w:t>Shih</w:t>
        </w:r>
      </w:hyperlink>
      <w:r w:rsidRPr="0002415B">
        <w:rPr>
          <w:color w:val="000000"/>
          <w:sz w:val="24"/>
          <w:szCs w:val="24"/>
        </w:rPr>
        <w:t xml:space="preserve"> LY, </w:t>
      </w:r>
      <w:hyperlink r:id="rId53" w:history="1">
        <w:r w:rsidRPr="0002415B">
          <w:rPr>
            <w:color w:val="000000"/>
            <w:sz w:val="24"/>
            <w:szCs w:val="24"/>
          </w:rPr>
          <w:t>Yang</w:t>
        </w:r>
      </w:hyperlink>
      <w:r w:rsidRPr="0002415B">
        <w:rPr>
          <w:color w:val="000000"/>
          <w:sz w:val="24"/>
          <w:szCs w:val="24"/>
        </w:rPr>
        <w:t xml:space="preserve"> CP, </w:t>
      </w:r>
      <w:hyperlink r:id="rId54" w:history="1">
        <w:r w:rsidRPr="0002415B">
          <w:rPr>
            <w:color w:val="000000"/>
            <w:sz w:val="24"/>
            <w:szCs w:val="24"/>
          </w:rPr>
          <w:t>Hung</w:t>
        </w:r>
      </w:hyperlink>
      <w:r w:rsidRPr="0002415B">
        <w:rPr>
          <w:color w:val="000000"/>
          <w:sz w:val="24"/>
          <w:szCs w:val="24"/>
        </w:rPr>
        <w:t xml:space="preserve"> IJ, </w:t>
      </w:r>
      <w:hyperlink r:id="rId55" w:history="1">
        <w:r w:rsidRPr="0002415B">
          <w:rPr>
            <w:color w:val="000000"/>
            <w:sz w:val="24"/>
            <w:szCs w:val="24"/>
          </w:rPr>
          <w:t>Chen</w:t>
        </w:r>
      </w:hyperlink>
      <w:r w:rsidRPr="0002415B">
        <w:rPr>
          <w:color w:val="000000"/>
          <w:sz w:val="24"/>
          <w:szCs w:val="24"/>
        </w:rPr>
        <w:t xml:space="preserve"> SH, </w:t>
      </w:r>
      <w:hyperlink r:id="rId56" w:history="1">
        <w:r w:rsidRPr="0002415B">
          <w:rPr>
            <w:color w:val="000000"/>
            <w:sz w:val="24"/>
            <w:szCs w:val="24"/>
          </w:rPr>
          <w:t>Jaing</w:t>
        </w:r>
      </w:hyperlink>
      <w:r w:rsidRPr="0002415B">
        <w:rPr>
          <w:color w:val="000000"/>
          <w:sz w:val="24"/>
          <w:szCs w:val="24"/>
        </w:rPr>
        <w:t xml:space="preserve"> TH, </w:t>
      </w:r>
      <w:hyperlink r:id="rId57" w:history="1">
        <w:r w:rsidRPr="0002415B">
          <w:rPr>
            <w:color w:val="000000"/>
            <w:sz w:val="24"/>
            <w:szCs w:val="24"/>
          </w:rPr>
          <w:t>Liu</w:t>
        </w:r>
      </w:hyperlink>
      <w:r w:rsidRPr="0002415B">
        <w:rPr>
          <w:color w:val="000000"/>
          <w:sz w:val="24"/>
          <w:szCs w:val="24"/>
        </w:rPr>
        <w:t xml:space="preserve"> HC, </w:t>
      </w:r>
      <w:hyperlink r:id="rId58" w:history="1">
        <w:r w:rsidRPr="0002415B">
          <w:rPr>
            <w:color w:val="000000"/>
            <w:sz w:val="24"/>
            <w:szCs w:val="24"/>
          </w:rPr>
          <w:t>Chang</w:t>
        </w:r>
      </w:hyperlink>
      <w:r w:rsidRPr="0002415B">
        <w:rPr>
          <w:color w:val="000000"/>
          <w:sz w:val="24"/>
          <w:szCs w:val="24"/>
        </w:rPr>
        <w:t xml:space="preserve"> WH. Multiplex RT-PCR assay for the detection of major fusion transcripts in Taiwanese children with B-lineage acute lymphoblastic leukemia.</w:t>
      </w:r>
      <w:r w:rsidRPr="0002415B">
        <w:rPr>
          <w:rFonts w:eastAsia="DengXian"/>
          <w:color w:val="000000"/>
          <w:sz w:val="24"/>
          <w:szCs w:val="24"/>
        </w:rPr>
        <w:t xml:space="preserve"> </w:t>
      </w:r>
      <w:r w:rsidRPr="0002415B">
        <w:rPr>
          <w:i/>
          <w:iCs/>
          <w:color w:val="000000"/>
          <w:sz w:val="24"/>
          <w:szCs w:val="24"/>
        </w:rPr>
        <w:t>Med. Pediatr. Oncol.</w:t>
      </w:r>
      <w:r w:rsidRPr="0002415B">
        <w:rPr>
          <w:color w:val="000000"/>
          <w:sz w:val="24"/>
          <w:szCs w:val="24"/>
        </w:rPr>
        <w:t xml:space="preserve"> 2002;39(1):12-17. doi: 10.1002/mpo.10092</w:t>
      </w:r>
    </w:p>
    <w:p w14:paraId="785F8BCC"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15] </w:t>
      </w:r>
      <w:hyperlink r:id="rId59" w:history="1">
        <w:r w:rsidRPr="0002415B">
          <w:rPr>
            <w:color w:val="000000"/>
            <w:sz w:val="24"/>
            <w:szCs w:val="24"/>
          </w:rPr>
          <w:t>Azad</w:t>
        </w:r>
      </w:hyperlink>
      <w:r w:rsidRPr="0002415B">
        <w:rPr>
          <w:color w:val="000000"/>
          <w:sz w:val="24"/>
          <w:szCs w:val="24"/>
        </w:rPr>
        <w:t xml:space="preserve"> NA, </w:t>
      </w:r>
      <w:hyperlink r:id="rId60" w:history="1">
        <w:r w:rsidRPr="0002415B">
          <w:rPr>
            <w:color w:val="000000"/>
            <w:sz w:val="24"/>
            <w:szCs w:val="24"/>
          </w:rPr>
          <w:t>Shah</w:t>
        </w:r>
      </w:hyperlink>
      <w:r w:rsidRPr="0002415B">
        <w:rPr>
          <w:color w:val="000000"/>
          <w:sz w:val="24"/>
          <w:szCs w:val="24"/>
        </w:rPr>
        <w:t xml:space="preserve"> ZA, </w:t>
      </w:r>
      <w:hyperlink r:id="rId61" w:history="1">
        <w:r w:rsidRPr="0002415B">
          <w:rPr>
            <w:color w:val="000000"/>
            <w:sz w:val="24"/>
            <w:szCs w:val="24"/>
          </w:rPr>
          <w:t>Pandith</w:t>
        </w:r>
      </w:hyperlink>
      <w:r w:rsidRPr="0002415B">
        <w:rPr>
          <w:color w:val="000000"/>
          <w:sz w:val="24"/>
          <w:szCs w:val="24"/>
        </w:rPr>
        <w:t xml:space="preserve"> AA, </w:t>
      </w:r>
      <w:hyperlink r:id="rId62" w:history="1">
        <w:r w:rsidRPr="0002415B">
          <w:rPr>
            <w:color w:val="000000"/>
            <w:sz w:val="24"/>
            <w:szCs w:val="24"/>
          </w:rPr>
          <w:t>Rasool</w:t>
        </w:r>
      </w:hyperlink>
      <w:r w:rsidRPr="0002415B">
        <w:rPr>
          <w:color w:val="000000"/>
          <w:sz w:val="24"/>
          <w:szCs w:val="24"/>
        </w:rPr>
        <w:t xml:space="preserve"> R, </w:t>
      </w:r>
      <w:hyperlink r:id="rId63" w:history="1">
        <w:r w:rsidRPr="0002415B">
          <w:rPr>
            <w:color w:val="000000"/>
            <w:sz w:val="24"/>
            <w:szCs w:val="24"/>
          </w:rPr>
          <w:t>Jeelani</w:t>
        </w:r>
      </w:hyperlink>
      <w:r w:rsidRPr="0002415B">
        <w:rPr>
          <w:color w:val="000000"/>
          <w:sz w:val="24"/>
          <w:szCs w:val="24"/>
        </w:rPr>
        <w:t xml:space="preserve"> S. Real-time quantitative PCR: A reliable molecular diagnostic and follow-up tool for ‘minimal residual disease’ assessment in chronic myeloid leukemia. </w:t>
      </w:r>
      <w:r w:rsidRPr="0002415B">
        <w:rPr>
          <w:i/>
          <w:iCs/>
          <w:color w:val="000000"/>
          <w:sz w:val="24"/>
          <w:szCs w:val="24"/>
        </w:rPr>
        <w:t>B</w:t>
      </w:r>
      <w:hyperlink r:id="rId64" w:history="1">
        <w:r w:rsidRPr="0002415B">
          <w:rPr>
            <w:i/>
            <w:iCs/>
            <w:color w:val="000000"/>
            <w:sz w:val="24"/>
            <w:szCs w:val="24"/>
          </w:rPr>
          <w:t>iosci. Rep.</w:t>
        </w:r>
      </w:hyperlink>
      <w:r w:rsidRPr="0002415B">
        <w:rPr>
          <w:color w:val="000000"/>
          <w:sz w:val="24"/>
          <w:szCs w:val="24"/>
        </w:rPr>
        <w:t> 2018;38(5):BSR20180974. doi: </w:t>
      </w:r>
      <w:hyperlink r:id="rId65" w:tgtFrame="_blank" w:history="1">
        <w:r w:rsidRPr="0002415B">
          <w:rPr>
            <w:color w:val="000000"/>
            <w:sz w:val="24"/>
            <w:szCs w:val="24"/>
          </w:rPr>
          <w:t>10.1042/BSR20180974</w:t>
        </w:r>
      </w:hyperlink>
    </w:p>
    <w:p w14:paraId="0482FCB6"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16] </w:t>
      </w:r>
      <w:hyperlink r:id="rId66" w:history="1">
        <w:r w:rsidRPr="0002415B">
          <w:rPr>
            <w:color w:val="000000"/>
            <w:sz w:val="24"/>
            <w:szCs w:val="24"/>
          </w:rPr>
          <w:t>Yu</w:t>
        </w:r>
      </w:hyperlink>
      <w:r w:rsidRPr="0002415B">
        <w:rPr>
          <w:color w:val="000000"/>
          <w:sz w:val="24"/>
          <w:szCs w:val="24"/>
        </w:rPr>
        <w:t xml:space="preserve"> CH, </w:t>
      </w:r>
      <w:hyperlink r:id="rId67" w:history="1">
        <w:r w:rsidRPr="0002415B">
          <w:rPr>
            <w:color w:val="000000"/>
            <w:sz w:val="24"/>
            <w:szCs w:val="24"/>
          </w:rPr>
          <w:t>Chang</w:t>
        </w:r>
      </w:hyperlink>
      <w:r w:rsidRPr="0002415B">
        <w:rPr>
          <w:color w:val="000000"/>
          <w:sz w:val="24"/>
          <w:szCs w:val="24"/>
        </w:rPr>
        <w:t xml:space="preserve"> YH, </w:t>
      </w:r>
      <w:hyperlink r:id="rId68" w:history="1">
        <w:r w:rsidRPr="0002415B">
          <w:rPr>
            <w:color w:val="000000"/>
            <w:sz w:val="24"/>
            <w:szCs w:val="24"/>
          </w:rPr>
          <w:t>Wang</w:t>
        </w:r>
      </w:hyperlink>
      <w:r w:rsidRPr="0002415B">
        <w:rPr>
          <w:color w:val="000000"/>
          <w:sz w:val="24"/>
          <w:szCs w:val="24"/>
        </w:rPr>
        <w:t xml:space="preserve"> DS, </w:t>
      </w:r>
      <w:hyperlink r:id="rId69" w:history="1">
        <w:r w:rsidRPr="0002415B">
          <w:rPr>
            <w:color w:val="000000"/>
            <w:sz w:val="24"/>
            <w:szCs w:val="24"/>
          </w:rPr>
          <w:t>Jou</w:t>
        </w:r>
      </w:hyperlink>
      <w:r w:rsidRPr="0002415B">
        <w:rPr>
          <w:color w:val="000000"/>
          <w:sz w:val="24"/>
          <w:szCs w:val="24"/>
        </w:rPr>
        <w:t xml:space="preserve"> ST, </w:t>
      </w:r>
      <w:hyperlink r:id="rId70" w:history="1">
        <w:r w:rsidRPr="0002415B">
          <w:rPr>
            <w:color w:val="000000"/>
            <w:sz w:val="24"/>
            <w:szCs w:val="24"/>
          </w:rPr>
          <w:t>Lin</w:t>
        </w:r>
      </w:hyperlink>
      <w:r w:rsidRPr="0002415B">
        <w:rPr>
          <w:color w:val="000000"/>
          <w:sz w:val="24"/>
          <w:szCs w:val="24"/>
        </w:rPr>
        <w:t xml:space="preserve"> CY, </w:t>
      </w:r>
      <w:hyperlink r:id="rId71" w:history="1">
        <w:r w:rsidRPr="0002415B">
          <w:rPr>
            <w:color w:val="000000"/>
            <w:sz w:val="24"/>
            <w:szCs w:val="24"/>
          </w:rPr>
          <w:t>Lin</w:t>
        </w:r>
      </w:hyperlink>
      <w:r w:rsidRPr="0002415B">
        <w:rPr>
          <w:color w:val="000000"/>
          <w:sz w:val="24"/>
          <w:szCs w:val="24"/>
        </w:rPr>
        <w:t xml:space="preserve"> KH, </w:t>
      </w:r>
      <w:hyperlink r:id="rId72" w:history="1">
        <w:r w:rsidRPr="0002415B">
          <w:rPr>
            <w:color w:val="000000"/>
            <w:sz w:val="24"/>
            <w:szCs w:val="24"/>
          </w:rPr>
          <w:t>Lu</w:t>
        </w:r>
      </w:hyperlink>
      <w:r w:rsidRPr="0002415B">
        <w:rPr>
          <w:color w:val="000000"/>
          <w:sz w:val="24"/>
          <w:szCs w:val="24"/>
        </w:rPr>
        <w:t xml:space="preserve"> MY, </w:t>
      </w:r>
      <w:hyperlink r:id="rId73" w:history="1">
        <w:r w:rsidRPr="0002415B">
          <w:rPr>
            <w:color w:val="000000"/>
            <w:sz w:val="24"/>
            <w:szCs w:val="24"/>
          </w:rPr>
          <w:t>Wu</w:t>
        </w:r>
      </w:hyperlink>
      <w:r w:rsidRPr="0002415B">
        <w:rPr>
          <w:color w:val="000000"/>
          <w:sz w:val="24"/>
          <w:szCs w:val="24"/>
        </w:rPr>
        <w:t xml:space="preserve"> KH, </w:t>
      </w:r>
      <w:hyperlink r:id="rId74" w:history="1">
        <w:r w:rsidRPr="0002415B">
          <w:rPr>
            <w:color w:val="000000"/>
            <w:sz w:val="24"/>
            <w:szCs w:val="24"/>
          </w:rPr>
          <w:t>Cheng</w:t>
        </w:r>
      </w:hyperlink>
      <w:r w:rsidRPr="0002415B">
        <w:rPr>
          <w:color w:val="000000"/>
          <w:sz w:val="24"/>
          <w:szCs w:val="24"/>
        </w:rPr>
        <w:t xml:space="preserve"> CN, </w:t>
      </w:r>
      <w:hyperlink r:id="rId75" w:history="1">
        <w:r w:rsidRPr="0002415B">
          <w:rPr>
            <w:color w:val="000000"/>
            <w:sz w:val="24"/>
            <w:szCs w:val="24"/>
          </w:rPr>
          <w:t>Chang</w:t>
        </w:r>
      </w:hyperlink>
      <w:r w:rsidRPr="0002415B">
        <w:rPr>
          <w:color w:val="000000"/>
          <w:sz w:val="24"/>
          <w:szCs w:val="24"/>
        </w:rPr>
        <w:t xml:space="preserve"> HH, </w:t>
      </w:r>
      <w:hyperlink r:id="rId76" w:history="1">
        <w:r w:rsidRPr="0002415B">
          <w:rPr>
            <w:color w:val="000000"/>
            <w:sz w:val="24"/>
            <w:szCs w:val="24"/>
          </w:rPr>
          <w:t>Chou</w:t>
        </w:r>
      </w:hyperlink>
      <w:r w:rsidRPr="0002415B">
        <w:rPr>
          <w:color w:val="000000"/>
          <w:sz w:val="24"/>
          <w:szCs w:val="24"/>
        </w:rPr>
        <w:t xml:space="preserve"> SW, </w:t>
      </w:r>
      <w:hyperlink r:id="rId77" w:history="1">
        <w:r w:rsidRPr="0002415B">
          <w:rPr>
            <w:color w:val="000000"/>
            <w:sz w:val="24"/>
            <w:szCs w:val="24"/>
          </w:rPr>
          <w:t>Su</w:t>
        </w:r>
      </w:hyperlink>
      <w:r w:rsidRPr="0002415B">
        <w:rPr>
          <w:color w:val="000000"/>
          <w:sz w:val="24"/>
          <w:szCs w:val="24"/>
        </w:rPr>
        <w:t xml:space="preserve"> MY, </w:t>
      </w:r>
      <w:hyperlink r:id="rId78" w:history="1">
        <w:r w:rsidRPr="0002415B">
          <w:rPr>
            <w:color w:val="000000"/>
            <w:sz w:val="24"/>
            <w:szCs w:val="24"/>
          </w:rPr>
          <w:t>Ni</w:t>
        </w:r>
      </w:hyperlink>
      <w:r w:rsidRPr="0002415B">
        <w:rPr>
          <w:color w:val="000000"/>
          <w:sz w:val="24"/>
          <w:szCs w:val="24"/>
        </w:rPr>
        <w:t xml:space="preserve"> YL, </w:t>
      </w:r>
      <w:hyperlink r:id="rId79" w:history="1">
        <w:r w:rsidRPr="0002415B">
          <w:rPr>
            <w:color w:val="000000"/>
            <w:sz w:val="24"/>
            <w:szCs w:val="24"/>
          </w:rPr>
          <w:t>Xu</w:t>
        </w:r>
      </w:hyperlink>
      <w:r w:rsidRPr="0002415B">
        <w:rPr>
          <w:color w:val="000000"/>
          <w:sz w:val="24"/>
          <w:szCs w:val="24"/>
        </w:rPr>
        <w:t xml:space="preserve"> PY, </w:t>
      </w:r>
      <w:hyperlink r:id="rId80" w:history="1">
        <w:r w:rsidRPr="0002415B">
          <w:rPr>
            <w:color w:val="000000"/>
            <w:sz w:val="24"/>
            <w:szCs w:val="24"/>
          </w:rPr>
          <w:t>Lin</w:t>
        </w:r>
      </w:hyperlink>
      <w:r w:rsidRPr="0002415B">
        <w:rPr>
          <w:color w:val="000000"/>
          <w:sz w:val="24"/>
          <w:szCs w:val="24"/>
        </w:rPr>
        <w:t xml:space="preserve"> DT, </w:t>
      </w:r>
      <w:hyperlink r:id="rId81" w:history="1">
        <w:r w:rsidRPr="0002415B">
          <w:rPr>
            <w:color w:val="000000"/>
            <w:sz w:val="24"/>
            <w:szCs w:val="24"/>
          </w:rPr>
          <w:t>Lin</w:t>
        </w:r>
      </w:hyperlink>
      <w:r w:rsidRPr="0002415B">
        <w:rPr>
          <w:color w:val="000000"/>
          <w:sz w:val="24"/>
          <w:szCs w:val="24"/>
        </w:rPr>
        <w:t xml:space="preserve"> SW, </w:t>
      </w:r>
      <w:hyperlink r:id="rId82" w:history="1">
        <w:r w:rsidRPr="0002415B">
          <w:rPr>
            <w:color w:val="000000"/>
            <w:sz w:val="24"/>
            <w:szCs w:val="24"/>
          </w:rPr>
          <w:t>Chen</w:t>
        </w:r>
      </w:hyperlink>
      <w:r w:rsidRPr="0002415B">
        <w:rPr>
          <w:color w:val="000000"/>
          <w:sz w:val="24"/>
          <w:szCs w:val="24"/>
        </w:rPr>
        <w:t xml:space="preserve"> HY, </w:t>
      </w:r>
      <w:hyperlink r:id="rId83" w:history="1">
        <w:r w:rsidRPr="0002415B">
          <w:rPr>
            <w:color w:val="000000"/>
            <w:sz w:val="24"/>
            <w:szCs w:val="24"/>
          </w:rPr>
          <w:t>Yang</w:t>
        </w:r>
      </w:hyperlink>
      <w:r w:rsidRPr="0002415B">
        <w:rPr>
          <w:color w:val="000000"/>
          <w:sz w:val="24"/>
          <w:szCs w:val="24"/>
        </w:rPr>
        <w:t xml:space="preserve"> YL. Allele-specific polymerase chain reaction can determine the diplotype of NUDT15variants in patients with childhood acute lymphoblastic</w:t>
      </w:r>
      <w:r w:rsidRPr="0002415B">
        <w:rPr>
          <w:rFonts w:hint="eastAsia"/>
          <w:color w:val="000000"/>
          <w:sz w:val="24"/>
          <w:szCs w:val="24"/>
        </w:rPr>
        <w:t xml:space="preserve"> </w:t>
      </w:r>
      <w:r w:rsidRPr="0002415B">
        <w:rPr>
          <w:color w:val="000000"/>
          <w:sz w:val="24"/>
          <w:szCs w:val="24"/>
        </w:rPr>
        <w:t>l</w:t>
      </w:r>
      <w:r w:rsidRPr="0002415B">
        <w:rPr>
          <w:rFonts w:hint="eastAsia"/>
          <w:color w:val="000000"/>
          <w:sz w:val="24"/>
          <w:szCs w:val="24"/>
        </w:rPr>
        <w:t>eukemia.</w:t>
      </w:r>
      <w:r w:rsidRPr="0002415B">
        <w:rPr>
          <w:color w:val="000000"/>
          <w:sz w:val="24"/>
          <w:szCs w:val="24"/>
        </w:rPr>
        <w:t xml:space="preserve"> </w:t>
      </w:r>
      <w:r w:rsidRPr="0002415B">
        <w:rPr>
          <w:rFonts w:ascii="Times New Roman Italic" w:hAnsi="Times New Roman Italic" w:cs="Times New Roman Italic"/>
          <w:i/>
          <w:iCs/>
          <w:color w:val="000000"/>
          <w:sz w:val="24"/>
          <w:szCs w:val="24"/>
        </w:rPr>
        <w:t xml:space="preserve">Sci. </w:t>
      </w:r>
      <w:r w:rsidRPr="0002415B">
        <w:rPr>
          <w:rFonts w:ascii="Times New Roman Italic" w:hAnsi="Times New Roman Italic" w:cs="Times New Roman Italic" w:hint="eastAsia"/>
          <w:i/>
          <w:iCs/>
          <w:color w:val="000000"/>
          <w:sz w:val="24"/>
          <w:szCs w:val="24"/>
        </w:rPr>
        <w:t>Rep.</w:t>
      </w:r>
      <w:r w:rsidRPr="0002415B">
        <w:rPr>
          <w:color w:val="000000"/>
          <w:sz w:val="24"/>
          <w:szCs w:val="24"/>
        </w:rPr>
        <w:t xml:space="preserve"> 2023;13:490. doi: 10.1038/s41598-023-27720-2 </w:t>
      </w:r>
    </w:p>
    <w:p w14:paraId="30257F4D"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17] </w:t>
      </w:r>
      <w:hyperlink r:id="rId84" w:history="1">
        <w:r w:rsidRPr="0002415B">
          <w:rPr>
            <w:color w:val="000000"/>
            <w:sz w:val="24"/>
            <w:szCs w:val="24"/>
          </w:rPr>
          <w:t>Pinheiro</w:t>
        </w:r>
      </w:hyperlink>
      <w:r w:rsidRPr="0002415B">
        <w:rPr>
          <w:color w:val="000000"/>
          <w:sz w:val="24"/>
          <w:szCs w:val="24"/>
        </w:rPr>
        <w:t xml:space="preserve"> LB, </w:t>
      </w:r>
      <w:hyperlink r:id="rId85" w:history="1">
        <w:r w:rsidRPr="0002415B">
          <w:rPr>
            <w:color w:val="000000"/>
            <w:sz w:val="24"/>
            <w:szCs w:val="24"/>
          </w:rPr>
          <w:t>Coleman</w:t>
        </w:r>
      </w:hyperlink>
      <w:r w:rsidRPr="0002415B">
        <w:rPr>
          <w:color w:val="000000"/>
          <w:sz w:val="24"/>
          <w:szCs w:val="24"/>
        </w:rPr>
        <w:t xml:space="preserve"> VA, </w:t>
      </w:r>
      <w:hyperlink r:id="rId86" w:history="1">
        <w:r w:rsidRPr="0002415B">
          <w:rPr>
            <w:color w:val="000000"/>
            <w:sz w:val="24"/>
            <w:szCs w:val="24"/>
          </w:rPr>
          <w:t>Hindson</w:t>
        </w:r>
      </w:hyperlink>
      <w:r w:rsidRPr="0002415B">
        <w:rPr>
          <w:color w:val="000000"/>
          <w:sz w:val="24"/>
          <w:szCs w:val="24"/>
        </w:rPr>
        <w:t xml:space="preserve"> CM, </w:t>
      </w:r>
      <w:hyperlink r:id="rId87" w:history="1">
        <w:r w:rsidRPr="0002415B">
          <w:rPr>
            <w:color w:val="000000"/>
            <w:sz w:val="24"/>
            <w:szCs w:val="24"/>
          </w:rPr>
          <w:t>Herrmann</w:t>
        </w:r>
      </w:hyperlink>
      <w:r w:rsidRPr="0002415B">
        <w:rPr>
          <w:color w:val="000000"/>
          <w:sz w:val="24"/>
          <w:szCs w:val="24"/>
        </w:rPr>
        <w:t xml:space="preserve"> J, </w:t>
      </w:r>
      <w:hyperlink r:id="rId88" w:history="1">
        <w:r w:rsidRPr="0002415B">
          <w:rPr>
            <w:color w:val="000000"/>
            <w:sz w:val="24"/>
            <w:szCs w:val="24"/>
          </w:rPr>
          <w:t>Hindson</w:t>
        </w:r>
      </w:hyperlink>
      <w:r w:rsidRPr="0002415B">
        <w:rPr>
          <w:color w:val="000000"/>
          <w:sz w:val="24"/>
          <w:szCs w:val="24"/>
        </w:rPr>
        <w:t xml:space="preserve"> BJ, </w:t>
      </w:r>
      <w:hyperlink r:id="rId89" w:history="1">
        <w:r w:rsidRPr="0002415B">
          <w:rPr>
            <w:color w:val="000000"/>
            <w:sz w:val="24"/>
            <w:szCs w:val="24"/>
          </w:rPr>
          <w:t>Bhat</w:t>
        </w:r>
      </w:hyperlink>
      <w:r w:rsidRPr="0002415B">
        <w:rPr>
          <w:color w:val="000000"/>
          <w:sz w:val="24"/>
          <w:szCs w:val="24"/>
        </w:rPr>
        <w:t xml:space="preserve"> S, </w:t>
      </w:r>
      <w:hyperlink r:id="rId90" w:history="1">
        <w:r w:rsidRPr="0002415B">
          <w:rPr>
            <w:color w:val="000000"/>
            <w:sz w:val="24"/>
            <w:szCs w:val="24"/>
          </w:rPr>
          <w:t>Emslie</w:t>
        </w:r>
      </w:hyperlink>
      <w:r w:rsidRPr="0002415B">
        <w:rPr>
          <w:color w:val="000000"/>
          <w:sz w:val="24"/>
          <w:szCs w:val="24"/>
        </w:rPr>
        <w:t xml:space="preserve"> KR. Evaluation of a droplet digital polymerase chain reaction format </w:t>
      </w:r>
      <w:r w:rsidRPr="0002415B">
        <w:rPr>
          <w:color w:val="000000"/>
          <w:sz w:val="24"/>
          <w:szCs w:val="24"/>
        </w:rPr>
        <w:lastRenderedPageBreak/>
        <w:t>for DNA copy number quantification.</w:t>
      </w:r>
      <w:r w:rsidRPr="0002415B">
        <w:rPr>
          <w:i/>
          <w:iCs/>
          <w:color w:val="000000"/>
          <w:sz w:val="24"/>
          <w:szCs w:val="24"/>
        </w:rPr>
        <w:t xml:space="preserve"> Anal. Chem. </w:t>
      </w:r>
      <w:r w:rsidRPr="0002415B">
        <w:rPr>
          <w:color w:val="000000"/>
          <w:sz w:val="24"/>
          <w:szCs w:val="24"/>
        </w:rPr>
        <w:t xml:space="preserve">2012;84(2):1003-1011. </w:t>
      </w:r>
      <w:hyperlink r:id="rId91" w:history="1">
        <w:r w:rsidRPr="0002415B">
          <w:rPr>
            <w:color w:val="000000"/>
            <w:sz w:val="24"/>
            <w:szCs w:val="24"/>
          </w:rPr>
          <w:t>doi: 10.1021/ac202578x</w:t>
        </w:r>
      </w:hyperlink>
    </w:p>
    <w:p w14:paraId="299174C1"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18] </w:t>
      </w:r>
      <w:hyperlink r:id="rId92" w:history="1">
        <w:r w:rsidRPr="0002415B">
          <w:rPr>
            <w:color w:val="000000"/>
            <w:sz w:val="24"/>
            <w:szCs w:val="24"/>
          </w:rPr>
          <w:t>Song</w:t>
        </w:r>
      </w:hyperlink>
      <w:r w:rsidRPr="0002415B">
        <w:rPr>
          <w:color w:val="000000"/>
          <w:sz w:val="24"/>
          <w:szCs w:val="24"/>
        </w:rPr>
        <w:t xml:space="preserve"> JY, </w:t>
      </w:r>
      <w:hyperlink r:id="rId93" w:history="1">
        <w:r w:rsidRPr="0002415B">
          <w:rPr>
            <w:color w:val="000000"/>
            <w:sz w:val="24"/>
            <w:szCs w:val="24"/>
          </w:rPr>
          <w:t>Filie</w:t>
        </w:r>
      </w:hyperlink>
      <w:r w:rsidRPr="0002415B">
        <w:rPr>
          <w:color w:val="000000"/>
          <w:sz w:val="24"/>
          <w:szCs w:val="24"/>
        </w:rPr>
        <w:t xml:space="preserve"> AC, </w:t>
      </w:r>
      <w:hyperlink r:id="rId94" w:history="1">
        <w:r w:rsidRPr="0002415B">
          <w:rPr>
            <w:color w:val="000000"/>
            <w:sz w:val="24"/>
            <w:szCs w:val="24"/>
          </w:rPr>
          <w:t>Venzon</w:t>
        </w:r>
      </w:hyperlink>
      <w:r w:rsidRPr="0002415B">
        <w:rPr>
          <w:color w:val="000000"/>
          <w:sz w:val="24"/>
          <w:szCs w:val="24"/>
        </w:rPr>
        <w:t xml:space="preserve"> D, </w:t>
      </w:r>
      <w:hyperlink r:id="rId95" w:history="1">
        <w:r w:rsidRPr="0002415B">
          <w:rPr>
            <w:color w:val="000000"/>
            <w:sz w:val="24"/>
            <w:szCs w:val="24"/>
          </w:rPr>
          <w:t>Stetler-Stevenson</w:t>
        </w:r>
      </w:hyperlink>
      <w:r w:rsidRPr="0002415B">
        <w:rPr>
          <w:color w:val="000000"/>
          <w:sz w:val="24"/>
          <w:szCs w:val="24"/>
        </w:rPr>
        <w:t xml:space="preserve"> M, </w:t>
      </w:r>
      <w:hyperlink r:id="rId96" w:history="1">
        <w:r w:rsidRPr="0002415B">
          <w:rPr>
            <w:color w:val="000000"/>
            <w:sz w:val="24"/>
            <w:szCs w:val="24"/>
          </w:rPr>
          <w:t>Yuan</w:t>
        </w:r>
      </w:hyperlink>
      <w:r w:rsidRPr="0002415B">
        <w:rPr>
          <w:color w:val="000000"/>
          <w:sz w:val="24"/>
          <w:szCs w:val="24"/>
        </w:rPr>
        <w:t xml:space="preserve"> CM. Flow </w:t>
      </w:r>
      <w:r w:rsidRPr="0002415B">
        <w:rPr>
          <w:rFonts w:hint="eastAsia"/>
          <w:color w:val="000000"/>
          <w:sz w:val="24"/>
          <w:szCs w:val="24"/>
          <w:lang w:eastAsia="zh-Hans"/>
        </w:rPr>
        <w:t>c</w:t>
      </w:r>
      <w:r w:rsidRPr="0002415B">
        <w:rPr>
          <w:color w:val="000000"/>
          <w:sz w:val="24"/>
          <w:szCs w:val="24"/>
        </w:rPr>
        <w:t xml:space="preserve">ytometry </w:t>
      </w:r>
      <w:r w:rsidRPr="0002415B">
        <w:rPr>
          <w:rFonts w:hint="eastAsia"/>
          <w:color w:val="000000"/>
          <w:sz w:val="24"/>
          <w:szCs w:val="24"/>
          <w:lang w:eastAsia="zh-Hans"/>
        </w:rPr>
        <w:t>i</w:t>
      </w:r>
      <w:r w:rsidRPr="0002415B">
        <w:rPr>
          <w:color w:val="000000"/>
          <w:sz w:val="24"/>
          <w:szCs w:val="24"/>
        </w:rPr>
        <w:t xml:space="preserve">ncreases the sensitivity of detection of leukemia and lymphoma cells in bronchoalveolar lavage specimens. </w:t>
      </w:r>
      <w:hyperlink r:id="rId97" w:tgtFrame="_blank" w:history="1">
        <w:r w:rsidRPr="0002415B">
          <w:rPr>
            <w:i/>
            <w:iCs/>
            <w:color w:val="000000"/>
            <w:sz w:val="24"/>
            <w:szCs w:val="24"/>
          </w:rPr>
          <w:t>Cytometry B Clin. Cytom.</w:t>
        </w:r>
        <w:r w:rsidRPr="0002415B">
          <w:rPr>
            <w:color w:val="000000"/>
            <w:sz w:val="24"/>
            <w:szCs w:val="24"/>
          </w:rPr>
          <w:t xml:space="preserve"> 2012;82(5):305-312.</w:t>
        </w:r>
      </w:hyperlink>
      <w:r w:rsidRPr="0002415B">
        <w:rPr>
          <w:color w:val="000000"/>
          <w:sz w:val="24"/>
          <w:szCs w:val="24"/>
        </w:rPr>
        <w:t xml:space="preserve"> doi: </w:t>
      </w:r>
      <w:hyperlink r:id="rId98" w:tgtFrame="_blank" w:history="1">
        <w:r w:rsidRPr="0002415B">
          <w:rPr>
            <w:color w:val="000000"/>
            <w:sz w:val="24"/>
            <w:szCs w:val="24"/>
          </w:rPr>
          <w:t>10.1002/cyto.b.21033</w:t>
        </w:r>
      </w:hyperlink>
    </w:p>
    <w:p w14:paraId="4C38EA67"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19] </w:t>
      </w:r>
      <w:hyperlink r:id="rId99" w:history="1">
        <w:r w:rsidRPr="0002415B">
          <w:rPr>
            <w:color w:val="000000"/>
            <w:sz w:val="24"/>
            <w:szCs w:val="24"/>
          </w:rPr>
          <w:t>Shah</w:t>
        </w:r>
      </w:hyperlink>
      <w:r w:rsidRPr="0002415B">
        <w:rPr>
          <w:color w:val="000000"/>
          <w:sz w:val="24"/>
          <w:szCs w:val="24"/>
        </w:rPr>
        <w:t xml:space="preserve"> MV, </w:t>
      </w:r>
      <w:hyperlink r:id="rId100" w:history="1">
        <w:r w:rsidRPr="0002415B">
          <w:rPr>
            <w:color w:val="000000"/>
            <w:sz w:val="24"/>
            <w:szCs w:val="24"/>
          </w:rPr>
          <w:t>Jorgensen</w:t>
        </w:r>
      </w:hyperlink>
      <w:r w:rsidRPr="0002415B">
        <w:rPr>
          <w:color w:val="000000"/>
          <w:sz w:val="24"/>
          <w:szCs w:val="24"/>
        </w:rPr>
        <w:t xml:space="preserve"> JL, </w:t>
      </w:r>
      <w:hyperlink r:id="rId101" w:history="1">
        <w:r w:rsidRPr="0002415B">
          <w:rPr>
            <w:color w:val="000000"/>
            <w:sz w:val="24"/>
            <w:szCs w:val="24"/>
          </w:rPr>
          <w:t>Saliba</w:t>
        </w:r>
      </w:hyperlink>
      <w:r w:rsidRPr="0002415B">
        <w:rPr>
          <w:color w:val="000000"/>
          <w:sz w:val="24"/>
          <w:szCs w:val="24"/>
        </w:rPr>
        <w:t xml:space="preserve"> RM, </w:t>
      </w:r>
      <w:hyperlink r:id="rId102" w:history="1">
        <w:r w:rsidRPr="0002415B">
          <w:rPr>
            <w:color w:val="000000"/>
            <w:sz w:val="24"/>
            <w:szCs w:val="24"/>
          </w:rPr>
          <w:t>Wang</w:t>
        </w:r>
      </w:hyperlink>
      <w:r w:rsidRPr="0002415B">
        <w:rPr>
          <w:color w:val="000000"/>
          <w:sz w:val="24"/>
          <w:szCs w:val="24"/>
        </w:rPr>
        <w:t xml:space="preserve"> SA, </w:t>
      </w:r>
      <w:hyperlink r:id="rId103" w:history="1">
        <w:r w:rsidRPr="0002415B">
          <w:rPr>
            <w:color w:val="000000"/>
            <w:sz w:val="24"/>
            <w:szCs w:val="24"/>
          </w:rPr>
          <w:t>Alousi</w:t>
        </w:r>
      </w:hyperlink>
      <w:r w:rsidRPr="0002415B">
        <w:rPr>
          <w:color w:val="000000"/>
          <w:sz w:val="24"/>
          <w:szCs w:val="24"/>
        </w:rPr>
        <w:t xml:space="preserve"> AM, </w:t>
      </w:r>
      <w:hyperlink r:id="rId104" w:history="1">
        <w:r w:rsidRPr="0002415B">
          <w:rPr>
            <w:color w:val="000000"/>
            <w:sz w:val="24"/>
            <w:szCs w:val="24"/>
          </w:rPr>
          <w:t>Andersson</w:t>
        </w:r>
      </w:hyperlink>
      <w:r w:rsidRPr="0002415B">
        <w:rPr>
          <w:color w:val="000000"/>
          <w:sz w:val="24"/>
          <w:szCs w:val="24"/>
        </w:rPr>
        <w:t xml:space="preserve"> BS, </w:t>
      </w:r>
      <w:hyperlink r:id="rId105" w:history="1">
        <w:r w:rsidRPr="0002415B">
          <w:rPr>
            <w:color w:val="000000"/>
            <w:sz w:val="24"/>
            <w:szCs w:val="24"/>
          </w:rPr>
          <w:t>Bashir</w:t>
        </w:r>
      </w:hyperlink>
      <w:r w:rsidRPr="0002415B">
        <w:rPr>
          <w:color w:val="000000"/>
          <w:sz w:val="24"/>
          <w:szCs w:val="24"/>
        </w:rPr>
        <w:t xml:space="preserve"> Q, </w:t>
      </w:r>
      <w:hyperlink r:id="rId106" w:history="1">
        <w:r w:rsidRPr="0002415B">
          <w:rPr>
            <w:color w:val="000000"/>
            <w:sz w:val="24"/>
            <w:szCs w:val="24"/>
          </w:rPr>
          <w:t>Ciurea</w:t>
        </w:r>
      </w:hyperlink>
      <w:r w:rsidRPr="0002415B">
        <w:rPr>
          <w:color w:val="000000"/>
          <w:sz w:val="24"/>
          <w:szCs w:val="24"/>
        </w:rPr>
        <w:t xml:space="preserve"> SO, </w:t>
      </w:r>
      <w:hyperlink r:id="rId107" w:history="1">
        <w:r w:rsidRPr="0002415B">
          <w:rPr>
            <w:color w:val="000000"/>
            <w:sz w:val="24"/>
            <w:szCs w:val="24"/>
          </w:rPr>
          <w:t>Kebriaei</w:t>
        </w:r>
      </w:hyperlink>
      <w:r w:rsidRPr="0002415B">
        <w:rPr>
          <w:color w:val="000000"/>
          <w:sz w:val="24"/>
          <w:szCs w:val="24"/>
        </w:rPr>
        <w:t xml:space="preserve"> P, </w:t>
      </w:r>
      <w:hyperlink r:id="rId108" w:history="1">
        <w:r w:rsidRPr="0002415B">
          <w:rPr>
            <w:color w:val="000000"/>
            <w:sz w:val="24"/>
            <w:szCs w:val="24"/>
          </w:rPr>
          <w:t>Marin</w:t>
        </w:r>
      </w:hyperlink>
      <w:r w:rsidRPr="0002415B">
        <w:rPr>
          <w:color w:val="000000"/>
          <w:sz w:val="24"/>
          <w:szCs w:val="24"/>
        </w:rPr>
        <w:t xml:space="preserve"> D, </w:t>
      </w:r>
      <w:hyperlink r:id="rId109" w:history="1">
        <w:r w:rsidRPr="0002415B">
          <w:rPr>
            <w:color w:val="000000"/>
            <w:sz w:val="24"/>
            <w:szCs w:val="24"/>
          </w:rPr>
          <w:t>Patel</w:t>
        </w:r>
      </w:hyperlink>
      <w:r w:rsidRPr="0002415B">
        <w:rPr>
          <w:color w:val="000000"/>
          <w:sz w:val="24"/>
          <w:szCs w:val="24"/>
        </w:rPr>
        <w:t xml:space="preserve"> KP, </w:t>
      </w:r>
      <w:hyperlink r:id="rId110" w:history="1">
        <w:r w:rsidRPr="0002415B">
          <w:rPr>
            <w:color w:val="000000"/>
            <w:sz w:val="24"/>
            <w:szCs w:val="24"/>
          </w:rPr>
          <w:t>Popat</w:t>
        </w:r>
      </w:hyperlink>
      <w:r w:rsidRPr="0002415B">
        <w:rPr>
          <w:color w:val="000000"/>
          <w:sz w:val="24"/>
          <w:szCs w:val="24"/>
        </w:rPr>
        <w:t xml:space="preserve"> UR, </w:t>
      </w:r>
      <w:hyperlink r:id="rId111" w:history="1">
        <w:r w:rsidRPr="0002415B">
          <w:rPr>
            <w:color w:val="000000"/>
            <w:sz w:val="24"/>
            <w:szCs w:val="24"/>
          </w:rPr>
          <w:t>Rezvani</w:t>
        </w:r>
      </w:hyperlink>
      <w:r w:rsidRPr="0002415B">
        <w:rPr>
          <w:color w:val="000000"/>
          <w:sz w:val="24"/>
          <w:szCs w:val="24"/>
        </w:rPr>
        <w:t xml:space="preserve"> K, </w:t>
      </w:r>
      <w:hyperlink r:id="rId112" w:history="1">
        <w:r w:rsidRPr="0002415B">
          <w:rPr>
            <w:color w:val="000000"/>
            <w:sz w:val="24"/>
            <w:szCs w:val="24"/>
          </w:rPr>
          <w:t>Rondon</w:t>
        </w:r>
      </w:hyperlink>
      <w:r w:rsidRPr="0002415B">
        <w:rPr>
          <w:color w:val="000000"/>
          <w:sz w:val="24"/>
          <w:szCs w:val="24"/>
        </w:rPr>
        <w:t xml:space="preserve"> G, </w:t>
      </w:r>
      <w:hyperlink r:id="rId113" w:history="1">
        <w:r w:rsidRPr="0002415B">
          <w:rPr>
            <w:color w:val="000000"/>
            <w:sz w:val="24"/>
            <w:szCs w:val="24"/>
          </w:rPr>
          <w:t>Shpall</w:t>
        </w:r>
      </w:hyperlink>
      <w:r w:rsidRPr="0002415B">
        <w:rPr>
          <w:color w:val="000000"/>
          <w:sz w:val="24"/>
          <w:szCs w:val="24"/>
        </w:rPr>
        <w:t xml:space="preserve"> EJ, </w:t>
      </w:r>
      <w:hyperlink r:id="rId114" w:history="1">
        <w:r w:rsidRPr="0002415B">
          <w:rPr>
            <w:color w:val="000000"/>
            <w:sz w:val="24"/>
            <w:szCs w:val="24"/>
          </w:rPr>
          <w:t>Champlin</w:t>
        </w:r>
      </w:hyperlink>
      <w:r w:rsidRPr="0002415B">
        <w:rPr>
          <w:color w:val="000000"/>
          <w:sz w:val="24"/>
          <w:szCs w:val="24"/>
        </w:rPr>
        <w:t xml:space="preserve"> RE, </w:t>
      </w:r>
      <w:hyperlink r:id="rId115" w:history="1">
        <w:r w:rsidRPr="0002415B">
          <w:rPr>
            <w:color w:val="000000"/>
            <w:sz w:val="24"/>
            <w:szCs w:val="24"/>
          </w:rPr>
          <w:t>Oran</w:t>
        </w:r>
      </w:hyperlink>
      <w:r w:rsidRPr="0002415B">
        <w:rPr>
          <w:color w:val="000000"/>
          <w:sz w:val="24"/>
          <w:szCs w:val="24"/>
        </w:rPr>
        <w:t xml:space="preserve"> B</w:t>
      </w:r>
      <w:r w:rsidRPr="0002415B">
        <w:rPr>
          <w:rFonts w:hint="eastAsia"/>
          <w:color w:val="000000"/>
          <w:sz w:val="24"/>
          <w:szCs w:val="24"/>
        </w:rPr>
        <w:t>.</w:t>
      </w:r>
      <w:r w:rsidRPr="0002415B">
        <w:rPr>
          <w:color w:val="000000"/>
          <w:sz w:val="24"/>
          <w:szCs w:val="24"/>
        </w:rPr>
        <w:t xml:space="preserve"> Early post-transplant minimal residual disease assessment improves risk stratification in acute myeloid leukemia.</w:t>
      </w:r>
      <w:r w:rsidRPr="0002415B">
        <w:rPr>
          <w:rFonts w:eastAsia="DengXian"/>
          <w:color w:val="000000"/>
          <w:sz w:val="24"/>
          <w:szCs w:val="24"/>
        </w:rPr>
        <w:t xml:space="preserve"> </w:t>
      </w:r>
      <w:r w:rsidRPr="0002415B">
        <w:rPr>
          <w:i/>
          <w:iCs/>
          <w:color w:val="000000"/>
          <w:sz w:val="24"/>
          <w:szCs w:val="24"/>
        </w:rPr>
        <w:t>Biol. Blood Marrow Transplant. </w:t>
      </w:r>
      <w:r w:rsidRPr="0002415B">
        <w:rPr>
          <w:color w:val="000000"/>
          <w:sz w:val="24"/>
          <w:szCs w:val="24"/>
        </w:rPr>
        <w:t>2018;24(7):1514-1520. doi: 10.1016/j.bbmt.2018.02.003 </w:t>
      </w:r>
    </w:p>
    <w:p w14:paraId="3E854689"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20] Krams SM, Schaffert S, Lau AH, Martinez OM. Applying mass cytometry to the analysis of lymphoid populations in transplantation. </w:t>
      </w:r>
      <w:r w:rsidRPr="0002415B">
        <w:rPr>
          <w:i/>
          <w:iCs/>
          <w:color w:val="000000"/>
          <w:sz w:val="24"/>
          <w:szCs w:val="24"/>
        </w:rPr>
        <w:t>Am. J. Transplant.</w:t>
      </w:r>
      <w:r w:rsidRPr="0002415B">
        <w:rPr>
          <w:color w:val="000000"/>
          <w:sz w:val="24"/>
          <w:szCs w:val="24"/>
        </w:rPr>
        <w:t xml:space="preserve"> 2017;17:1992-1999. doi: 10.1111/ajt.14145</w:t>
      </w:r>
    </w:p>
    <w:p w14:paraId="19EFDCCC"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21] </w:t>
      </w:r>
      <w:hyperlink r:id="rId116" w:history="1">
        <w:r w:rsidRPr="0002415B">
          <w:rPr>
            <w:color w:val="000000"/>
            <w:sz w:val="24"/>
            <w:szCs w:val="24"/>
          </w:rPr>
          <w:t>Kallioniemi</w:t>
        </w:r>
      </w:hyperlink>
      <w:r w:rsidRPr="0002415B">
        <w:rPr>
          <w:color w:val="000000"/>
          <w:sz w:val="24"/>
          <w:szCs w:val="24"/>
        </w:rPr>
        <w:t xml:space="preserve"> A, </w:t>
      </w:r>
      <w:hyperlink r:id="rId117" w:history="1">
        <w:r w:rsidRPr="0002415B">
          <w:rPr>
            <w:color w:val="000000"/>
            <w:sz w:val="24"/>
            <w:szCs w:val="24"/>
          </w:rPr>
          <w:t>Kallioniemi</w:t>
        </w:r>
      </w:hyperlink>
      <w:r w:rsidRPr="0002415B">
        <w:rPr>
          <w:color w:val="000000"/>
          <w:sz w:val="24"/>
          <w:szCs w:val="24"/>
        </w:rPr>
        <w:t xml:space="preserve"> OP,</w:t>
      </w:r>
      <w:hyperlink r:id="rId118" w:history="1">
        <w:r w:rsidRPr="0002415B">
          <w:rPr>
            <w:color w:val="000000"/>
            <w:sz w:val="24"/>
            <w:szCs w:val="24"/>
          </w:rPr>
          <w:t xml:space="preserve"> Sudar</w:t>
        </w:r>
      </w:hyperlink>
      <w:r w:rsidRPr="0002415B">
        <w:rPr>
          <w:color w:val="000000"/>
          <w:sz w:val="24"/>
          <w:szCs w:val="24"/>
        </w:rPr>
        <w:t xml:space="preserve"> D, </w:t>
      </w:r>
      <w:hyperlink r:id="rId119" w:history="1">
        <w:r w:rsidRPr="0002415B">
          <w:rPr>
            <w:color w:val="000000"/>
            <w:sz w:val="24"/>
            <w:szCs w:val="24"/>
          </w:rPr>
          <w:t>Rutovitz</w:t>
        </w:r>
      </w:hyperlink>
      <w:r w:rsidRPr="0002415B">
        <w:rPr>
          <w:color w:val="000000"/>
          <w:sz w:val="24"/>
          <w:szCs w:val="24"/>
        </w:rPr>
        <w:t xml:space="preserve"> D, </w:t>
      </w:r>
      <w:hyperlink r:id="rId120" w:history="1">
        <w:r w:rsidRPr="0002415B">
          <w:rPr>
            <w:color w:val="000000"/>
            <w:sz w:val="24"/>
            <w:szCs w:val="24"/>
          </w:rPr>
          <w:t>Gray</w:t>
        </w:r>
      </w:hyperlink>
      <w:r w:rsidRPr="0002415B">
        <w:rPr>
          <w:color w:val="000000"/>
          <w:sz w:val="24"/>
          <w:szCs w:val="24"/>
        </w:rPr>
        <w:t xml:space="preserve"> JW, </w:t>
      </w:r>
      <w:hyperlink r:id="rId121" w:history="1">
        <w:r w:rsidRPr="0002415B">
          <w:rPr>
            <w:color w:val="000000"/>
            <w:sz w:val="24"/>
            <w:szCs w:val="24"/>
          </w:rPr>
          <w:t>Waldman</w:t>
        </w:r>
      </w:hyperlink>
      <w:r w:rsidRPr="0002415B">
        <w:rPr>
          <w:color w:val="000000"/>
          <w:sz w:val="24"/>
          <w:szCs w:val="24"/>
        </w:rPr>
        <w:t xml:space="preserve"> F, </w:t>
      </w:r>
      <w:hyperlink r:id="rId122" w:history="1">
        <w:r w:rsidRPr="0002415B">
          <w:rPr>
            <w:color w:val="000000"/>
            <w:sz w:val="24"/>
            <w:szCs w:val="24"/>
          </w:rPr>
          <w:t>Pinkel</w:t>
        </w:r>
      </w:hyperlink>
      <w:r w:rsidRPr="0002415B">
        <w:rPr>
          <w:color w:val="000000"/>
          <w:sz w:val="24"/>
          <w:szCs w:val="24"/>
        </w:rPr>
        <w:t xml:space="preserve"> D. Comparative genomic hybridization for molecular cytogenetic analysis of solid tumors. </w:t>
      </w:r>
      <w:r w:rsidRPr="0002415B">
        <w:rPr>
          <w:rFonts w:ascii="Times New Roman Italic" w:hAnsi="Times New Roman Italic" w:cs="Times New Roman Italic"/>
          <w:i/>
          <w:iCs/>
          <w:color w:val="000000"/>
          <w:sz w:val="24"/>
          <w:szCs w:val="24"/>
        </w:rPr>
        <w:t>Science</w:t>
      </w:r>
      <w:r w:rsidRPr="0002415B">
        <w:rPr>
          <w:color w:val="000000"/>
          <w:sz w:val="24"/>
          <w:szCs w:val="24"/>
        </w:rPr>
        <w:t> 1992;258(5083):818-821. doi: 10.1126/science.1359641</w:t>
      </w:r>
    </w:p>
    <w:p w14:paraId="21F64E96"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22] </w:t>
      </w:r>
      <w:hyperlink r:id="rId123" w:history="1">
        <w:r w:rsidRPr="0002415B">
          <w:rPr>
            <w:color w:val="000000"/>
            <w:sz w:val="24"/>
            <w:szCs w:val="24"/>
          </w:rPr>
          <w:t>Fiegler</w:t>
        </w:r>
      </w:hyperlink>
      <w:r w:rsidRPr="0002415B">
        <w:rPr>
          <w:color w:val="000000"/>
          <w:sz w:val="24"/>
          <w:szCs w:val="24"/>
        </w:rPr>
        <w:t xml:space="preserve"> H, </w:t>
      </w:r>
      <w:hyperlink r:id="rId124" w:history="1">
        <w:r w:rsidRPr="0002415B">
          <w:rPr>
            <w:color w:val="000000"/>
            <w:sz w:val="24"/>
            <w:szCs w:val="24"/>
          </w:rPr>
          <w:t>Carr</w:t>
        </w:r>
      </w:hyperlink>
      <w:r w:rsidRPr="0002415B">
        <w:rPr>
          <w:color w:val="000000"/>
          <w:sz w:val="24"/>
          <w:szCs w:val="24"/>
        </w:rPr>
        <w:t xml:space="preserve"> P, </w:t>
      </w:r>
      <w:hyperlink r:id="rId125" w:history="1">
        <w:r w:rsidRPr="0002415B">
          <w:rPr>
            <w:color w:val="000000"/>
            <w:sz w:val="24"/>
            <w:szCs w:val="24"/>
          </w:rPr>
          <w:t>Douglas</w:t>
        </w:r>
      </w:hyperlink>
      <w:r w:rsidRPr="0002415B">
        <w:rPr>
          <w:color w:val="000000"/>
          <w:sz w:val="24"/>
          <w:szCs w:val="24"/>
        </w:rPr>
        <w:t xml:space="preserve"> EJ, </w:t>
      </w:r>
      <w:hyperlink r:id="rId126" w:history="1">
        <w:r w:rsidRPr="0002415B">
          <w:rPr>
            <w:color w:val="000000"/>
            <w:sz w:val="24"/>
            <w:szCs w:val="24"/>
          </w:rPr>
          <w:t>Burford</w:t>
        </w:r>
      </w:hyperlink>
      <w:r w:rsidRPr="0002415B">
        <w:rPr>
          <w:color w:val="000000"/>
          <w:sz w:val="24"/>
          <w:szCs w:val="24"/>
        </w:rPr>
        <w:t xml:space="preserve"> DC, </w:t>
      </w:r>
      <w:hyperlink r:id="rId127" w:history="1">
        <w:r w:rsidRPr="0002415B">
          <w:rPr>
            <w:color w:val="000000"/>
            <w:sz w:val="24"/>
            <w:szCs w:val="24"/>
          </w:rPr>
          <w:t>Hunt</w:t>
        </w:r>
      </w:hyperlink>
      <w:r w:rsidRPr="0002415B">
        <w:rPr>
          <w:color w:val="000000"/>
          <w:sz w:val="24"/>
          <w:szCs w:val="24"/>
        </w:rPr>
        <w:t xml:space="preserve"> S, </w:t>
      </w:r>
      <w:hyperlink r:id="rId128" w:history="1">
        <w:r w:rsidRPr="0002415B">
          <w:rPr>
            <w:color w:val="000000"/>
            <w:sz w:val="24"/>
            <w:szCs w:val="24"/>
          </w:rPr>
          <w:t>Scott</w:t>
        </w:r>
      </w:hyperlink>
      <w:r w:rsidRPr="0002415B">
        <w:rPr>
          <w:color w:val="000000"/>
          <w:sz w:val="24"/>
          <w:szCs w:val="24"/>
        </w:rPr>
        <w:t xml:space="preserve"> CE, </w:t>
      </w:r>
      <w:hyperlink r:id="rId129" w:history="1">
        <w:r w:rsidRPr="0002415B">
          <w:rPr>
            <w:color w:val="000000"/>
            <w:sz w:val="24"/>
            <w:szCs w:val="24"/>
          </w:rPr>
          <w:t>Smith</w:t>
        </w:r>
      </w:hyperlink>
      <w:r w:rsidRPr="0002415B">
        <w:rPr>
          <w:color w:val="000000"/>
          <w:sz w:val="24"/>
          <w:szCs w:val="24"/>
        </w:rPr>
        <w:t xml:space="preserve"> J, </w:t>
      </w:r>
      <w:hyperlink r:id="rId130" w:history="1">
        <w:r w:rsidRPr="0002415B">
          <w:rPr>
            <w:color w:val="000000"/>
            <w:sz w:val="24"/>
            <w:szCs w:val="24"/>
          </w:rPr>
          <w:t>Vetrie</w:t>
        </w:r>
      </w:hyperlink>
      <w:r w:rsidRPr="0002415B">
        <w:rPr>
          <w:color w:val="000000"/>
          <w:sz w:val="24"/>
          <w:szCs w:val="24"/>
        </w:rPr>
        <w:t xml:space="preserve"> D, </w:t>
      </w:r>
      <w:hyperlink r:id="rId131" w:history="1">
        <w:r w:rsidRPr="0002415B">
          <w:rPr>
            <w:color w:val="000000"/>
            <w:sz w:val="24"/>
            <w:szCs w:val="24"/>
          </w:rPr>
          <w:t>Gorman</w:t>
        </w:r>
      </w:hyperlink>
      <w:r w:rsidRPr="0002415B">
        <w:rPr>
          <w:color w:val="000000"/>
          <w:sz w:val="24"/>
          <w:szCs w:val="24"/>
        </w:rPr>
        <w:t xml:space="preserve"> P, </w:t>
      </w:r>
      <w:hyperlink r:id="rId132" w:history="1">
        <w:r w:rsidRPr="0002415B">
          <w:rPr>
            <w:color w:val="000000"/>
            <w:sz w:val="24"/>
            <w:szCs w:val="24"/>
          </w:rPr>
          <w:t>Tomlinson</w:t>
        </w:r>
      </w:hyperlink>
      <w:r w:rsidRPr="0002415B">
        <w:rPr>
          <w:color w:val="000000"/>
          <w:sz w:val="24"/>
          <w:szCs w:val="24"/>
        </w:rPr>
        <w:t xml:space="preserve"> IPM, </w:t>
      </w:r>
      <w:hyperlink r:id="rId133" w:history="1">
        <w:r w:rsidRPr="0002415B">
          <w:rPr>
            <w:color w:val="000000"/>
            <w:sz w:val="24"/>
            <w:szCs w:val="24"/>
          </w:rPr>
          <w:t>Carter</w:t>
        </w:r>
      </w:hyperlink>
      <w:r w:rsidRPr="0002415B">
        <w:rPr>
          <w:color w:val="000000"/>
          <w:sz w:val="24"/>
          <w:szCs w:val="24"/>
        </w:rPr>
        <w:t xml:space="preserve"> NP. DNA microarrays for comparative genomic hybridization based on DOP-PCR amplification of BAC and PAC </w:t>
      </w:r>
      <w:r w:rsidRPr="0002415B">
        <w:rPr>
          <w:color w:val="000000"/>
          <w:sz w:val="24"/>
          <w:szCs w:val="24"/>
        </w:rPr>
        <w:lastRenderedPageBreak/>
        <w:t xml:space="preserve">clones. </w:t>
      </w:r>
      <w:r w:rsidRPr="0002415B">
        <w:rPr>
          <w:i/>
          <w:iCs/>
          <w:color w:val="000000"/>
          <w:sz w:val="24"/>
          <w:szCs w:val="24"/>
        </w:rPr>
        <w:t>Gene. Chromosome. Canc.</w:t>
      </w:r>
      <w:r w:rsidRPr="0002415B">
        <w:rPr>
          <w:color w:val="000000"/>
          <w:sz w:val="24"/>
          <w:szCs w:val="24"/>
        </w:rPr>
        <w:t> 2003;36(4):361-374. doi: 10.1002/gcc.10155</w:t>
      </w:r>
    </w:p>
    <w:p w14:paraId="0131871E"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23] </w:t>
      </w:r>
      <w:hyperlink r:id="rId134" w:history="1">
        <w:r w:rsidRPr="0002415B">
          <w:rPr>
            <w:color w:val="000000"/>
            <w:sz w:val="24"/>
            <w:szCs w:val="24"/>
          </w:rPr>
          <w:t>Dutt</w:t>
        </w:r>
      </w:hyperlink>
      <w:r w:rsidRPr="0002415B">
        <w:rPr>
          <w:color w:val="000000"/>
          <w:sz w:val="24"/>
          <w:szCs w:val="24"/>
        </w:rPr>
        <w:t xml:space="preserve"> A, </w:t>
      </w:r>
      <w:hyperlink r:id="rId135" w:history="1">
        <w:r w:rsidRPr="0002415B">
          <w:rPr>
            <w:color w:val="000000"/>
            <w:sz w:val="24"/>
            <w:szCs w:val="24"/>
          </w:rPr>
          <w:t>Beroukhim</w:t>
        </w:r>
      </w:hyperlink>
      <w:r w:rsidRPr="0002415B">
        <w:rPr>
          <w:color w:val="000000"/>
          <w:sz w:val="24"/>
          <w:szCs w:val="24"/>
        </w:rPr>
        <w:t xml:space="preserve"> R</w:t>
      </w:r>
      <w:r w:rsidRPr="0002415B">
        <w:rPr>
          <w:rFonts w:hint="eastAsia"/>
          <w:color w:val="000000"/>
          <w:sz w:val="24"/>
          <w:szCs w:val="24"/>
        </w:rPr>
        <w:t>.</w:t>
      </w:r>
      <w:r w:rsidRPr="0002415B">
        <w:rPr>
          <w:color w:val="000000"/>
          <w:sz w:val="24"/>
          <w:szCs w:val="24"/>
        </w:rPr>
        <w:t xml:space="preserve"> Single nucleotide polymorphism array analysis of cancer. </w:t>
      </w:r>
      <w:r w:rsidRPr="0002415B">
        <w:rPr>
          <w:i/>
          <w:iCs/>
          <w:color w:val="000000"/>
          <w:sz w:val="24"/>
          <w:szCs w:val="24"/>
        </w:rPr>
        <w:t>Curr. Opin. Oncol. </w:t>
      </w:r>
      <w:r w:rsidRPr="0002415B">
        <w:rPr>
          <w:color w:val="000000"/>
          <w:sz w:val="24"/>
          <w:szCs w:val="24"/>
        </w:rPr>
        <w:t>2007;19(1):43-49. doi: 0.1097/CCO.0b013e328011a8c1</w:t>
      </w:r>
    </w:p>
    <w:p w14:paraId="64194D55"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24] </w:t>
      </w:r>
      <w:hyperlink r:id="rId136" w:history="1">
        <w:r w:rsidRPr="0002415B">
          <w:rPr>
            <w:color w:val="000000"/>
            <w:sz w:val="24"/>
            <w:szCs w:val="24"/>
          </w:rPr>
          <w:t>Kurian</w:t>
        </w:r>
      </w:hyperlink>
      <w:r w:rsidRPr="0002415B">
        <w:rPr>
          <w:color w:val="000000"/>
          <w:sz w:val="24"/>
          <w:szCs w:val="24"/>
        </w:rPr>
        <w:t xml:space="preserve"> KM, </w:t>
      </w:r>
      <w:hyperlink r:id="rId137" w:history="1">
        <w:r w:rsidRPr="0002415B">
          <w:rPr>
            <w:color w:val="000000"/>
            <w:sz w:val="24"/>
            <w:szCs w:val="24"/>
          </w:rPr>
          <w:t>Watson</w:t>
        </w:r>
      </w:hyperlink>
      <w:r w:rsidRPr="0002415B">
        <w:rPr>
          <w:color w:val="000000"/>
          <w:sz w:val="24"/>
          <w:szCs w:val="24"/>
        </w:rPr>
        <w:t xml:space="preserve"> CJ, </w:t>
      </w:r>
      <w:hyperlink r:id="rId138" w:history="1">
        <w:r w:rsidRPr="0002415B">
          <w:rPr>
            <w:color w:val="000000"/>
            <w:sz w:val="24"/>
            <w:szCs w:val="24"/>
          </w:rPr>
          <w:t>Wyllie</w:t>
        </w:r>
      </w:hyperlink>
      <w:r w:rsidRPr="0002415B">
        <w:rPr>
          <w:color w:val="000000"/>
          <w:sz w:val="24"/>
          <w:szCs w:val="24"/>
        </w:rPr>
        <w:t xml:space="preserve"> AH.</w:t>
      </w:r>
      <w:r w:rsidRPr="0002415B">
        <w:rPr>
          <w:rFonts w:eastAsia="DengXian"/>
          <w:color w:val="000000"/>
          <w:sz w:val="24"/>
          <w:szCs w:val="24"/>
        </w:rPr>
        <w:t xml:space="preserve"> DNA chip </w:t>
      </w:r>
      <w:r w:rsidRPr="0002415B">
        <w:rPr>
          <w:color w:val="000000"/>
          <w:sz w:val="24"/>
          <w:szCs w:val="24"/>
        </w:rPr>
        <w:t xml:space="preserve">technology. </w:t>
      </w:r>
      <w:r w:rsidRPr="0002415B">
        <w:rPr>
          <w:i/>
          <w:iCs/>
          <w:color w:val="000000"/>
          <w:sz w:val="24"/>
          <w:szCs w:val="24"/>
        </w:rPr>
        <w:t>J. Pathol.</w:t>
      </w:r>
      <w:r w:rsidRPr="0002415B">
        <w:rPr>
          <w:color w:val="000000"/>
          <w:sz w:val="24"/>
          <w:szCs w:val="24"/>
        </w:rPr>
        <w:t xml:space="preserve"> 1999;187(3):267-271. doi: </w:t>
      </w:r>
      <w:r w:rsidRPr="0002415B">
        <w:rPr>
          <w:rFonts w:hint="eastAsia"/>
          <w:color w:val="000000"/>
          <w:sz w:val="24"/>
          <w:szCs w:val="24"/>
        </w:rPr>
        <w:t>10.1002/(SICI)1096-9896(199902)187:3%3C267::AID-PATH275%3E3.0</w:t>
      </w:r>
    </w:p>
    <w:p w14:paraId="39B8A201"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25] Maxam AM, Gilbert W. A new method for sequencing DNA. </w:t>
      </w:r>
      <w:hyperlink r:id="rId139" w:history="1">
        <w:r w:rsidRPr="0002415B">
          <w:rPr>
            <w:i/>
            <w:iCs/>
            <w:color w:val="000000"/>
            <w:sz w:val="24"/>
            <w:szCs w:val="24"/>
          </w:rPr>
          <w:t>Proc. Natl. Acad. Sci.</w:t>
        </w:r>
      </w:hyperlink>
      <w:r w:rsidRPr="0002415B">
        <w:rPr>
          <w:i/>
          <w:iCs/>
          <w:color w:val="000000"/>
          <w:sz w:val="24"/>
          <w:szCs w:val="24"/>
        </w:rPr>
        <w:t> </w:t>
      </w:r>
      <w:r w:rsidRPr="0002415B">
        <w:rPr>
          <w:color w:val="000000"/>
          <w:sz w:val="24"/>
          <w:szCs w:val="24"/>
        </w:rPr>
        <w:t xml:space="preserve">1977;74(2):560-564. </w:t>
      </w:r>
      <w:hyperlink r:id="rId140" w:history="1">
        <w:r w:rsidRPr="0002415B">
          <w:rPr>
            <w:color w:val="000000"/>
            <w:sz w:val="24"/>
            <w:szCs w:val="24"/>
          </w:rPr>
          <w:t>doi: 10.1073/pnas.74.2.560</w:t>
        </w:r>
      </w:hyperlink>
    </w:p>
    <w:p w14:paraId="7B2BC36C"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26] Sanger F, Nicklen S, Coulson AR. DNA sequencing with chain-terminating inhibitors. </w:t>
      </w:r>
      <w:r w:rsidRPr="0002415B">
        <w:rPr>
          <w:i/>
          <w:iCs/>
          <w:color w:val="000000"/>
          <w:sz w:val="24"/>
          <w:szCs w:val="24"/>
        </w:rPr>
        <w:t>Proc. Natl. Acad. Sci</w:t>
      </w:r>
      <w:r w:rsidRPr="0002415B">
        <w:rPr>
          <w:color w:val="000000"/>
          <w:sz w:val="24"/>
          <w:szCs w:val="24"/>
        </w:rPr>
        <w:t>. 1977;74(12):5463-5467. doi: 10.1073/pnas.74.12.5463</w:t>
      </w:r>
    </w:p>
    <w:p w14:paraId="58F4F5E0"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27]</w:t>
      </w:r>
      <w:hyperlink r:id="rId141" w:history="1">
        <w:r w:rsidRPr="0002415B">
          <w:rPr>
            <w:color w:val="000000"/>
            <w:sz w:val="24"/>
            <w:szCs w:val="24"/>
          </w:rPr>
          <w:t xml:space="preserve"> Shivaswamy</w:t>
        </w:r>
      </w:hyperlink>
      <w:r w:rsidRPr="0002415B">
        <w:rPr>
          <w:color w:val="000000"/>
          <w:sz w:val="24"/>
          <w:szCs w:val="24"/>
        </w:rPr>
        <w:t xml:space="preserve"> S, </w:t>
      </w:r>
      <w:hyperlink r:id="rId142" w:history="1">
        <w:r w:rsidRPr="0002415B">
          <w:rPr>
            <w:color w:val="000000"/>
            <w:sz w:val="24"/>
            <w:szCs w:val="24"/>
          </w:rPr>
          <w:t>Iyer</w:t>
        </w:r>
      </w:hyperlink>
      <w:r w:rsidRPr="0002415B">
        <w:rPr>
          <w:color w:val="000000"/>
          <w:sz w:val="24"/>
          <w:szCs w:val="24"/>
        </w:rPr>
        <w:t xml:space="preserve"> VR. Genome-wide analysis of chromatin status using tiling microarrays. </w:t>
      </w:r>
      <w:r w:rsidRPr="0002415B">
        <w:rPr>
          <w:i/>
          <w:iCs/>
          <w:color w:val="000000"/>
          <w:sz w:val="24"/>
          <w:szCs w:val="24"/>
        </w:rPr>
        <w:t>Methods</w:t>
      </w:r>
      <w:r w:rsidRPr="0002415B">
        <w:rPr>
          <w:color w:val="000000"/>
          <w:sz w:val="24"/>
          <w:szCs w:val="24"/>
        </w:rPr>
        <w:t> 2007;41(3):304-311. doi: 10.1016/j.ymeth.2006.11.002</w:t>
      </w:r>
    </w:p>
    <w:p w14:paraId="48898517"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28] </w:t>
      </w:r>
      <w:hyperlink r:id="rId143" w:history="1">
        <w:r w:rsidRPr="0002415B">
          <w:rPr>
            <w:color w:val="000000"/>
            <w:sz w:val="24"/>
            <w:szCs w:val="24"/>
          </w:rPr>
          <w:t>Zhu</w:t>
        </w:r>
      </w:hyperlink>
      <w:r w:rsidRPr="0002415B">
        <w:rPr>
          <w:color w:val="000000"/>
          <w:sz w:val="24"/>
          <w:szCs w:val="24"/>
        </w:rPr>
        <w:t xml:space="preserve"> L, </w:t>
      </w:r>
      <w:hyperlink r:id="rId144" w:history="1">
        <w:r w:rsidRPr="0002415B">
          <w:rPr>
            <w:color w:val="000000"/>
            <w:sz w:val="24"/>
            <w:szCs w:val="24"/>
          </w:rPr>
          <w:t>Xie</w:t>
        </w:r>
      </w:hyperlink>
      <w:r w:rsidRPr="0002415B">
        <w:rPr>
          <w:color w:val="000000"/>
          <w:sz w:val="24"/>
          <w:szCs w:val="24"/>
        </w:rPr>
        <w:t xml:space="preserve"> S, </w:t>
      </w:r>
      <w:hyperlink r:id="rId145" w:history="1">
        <w:r w:rsidRPr="0002415B">
          <w:rPr>
            <w:color w:val="000000"/>
            <w:sz w:val="24"/>
            <w:szCs w:val="24"/>
          </w:rPr>
          <w:t>Yang</w:t>
        </w:r>
      </w:hyperlink>
      <w:r w:rsidRPr="0002415B">
        <w:rPr>
          <w:color w:val="000000"/>
          <w:sz w:val="24"/>
          <w:szCs w:val="24"/>
        </w:rPr>
        <w:t xml:space="preserve"> C, </w:t>
      </w:r>
      <w:hyperlink r:id="rId146" w:history="1">
        <w:r w:rsidRPr="0002415B">
          <w:rPr>
            <w:color w:val="000000"/>
            <w:sz w:val="24"/>
            <w:szCs w:val="24"/>
          </w:rPr>
          <w:t>Hua</w:t>
        </w:r>
      </w:hyperlink>
      <w:r w:rsidRPr="0002415B">
        <w:rPr>
          <w:color w:val="000000"/>
          <w:sz w:val="24"/>
          <w:szCs w:val="24"/>
        </w:rPr>
        <w:t xml:space="preserve"> N, </w:t>
      </w:r>
      <w:hyperlink r:id="rId147" w:history="1">
        <w:r w:rsidRPr="0002415B">
          <w:rPr>
            <w:color w:val="000000"/>
            <w:sz w:val="24"/>
            <w:szCs w:val="24"/>
          </w:rPr>
          <w:t>Wu</w:t>
        </w:r>
      </w:hyperlink>
      <w:r w:rsidRPr="0002415B">
        <w:rPr>
          <w:color w:val="000000"/>
          <w:sz w:val="24"/>
          <w:szCs w:val="24"/>
        </w:rPr>
        <w:t xml:space="preserve"> Y, </w:t>
      </w:r>
      <w:hyperlink r:id="rId148" w:history="1">
        <w:r w:rsidRPr="0002415B">
          <w:rPr>
            <w:color w:val="000000"/>
            <w:sz w:val="24"/>
            <w:szCs w:val="24"/>
          </w:rPr>
          <w:t>Wang</w:t>
        </w:r>
      </w:hyperlink>
      <w:r w:rsidRPr="0002415B">
        <w:rPr>
          <w:color w:val="000000"/>
          <w:sz w:val="24"/>
          <w:szCs w:val="24"/>
        </w:rPr>
        <w:t xml:space="preserve"> L, </w:t>
      </w:r>
      <w:hyperlink r:id="rId149" w:history="1">
        <w:r w:rsidRPr="0002415B">
          <w:rPr>
            <w:color w:val="000000"/>
            <w:sz w:val="24"/>
            <w:szCs w:val="24"/>
          </w:rPr>
          <w:t>Ni</w:t>
        </w:r>
      </w:hyperlink>
      <w:r w:rsidRPr="0002415B">
        <w:rPr>
          <w:color w:val="000000"/>
          <w:sz w:val="24"/>
          <w:szCs w:val="24"/>
        </w:rPr>
        <w:t xml:space="preserve"> W, </w:t>
      </w:r>
      <w:hyperlink r:id="rId150" w:history="1">
        <w:r w:rsidRPr="0002415B">
          <w:rPr>
            <w:color w:val="000000"/>
            <w:sz w:val="24"/>
            <w:szCs w:val="24"/>
          </w:rPr>
          <w:t>Tong</w:t>
        </w:r>
      </w:hyperlink>
      <w:r w:rsidRPr="0002415B">
        <w:rPr>
          <w:color w:val="000000"/>
          <w:sz w:val="24"/>
          <w:szCs w:val="24"/>
        </w:rPr>
        <w:t xml:space="preserve"> X, </w:t>
      </w:r>
      <w:hyperlink r:id="rId151" w:history="1">
        <w:r w:rsidRPr="0002415B">
          <w:rPr>
            <w:color w:val="000000"/>
            <w:sz w:val="24"/>
            <w:szCs w:val="24"/>
          </w:rPr>
          <w:t>Fei</w:t>
        </w:r>
      </w:hyperlink>
      <w:r w:rsidRPr="0002415B">
        <w:rPr>
          <w:color w:val="000000"/>
          <w:sz w:val="24"/>
          <w:szCs w:val="24"/>
        </w:rPr>
        <w:t xml:space="preserve"> M, </w:t>
      </w:r>
      <w:hyperlink r:id="rId152" w:history="1">
        <w:r w:rsidRPr="0002415B">
          <w:rPr>
            <w:color w:val="000000"/>
            <w:sz w:val="24"/>
            <w:szCs w:val="24"/>
          </w:rPr>
          <w:t>Wang</w:t>
        </w:r>
      </w:hyperlink>
      <w:r w:rsidRPr="0002415B">
        <w:rPr>
          <w:color w:val="000000"/>
          <w:sz w:val="24"/>
          <w:szCs w:val="24"/>
        </w:rPr>
        <w:t xml:space="preserve"> S. Current progress in investigating mature T- and NK-Cell lymphoma gene aberrations by next-generation sequencing (NGS). </w:t>
      </w:r>
      <w:hyperlink r:id="rId153" w:history="1">
        <w:r w:rsidRPr="0002415B">
          <w:rPr>
            <w:i/>
            <w:iCs/>
            <w:color w:val="000000"/>
            <w:sz w:val="24"/>
            <w:szCs w:val="24"/>
          </w:rPr>
          <w:t>Cancer Manag. Res.</w:t>
        </w:r>
      </w:hyperlink>
      <w:r w:rsidRPr="0002415B">
        <w:rPr>
          <w:color w:val="000000"/>
          <w:sz w:val="24"/>
          <w:szCs w:val="24"/>
        </w:rPr>
        <w:t> 2021;13:5275-5286. doi: </w:t>
      </w:r>
      <w:hyperlink r:id="rId154" w:tgtFrame="_blank" w:history="1">
        <w:r w:rsidRPr="0002415B">
          <w:rPr>
            <w:color w:val="000000"/>
            <w:sz w:val="24"/>
            <w:szCs w:val="24"/>
          </w:rPr>
          <w:t>10.2147/CMAR.S299505</w:t>
        </w:r>
      </w:hyperlink>
    </w:p>
    <w:p w14:paraId="5EC3A0B7" w14:textId="77777777" w:rsidR="00577717" w:rsidRPr="0002415B" w:rsidRDefault="0002415B">
      <w:pPr>
        <w:spacing w:line="480" w:lineRule="auto"/>
        <w:ind w:left="480" w:hangingChars="200" w:hanging="480"/>
        <w:rPr>
          <w:color w:val="000000"/>
          <w:sz w:val="24"/>
          <w:szCs w:val="24"/>
        </w:rPr>
      </w:pPr>
      <w:r w:rsidRPr="0002415B">
        <w:rPr>
          <w:rFonts w:hint="eastAsia"/>
          <w:color w:val="000000"/>
          <w:sz w:val="24"/>
          <w:szCs w:val="24"/>
        </w:rPr>
        <w:t>[</w:t>
      </w:r>
      <w:r w:rsidRPr="0002415B">
        <w:rPr>
          <w:color w:val="000000"/>
          <w:sz w:val="24"/>
          <w:szCs w:val="24"/>
        </w:rPr>
        <w:t xml:space="preserve">29] Evrony GD, Hinch AG, Luo C. Applications of single-cell DNA sequencing. </w:t>
      </w:r>
      <w:r w:rsidRPr="0002415B">
        <w:rPr>
          <w:i/>
          <w:iCs/>
          <w:color w:val="000000"/>
          <w:sz w:val="24"/>
          <w:szCs w:val="24"/>
        </w:rPr>
        <w:t>Annu. Rev. Genomics. Hum. Genet.</w:t>
      </w:r>
      <w:r w:rsidRPr="0002415B">
        <w:rPr>
          <w:color w:val="000000"/>
          <w:sz w:val="24"/>
          <w:szCs w:val="24"/>
        </w:rPr>
        <w:t xml:space="preserve"> 2021;22:171-197. doi:10.1146/annurev-annurevgenom-111320-090436</w:t>
      </w:r>
    </w:p>
    <w:p w14:paraId="11F972C3" w14:textId="77777777" w:rsidR="00577717" w:rsidRPr="0002415B" w:rsidRDefault="0002415B">
      <w:pPr>
        <w:spacing w:line="480" w:lineRule="auto"/>
        <w:ind w:left="480" w:hangingChars="200" w:hanging="480"/>
        <w:rPr>
          <w:rFonts w:eastAsia="DengXian"/>
          <w:color w:val="000000"/>
          <w:sz w:val="24"/>
          <w:szCs w:val="24"/>
        </w:rPr>
      </w:pPr>
      <w:r w:rsidRPr="0002415B">
        <w:rPr>
          <w:rFonts w:eastAsia="DengXian" w:hint="eastAsia"/>
          <w:color w:val="000000"/>
          <w:sz w:val="24"/>
          <w:szCs w:val="24"/>
        </w:rPr>
        <w:lastRenderedPageBreak/>
        <w:t>[</w:t>
      </w:r>
      <w:r w:rsidRPr="0002415B">
        <w:rPr>
          <w:rFonts w:eastAsia="DengXian"/>
          <w:color w:val="000000"/>
          <w:sz w:val="24"/>
          <w:szCs w:val="24"/>
        </w:rPr>
        <w:t xml:space="preserve">30] </w:t>
      </w:r>
      <w:r w:rsidRPr="0002415B">
        <w:rPr>
          <w:rFonts w:eastAsia="DengXian" w:hint="eastAsia"/>
          <w:color w:val="000000"/>
          <w:sz w:val="24"/>
          <w:szCs w:val="24"/>
        </w:rPr>
        <w:t>Tang F, Barbacior</w:t>
      </w:r>
      <w:r w:rsidRPr="0002415B">
        <w:rPr>
          <w:rFonts w:eastAsia="DengXian"/>
          <w:color w:val="000000"/>
          <w:sz w:val="24"/>
          <w:szCs w:val="24"/>
        </w:rPr>
        <w:t>u</w:t>
      </w:r>
      <w:r w:rsidRPr="0002415B">
        <w:rPr>
          <w:rFonts w:eastAsia="DengXian" w:hint="eastAsia"/>
          <w:color w:val="000000"/>
          <w:sz w:val="24"/>
          <w:szCs w:val="24"/>
        </w:rPr>
        <w:t xml:space="preserve"> C, Wang Y, Nordman E, Lee C, Xu N, </w:t>
      </w:r>
      <w:r w:rsidRPr="0002415B">
        <w:rPr>
          <w:rFonts w:eastAsia="DengXian"/>
          <w:color w:val="000000"/>
          <w:sz w:val="24"/>
          <w:szCs w:val="24"/>
        </w:rPr>
        <w:t>Wang X, Bodeau J, Tuch BB, Siddiqui A, Lao K,</w:t>
      </w:r>
      <w:r w:rsidRPr="0002415B">
        <w:rPr>
          <w:rFonts w:eastAsia="DengXian" w:hint="eastAsia"/>
          <w:color w:val="000000"/>
          <w:sz w:val="24"/>
          <w:szCs w:val="24"/>
        </w:rPr>
        <w:t xml:space="preserve"> Surani MA.</w:t>
      </w:r>
      <w:r w:rsidRPr="0002415B">
        <w:rPr>
          <w:rFonts w:eastAsia="DengXian"/>
          <w:color w:val="000000"/>
          <w:sz w:val="24"/>
          <w:szCs w:val="24"/>
        </w:rPr>
        <w:t xml:space="preserve"> mRNA-Seq whole-transcriptome analysis of a single cell.</w:t>
      </w:r>
      <w:r w:rsidRPr="0002415B">
        <w:rPr>
          <w:i/>
          <w:iCs/>
          <w:color w:val="000000"/>
          <w:sz w:val="24"/>
          <w:szCs w:val="24"/>
        </w:rPr>
        <w:t xml:space="preserve"> </w:t>
      </w:r>
      <w:r w:rsidRPr="0002415B">
        <w:rPr>
          <w:rFonts w:eastAsia="DengXian"/>
          <w:i/>
          <w:iCs/>
          <w:color w:val="000000"/>
          <w:sz w:val="24"/>
          <w:szCs w:val="24"/>
        </w:rPr>
        <w:t>Nat. Methods </w:t>
      </w:r>
      <w:r w:rsidRPr="0002415B">
        <w:rPr>
          <w:rFonts w:eastAsia="DengXian"/>
          <w:color w:val="000000"/>
          <w:sz w:val="24"/>
          <w:szCs w:val="24"/>
        </w:rPr>
        <w:t>2009;6(5):377-382. doi: 10.1038/nmeth.1315.</w:t>
      </w:r>
    </w:p>
    <w:p w14:paraId="29B453FF" w14:textId="77777777" w:rsidR="00577717" w:rsidRPr="0002415B" w:rsidRDefault="0002415B">
      <w:pPr>
        <w:spacing w:line="480" w:lineRule="auto"/>
        <w:ind w:left="480" w:hangingChars="200" w:hanging="480"/>
        <w:rPr>
          <w:rFonts w:eastAsia="DengXian"/>
          <w:color w:val="000000"/>
          <w:sz w:val="24"/>
          <w:szCs w:val="24"/>
        </w:rPr>
      </w:pPr>
      <w:r w:rsidRPr="0002415B">
        <w:rPr>
          <w:rFonts w:eastAsia="DengXian" w:hint="eastAsia"/>
          <w:color w:val="000000"/>
          <w:sz w:val="24"/>
          <w:szCs w:val="24"/>
        </w:rPr>
        <w:t>[</w:t>
      </w:r>
      <w:r w:rsidRPr="0002415B">
        <w:rPr>
          <w:rFonts w:eastAsia="DengXian"/>
          <w:color w:val="000000"/>
          <w:sz w:val="24"/>
          <w:szCs w:val="24"/>
        </w:rPr>
        <w:t xml:space="preserve">31] </w:t>
      </w:r>
      <w:r w:rsidRPr="0002415B">
        <w:rPr>
          <w:rFonts w:hint="eastAsia"/>
          <w:color w:val="000000"/>
          <w:sz w:val="24"/>
          <w:szCs w:val="24"/>
        </w:rPr>
        <w:t xml:space="preserve">Cheung VG, Nelson SF. </w:t>
      </w:r>
      <w:r w:rsidRPr="0002415B">
        <w:rPr>
          <w:rFonts w:eastAsia="DengXian"/>
          <w:color w:val="000000"/>
          <w:sz w:val="24"/>
          <w:szCs w:val="24"/>
        </w:rPr>
        <w:t xml:space="preserve">Whole genome amplification using a degenerate oligonucleotide primer allows hundreds of genotypes to be performed on less than one nanogram of genomic DNA. </w:t>
      </w:r>
      <w:hyperlink r:id="rId155" w:history="1">
        <w:r w:rsidRPr="0002415B">
          <w:rPr>
            <w:rFonts w:eastAsia="DengXian"/>
            <w:i/>
            <w:iCs/>
            <w:color w:val="000000"/>
            <w:sz w:val="24"/>
            <w:szCs w:val="24"/>
          </w:rPr>
          <w:t>Proc. Natl. Acad. Sci</w:t>
        </w:r>
      </w:hyperlink>
      <w:r w:rsidRPr="0002415B">
        <w:rPr>
          <w:rFonts w:eastAsia="DengXian"/>
          <w:i/>
          <w:iCs/>
          <w:color w:val="000000"/>
          <w:sz w:val="24"/>
          <w:szCs w:val="24"/>
        </w:rPr>
        <w:t>. </w:t>
      </w:r>
      <w:r w:rsidRPr="0002415B">
        <w:rPr>
          <w:rFonts w:eastAsia="DengXian"/>
          <w:color w:val="000000"/>
          <w:sz w:val="24"/>
          <w:szCs w:val="24"/>
        </w:rPr>
        <w:t>1996;93(25):14676-14679. doi: </w:t>
      </w:r>
      <w:hyperlink r:id="rId156" w:tgtFrame="_blank" w:history="1">
        <w:r w:rsidRPr="0002415B">
          <w:rPr>
            <w:rFonts w:eastAsia="DengXian"/>
            <w:color w:val="000000"/>
            <w:sz w:val="24"/>
            <w:szCs w:val="24"/>
          </w:rPr>
          <w:t>10.1073/pnas.93.25.14676</w:t>
        </w:r>
      </w:hyperlink>
    </w:p>
    <w:p w14:paraId="0607171C" w14:textId="77777777" w:rsidR="00577717" w:rsidRPr="0002415B" w:rsidRDefault="0002415B">
      <w:pPr>
        <w:spacing w:line="480" w:lineRule="auto"/>
        <w:ind w:left="480" w:hangingChars="200" w:hanging="480"/>
        <w:rPr>
          <w:rFonts w:eastAsia="DengXian"/>
          <w:color w:val="000000"/>
          <w:sz w:val="24"/>
          <w:szCs w:val="24"/>
        </w:rPr>
      </w:pPr>
      <w:r w:rsidRPr="0002415B">
        <w:rPr>
          <w:rFonts w:eastAsia="DengXian" w:hint="eastAsia"/>
          <w:color w:val="000000"/>
          <w:sz w:val="24"/>
          <w:szCs w:val="24"/>
        </w:rPr>
        <w:t>[</w:t>
      </w:r>
      <w:r w:rsidRPr="0002415B">
        <w:rPr>
          <w:rFonts w:eastAsia="DengXian"/>
          <w:color w:val="000000"/>
          <w:sz w:val="24"/>
          <w:szCs w:val="24"/>
        </w:rPr>
        <w:t xml:space="preserve">32] </w:t>
      </w:r>
      <w:r w:rsidRPr="0002415B">
        <w:rPr>
          <w:rFonts w:eastAsia="DengXian" w:hint="eastAsia"/>
          <w:color w:val="000000"/>
          <w:sz w:val="24"/>
          <w:szCs w:val="24"/>
        </w:rPr>
        <w:t xml:space="preserve">Dean FB, Nelson JR, Giesler TL, Lasken RS. </w:t>
      </w:r>
      <w:r w:rsidRPr="0002415B">
        <w:rPr>
          <w:rFonts w:eastAsia="DengXian"/>
          <w:color w:val="000000"/>
          <w:sz w:val="24"/>
          <w:szCs w:val="24"/>
        </w:rPr>
        <w:t xml:space="preserve">Rapid amplification of plasmid and phage DNA using Phi 29 DNA polymerase and multiply-primed rolling circle amplification. </w:t>
      </w:r>
      <w:r w:rsidRPr="0002415B">
        <w:rPr>
          <w:rFonts w:eastAsia="DengXian"/>
          <w:i/>
          <w:iCs/>
          <w:color w:val="000000"/>
          <w:sz w:val="24"/>
          <w:szCs w:val="24"/>
        </w:rPr>
        <w:t>Genome Res.</w:t>
      </w:r>
      <w:r w:rsidRPr="0002415B">
        <w:rPr>
          <w:rFonts w:eastAsia="DengXian"/>
          <w:color w:val="000000"/>
          <w:sz w:val="24"/>
          <w:szCs w:val="24"/>
        </w:rPr>
        <w:t> 2001;11(6):1095-1099. doi: 10.1101/gr.180501</w:t>
      </w:r>
    </w:p>
    <w:p w14:paraId="590E4CDC" w14:textId="77777777" w:rsidR="00577717" w:rsidRPr="0002415B" w:rsidRDefault="0002415B">
      <w:pPr>
        <w:spacing w:line="480" w:lineRule="auto"/>
        <w:ind w:left="480" w:hangingChars="200" w:hanging="480"/>
        <w:rPr>
          <w:rFonts w:eastAsia="DengXian"/>
          <w:color w:val="000000"/>
          <w:sz w:val="24"/>
          <w:szCs w:val="24"/>
        </w:rPr>
      </w:pPr>
      <w:r w:rsidRPr="0002415B">
        <w:rPr>
          <w:rFonts w:eastAsia="DengXian" w:hint="eastAsia"/>
          <w:color w:val="000000"/>
          <w:sz w:val="24"/>
          <w:szCs w:val="24"/>
        </w:rPr>
        <w:t>[</w:t>
      </w:r>
      <w:r w:rsidRPr="0002415B">
        <w:rPr>
          <w:rFonts w:eastAsia="DengXian"/>
          <w:color w:val="000000"/>
          <w:sz w:val="24"/>
          <w:szCs w:val="24"/>
        </w:rPr>
        <w:t xml:space="preserve">33] Zong C, Lu S, Chapman AR, Xie XS. Genome-wide detection of single-nucleotide and copy-number variations of a single human cell. </w:t>
      </w:r>
      <w:r w:rsidRPr="0002415B">
        <w:rPr>
          <w:rFonts w:ascii="Times New Roman Italic" w:eastAsia="DengXian" w:hAnsi="Times New Roman Italic" w:cs="Times New Roman Italic"/>
          <w:i/>
          <w:iCs/>
          <w:color w:val="000000"/>
          <w:sz w:val="24"/>
          <w:szCs w:val="24"/>
        </w:rPr>
        <w:t>Science</w:t>
      </w:r>
      <w:r w:rsidRPr="0002415B">
        <w:rPr>
          <w:rFonts w:eastAsia="DengXian"/>
          <w:i/>
          <w:iCs/>
          <w:color w:val="000000"/>
          <w:sz w:val="24"/>
          <w:szCs w:val="24"/>
        </w:rPr>
        <w:t xml:space="preserve"> </w:t>
      </w:r>
      <w:r w:rsidRPr="0002415B">
        <w:rPr>
          <w:rFonts w:eastAsia="DengXian"/>
          <w:color w:val="000000"/>
          <w:sz w:val="24"/>
          <w:szCs w:val="24"/>
        </w:rPr>
        <w:t xml:space="preserve">2012;338(6114):1622-1626. </w:t>
      </w:r>
      <w:hyperlink r:id="rId157" w:history="1">
        <w:r w:rsidRPr="0002415B">
          <w:rPr>
            <w:rFonts w:eastAsia="DengXian"/>
            <w:color w:val="000000"/>
            <w:sz w:val="24"/>
            <w:szCs w:val="24"/>
          </w:rPr>
          <w:t>doi: 10.1126/science.1229164</w:t>
        </w:r>
      </w:hyperlink>
    </w:p>
    <w:p w14:paraId="14A77CE6" w14:textId="77777777" w:rsidR="00577717" w:rsidRPr="0002415B" w:rsidRDefault="0002415B">
      <w:pPr>
        <w:spacing w:line="480" w:lineRule="auto"/>
        <w:ind w:left="480" w:hangingChars="200" w:hanging="480"/>
        <w:rPr>
          <w:rFonts w:eastAsia="DengXian"/>
          <w:color w:val="000000"/>
          <w:sz w:val="24"/>
          <w:szCs w:val="24"/>
        </w:rPr>
      </w:pPr>
      <w:r w:rsidRPr="0002415B">
        <w:rPr>
          <w:rFonts w:eastAsia="DengXian" w:hint="eastAsia"/>
          <w:color w:val="000000"/>
          <w:sz w:val="24"/>
          <w:szCs w:val="24"/>
        </w:rPr>
        <w:t>[</w:t>
      </w:r>
      <w:r w:rsidRPr="0002415B">
        <w:rPr>
          <w:rFonts w:eastAsia="DengXian"/>
          <w:color w:val="000000"/>
          <w:sz w:val="24"/>
          <w:szCs w:val="24"/>
        </w:rPr>
        <w:t xml:space="preserve">34] </w:t>
      </w:r>
      <w:r w:rsidRPr="0002415B">
        <w:rPr>
          <w:rFonts w:eastAsia="DengXian" w:hint="eastAsia"/>
          <w:color w:val="000000"/>
          <w:sz w:val="24"/>
          <w:szCs w:val="24"/>
        </w:rPr>
        <w:t xml:space="preserve">Reuter JA, Spacek DV, Snyder MP. </w:t>
      </w:r>
      <w:r w:rsidRPr="0002415B">
        <w:rPr>
          <w:rFonts w:eastAsia="DengXian"/>
          <w:color w:val="000000"/>
          <w:sz w:val="24"/>
          <w:szCs w:val="24"/>
        </w:rPr>
        <w:t>High-throughput sequencing technologies.</w:t>
      </w:r>
      <w:r w:rsidRPr="0002415B">
        <w:rPr>
          <w:color w:val="000000"/>
          <w:sz w:val="24"/>
          <w:szCs w:val="24"/>
        </w:rPr>
        <w:t xml:space="preserve"> </w:t>
      </w:r>
      <w:hyperlink r:id="rId158" w:tgtFrame="_blank" w:history="1">
        <w:r w:rsidRPr="0002415B">
          <w:rPr>
            <w:rFonts w:eastAsia="DengXian"/>
            <w:i/>
            <w:iCs/>
            <w:color w:val="000000"/>
            <w:sz w:val="24"/>
            <w:szCs w:val="24"/>
          </w:rPr>
          <w:t>Mol. Cell</w:t>
        </w:r>
        <w:r w:rsidRPr="0002415B">
          <w:rPr>
            <w:rFonts w:eastAsia="DengXian"/>
            <w:color w:val="000000"/>
            <w:sz w:val="24"/>
            <w:szCs w:val="24"/>
          </w:rPr>
          <w:t xml:space="preserve"> 2015;58(4):586-597.</w:t>
        </w:r>
      </w:hyperlink>
      <w:r w:rsidRPr="0002415B">
        <w:rPr>
          <w:color w:val="000000"/>
          <w:sz w:val="24"/>
          <w:szCs w:val="24"/>
        </w:rPr>
        <w:t xml:space="preserve"> </w:t>
      </w:r>
      <w:bookmarkStart w:id="9" w:name="_Hlk141042951"/>
      <w:r w:rsidRPr="0002415B">
        <w:rPr>
          <w:rFonts w:eastAsia="DengXian"/>
          <w:color w:val="000000"/>
          <w:sz w:val="24"/>
          <w:szCs w:val="24"/>
        </w:rPr>
        <w:t>doi:</w:t>
      </w:r>
      <w:bookmarkEnd w:id="9"/>
      <w:r w:rsidRPr="0002415B">
        <w:rPr>
          <w:rFonts w:eastAsia="DengXian"/>
          <w:color w:val="000000"/>
          <w:sz w:val="24"/>
          <w:szCs w:val="24"/>
        </w:rPr>
        <w:t> </w:t>
      </w:r>
      <w:hyperlink r:id="rId159" w:tgtFrame="_blank" w:history="1">
        <w:r w:rsidRPr="0002415B">
          <w:rPr>
            <w:rFonts w:eastAsia="DengXian"/>
            <w:color w:val="000000"/>
            <w:sz w:val="24"/>
            <w:szCs w:val="24"/>
          </w:rPr>
          <w:t>10.1016/j.molcel.2015.05.004</w:t>
        </w:r>
      </w:hyperlink>
    </w:p>
    <w:p w14:paraId="786F4962" w14:textId="77777777" w:rsidR="00577717" w:rsidRPr="0002415B" w:rsidRDefault="0002415B">
      <w:pPr>
        <w:spacing w:line="480" w:lineRule="auto"/>
        <w:ind w:left="480" w:hangingChars="200" w:hanging="480"/>
        <w:rPr>
          <w:rFonts w:eastAsia="DengXian"/>
          <w:color w:val="000000"/>
          <w:sz w:val="24"/>
          <w:szCs w:val="24"/>
        </w:rPr>
      </w:pPr>
      <w:r w:rsidRPr="0002415B">
        <w:rPr>
          <w:rFonts w:eastAsia="DengXian" w:hint="eastAsia"/>
          <w:color w:val="000000"/>
          <w:sz w:val="24"/>
          <w:szCs w:val="24"/>
        </w:rPr>
        <w:t>[</w:t>
      </w:r>
      <w:r w:rsidRPr="0002415B">
        <w:rPr>
          <w:rFonts w:eastAsia="DengXian"/>
          <w:color w:val="000000"/>
          <w:sz w:val="24"/>
          <w:szCs w:val="24"/>
        </w:rPr>
        <w:t xml:space="preserve">35] </w:t>
      </w:r>
      <w:r w:rsidRPr="0002415B">
        <w:rPr>
          <w:rFonts w:eastAsia="DengXian" w:hint="eastAsia"/>
          <w:color w:val="000000"/>
          <w:sz w:val="24"/>
          <w:szCs w:val="24"/>
        </w:rPr>
        <w:t xml:space="preserve">Kazemi F, Najafabadi TA, Araabi BN. </w:t>
      </w:r>
      <w:r w:rsidRPr="0002415B">
        <w:rPr>
          <w:rFonts w:eastAsia="DengXian"/>
          <w:color w:val="000000"/>
          <w:sz w:val="24"/>
          <w:szCs w:val="24"/>
        </w:rPr>
        <w:t xml:space="preserve">Automatic recognition of acute myelogenous leukemia in blood microscopic images using K-means clustering and support vector machine. </w:t>
      </w:r>
      <w:hyperlink r:id="rId160" w:history="1">
        <w:r w:rsidRPr="0002415B">
          <w:rPr>
            <w:rFonts w:eastAsia="DengXian"/>
            <w:i/>
            <w:iCs/>
            <w:color w:val="000000"/>
            <w:sz w:val="24"/>
            <w:szCs w:val="24"/>
          </w:rPr>
          <w:t>J. Med. Signals Sens.</w:t>
        </w:r>
      </w:hyperlink>
      <w:r w:rsidRPr="0002415B">
        <w:rPr>
          <w:rFonts w:eastAsia="DengXian"/>
          <w:color w:val="000000"/>
          <w:sz w:val="24"/>
          <w:szCs w:val="24"/>
        </w:rPr>
        <w:t> 2016;6(3):183-193.</w:t>
      </w:r>
      <w:r w:rsidRPr="0002415B">
        <w:rPr>
          <w:rFonts w:eastAsia="DengXian" w:hint="eastAsia"/>
          <w:color w:val="000000"/>
          <w:sz w:val="24"/>
          <w:szCs w:val="24"/>
        </w:rPr>
        <w:t xml:space="preserve"> </w:t>
      </w:r>
      <w:r w:rsidRPr="0002415B">
        <w:rPr>
          <w:rFonts w:eastAsia="DengXian"/>
          <w:color w:val="000000"/>
          <w:sz w:val="24"/>
          <w:szCs w:val="24"/>
        </w:rPr>
        <w:t>doi:</w:t>
      </w:r>
      <w:r w:rsidRPr="0002415B">
        <w:rPr>
          <w:rFonts w:eastAsia="DengXian" w:hint="eastAsia"/>
          <w:color w:val="000000"/>
          <w:sz w:val="24"/>
          <w:szCs w:val="24"/>
        </w:rPr>
        <w:t>10.4103/2228-7477.186885</w:t>
      </w:r>
    </w:p>
    <w:p w14:paraId="605F3FE4" w14:textId="77777777" w:rsidR="00577717" w:rsidRPr="0002415B" w:rsidRDefault="00577717">
      <w:pPr>
        <w:rPr>
          <w:color w:val="000000"/>
          <w:sz w:val="24"/>
          <w:szCs w:val="24"/>
        </w:rPr>
      </w:pPr>
    </w:p>
    <w:p w14:paraId="41230171" w14:textId="77777777" w:rsidR="00577717" w:rsidRPr="0002415B" w:rsidRDefault="00577717">
      <w:pPr>
        <w:spacing w:line="480" w:lineRule="auto"/>
        <w:ind w:left="480" w:hangingChars="200" w:hanging="480"/>
        <w:rPr>
          <w:color w:val="000000"/>
          <w:sz w:val="24"/>
          <w:szCs w:val="24"/>
        </w:rPr>
      </w:pPr>
    </w:p>
    <w:sectPr w:rsidR="00577717" w:rsidRPr="0002415B">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1278A" w14:textId="77777777" w:rsidR="0078164D" w:rsidRDefault="0078164D">
      <w:pPr>
        <w:spacing w:after="0" w:line="240" w:lineRule="auto"/>
      </w:pPr>
      <w:r>
        <w:separator/>
      </w:r>
    </w:p>
  </w:endnote>
  <w:endnote w:type="continuationSeparator" w:id="0">
    <w:p w14:paraId="264B0620" w14:textId="77777777" w:rsidR="0078164D" w:rsidRDefault="0078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PSMT">
    <w:altName w:val="苹方-简"/>
    <w:charset w:val="00"/>
    <w:family w:val="roman"/>
    <w:pitch w:val="default"/>
    <w:sig w:usb0="00000000" w:usb1="0000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Regular">
    <w:altName w:val="Times New Roman"/>
    <w:charset w:val="00"/>
    <w:family w:val="auto"/>
    <w:pitch w:val="default"/>
    <w:sig w:usb0="E0002AEF" w:usb1="C0007841" w:usb2="00000009" w:usb3="00000000" w:csb0="400001FF" w:csb1="FFFF0000"/>
  </w:font>
  <w:font w:name="Rockwell">
    <w:panose1 w:val="02060603020205020403"/>
    <w:charset w:val="00"/>
    <w:family w:val="roman"/>
    <w:pitch w:val="variable"/>
    <w:sig w:usb0="00000003" w:usb1="00000000" w:usb2="00000000" w:usb3="00000000" w:csb0="00000001" w:csb1="00000000"/>
  </w:font>
  <w:font w:name="Songti SC">
    <w:altName w:val="Microsoft YaHei"/>
    <w:charset w:val="86"/>
    <w:family w:val="auto"/>
    <w:pitch w:val="default"/>
    <w:sig w:usb0="00000001" w:usb1="080F0000" w:usb2="00000000" w:usb3="00000000" w:csb0="00040000" w:csb1="00000000"/>
  </w:font>
  <w:font w:name="Times New Roman Italic">
    <w:panose1 w:val="02020503050405090304"/>
    <w:charset w:val="00"/>
    <w:family w:val="auto"/>
    <w:pitch w:val="default"/>
    <w:sig w:usb0="E0002AEF" w:usb1="C0007841" w:usb2="00000009" w:usb3="00000000" w:csb0="400001FF" w:csb1="FFFF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65B6" w14:textId="77777777" w:rsidR="0002415B" w:rsidRDefault="0002415B">
    <w:pPr>
      <w:pStyle w:val="Footer"/>
    </w:pPr>
    <w:r>
      <w:rPr>
        <w:noProof/>
      </w:rPr>
      <mc:AlternateContent>
        <mc:Choice Requires="wps">
          <w:drawing>
            <wp:anchor distT="0" distB="0" distL="0" distR="0" simplePos="0" relativeHeight="251659264" behindDoc="0" locked="0" layoutInCell="1" allowOverlap="1" wp14:anchorId="78A802F2" wp14:editId="6085FF04">
              <wp:simplePos x="635" y="635"/>
              <wp:positionH relativeFrom="page">
                <wp:align>left</wp:align>
              </wp:positionH>
              <wp:positionV relativeFrom="page">
                <wp:align>bottom</wp:align>
              </wp:positionV>
              <wp:extent cx="443865" cy="443865"/>
              <wp:effectExtent l="0" t="0" r="18415" b="0"/>
              <wp:wrapNone/>
              <wp:docPr id="118953443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7CA99" w14:textId="77777777" w:rsidR="0002415B" w:rsidRPr="0002415B" w:rsidRDefault="0002415B" w:rsidP="0002415B">
                          <w:pPr>
                            <w:spacing w:after="0"/>
                            <w:rPr>
                              <w:rFonts w:ascii="Rockwell" w:eastAsia="Rockwell" w:hAnsi="Rockwell" w:cs="Rockwell"/>
                              <w:noProof/>
                              <w:color w:val="0078D7"/>
                              <w:sz w:val="18"/>
                              <w:szCs w:val="18"/>
                            </w:rPr>
                          </w:pPr>
                          <w:r w:rsidRPr="0002415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A802F2" id="_x0000_t202" coordsize="21600,21600" o:spt="202" path="m,l,21600r21600,l21600,xe">
              <v:stroke joinstyle="miter"/>
              <v:path gradientshapeok="t" o:connecttype="rect"/>
            </v:shapetype>
            <v:shape id="Text Box 2" o:spid="_x0000_s1027"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CD7CA99" w14:textId="77777777" w:rsidR="0002415B" w:rsidRPr="0002415B" w:rsidRDefault="0002415B" w:rsidP="0002415B">
                    <w:pPr>
                      <w:spacing w:after="0"/>
                      <w:rPr>
                        <w:rFonts w:ascii="Rockwell" w:eastAsia="Rockwell" w:hAnsi="Rockwell" w:cs="Rockwell"/>
                        <w:noProof/>
                        <w:color w:val="0078D7"/>
                        <w:sz w:val="18"/>
                        <w:szCs w:val="18"/>
                      </w:rPr>
                    </w:pPr>
                    <w:r w:rsidRPr="0002415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BB73" w14:textId="77777777" w:rsidR="0002415B" w:rsidRDefault="0002415B">
    <w:pPr>
      <w:pStyle w:val="Footer"/>
    </w:pPr>
    <w:r>
      <w:rPr>
        <w:noProof/>
      </w:rPr>
      <mc:AlternateContent>
        <mc:Choice Requires="wps">
          <w:drawing>
            <wp:anchor distT="0" distB="0" distL="0" distR="0" simplePos="0" relativeHeight="251660288" behindDoc="0" locked="0" layoutInCell="1" allowOverlap="1" wp14:anchorId="0F951519" wp14:editId="65570EFC">
              <wp:simplePos x="1143000" y="9820275"/>
              <wp:positionH relativeFrom="page">
                <wp:align>left</wp:align>
              </wp:positionH>
              <wp:positionV relativeFrom="page">
                <wp:align>bottom</wp:align>
              </wp:positionV>
              <wp:extent cx="443865" cy="443865"/>
              <wp:effectExtent l="0" t="0" r="18415" b="0"/>
              <wp:wrapNone/>
              <wp:docPr id="39618076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F4CDF0" w14:textId="77777777" w:rsidR="0002415B" w:rsidRPr="0002415B" w:rsidRDefault="0002415B" w:rsidP="0002415B">
                          <w:pPr>
                            <w:spacing w:after="0"/>
                            <w:rPr>
                              <w:rFonts w:ascii="Rockwell" w:eastAsia="Rockwell" w:hAnsi="Rockwell" w:cs="Rockwell"/>
                              <w:noProof/>
                              <w:color w:val="0078D7"/>
                              <w:sz w:val="18"/>
                              <w:szCs w:val="18"/>
                            </w:rPr>
                          </w:pPr>
                          <w:r w:rsidRPr="0002415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F951519" id="_x0000_t202" coordsize="21600,21600" o:spt="202" path="m,l,21600r21600,l21600,xe">
              <v:stroke joinstyle="miter"/>
              <v:path gradientshapeok="t" o:connecttype="rect"/>
            </v:shapetype>
            <v:shape id="Text Box 3" o:spid="_x0000_s1028"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BF4CDF0" w14:textId="77777777" w:rsidR="0002415B" w:rsidRPr="0002415B" w:rsidRDefault="0002415B" w:rsidP="0002415B">
                    <w:pPr>
                      <w:spacing w:after="0"/>
                      <w:rPr>
                        <w:rFonts w:ascii="Rockwell" w:eastAsia="Rockwell" w:hAnsi="Rockwell" w:cs="Rockwell"/>
                        <w:noProof/>
                        <w:color w:val="0078D7"/>
                        <w:sz w:val="18"/>
                        <w:szCs w:val="18"/>
                      </w:rPr>
                    </w:pPr>
                    <w:r w:rsidRPr="0002415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8635" w14:textId="77777777" w:rsidR="0002415B" w:rsidRDefault="0002415B">
    <w:pPr>
      <w:pStyle w:val="Footer"/>
    </w:pPr>
    <w:r>
      <w:rPr>
        <w:noProof/>
      </w:rPr>
      <mc:AlternateContent>
        <mc:Choice Requires="wps">
          <w:drawing>
            <wp:anchor distT="0" distB="0" distL="0" distR="0" simplePos="0" relativeHeight="251658240" behindDoc="0" locked="0" layoutInCell="1" allowOverlap="1" wp14:anchorId="57E6CE82" wp14:editId="4C8D3FD2">
              <wp:simplePos x="635" y="635"/>
              <wp:positionH relativeFrom="page">
                <wp:align>left</wp:align>
              </wp:positionH>
              <wp:positionV relativeFrom="page">
                <wp:align>bottom</wp:align>
              </wp:positionV>
              <wp:extent cx="443865" cy="443865"/>
              <wp:effectExtent l="0" t="0" r="18415" b="0"/>
              <wp:wrapNone/>
              <wp:docPr id="78122527"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7E9C5" w14:textId="77777777" w:rsidR="0002415B" w:rsidRPr="0002415B" w:rsidRDefault="0002415B" w:rsidP="0002415B">
                          <w:pPr>
                            <w:spacing w:after="0"/>
                            <w:rPr>
                              <w:rFonts w:ascii="Rockwell" w:eastAsia="Rockwell" w:hAnsi="Rockwell" w:cs="Rockwell"/>
                              <w:noProof/>
                              <w:color w:val="0078D7"/>
                              <w:sz w:val="18"/>
                              <w:szCs w:val="18"/>
                            </w:rPr>
                          </w:pPr>
                          <w:r w:rsidRPr="0002415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E6CE82" id="_x0000_t202" coordsize="21600,21600" o:spt="202" path="m,l,21600r21600,l21600,xe">
              <v:stroke joinstyle="miter"/>
              <v:path gradientshapeok="t" o:connecttype="rect"/>
            </v:shapetype>
            <v:shape id="Text Box 1" o:spid="_x0000_s1029"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3117E9C5" w14:textId="77777777" w:rsidR="0002415B" w:rsidRPr="0002415B" w:rsidRDefault="0002415B" w:rsidP="0002415B">
                    <w:pPr>
                      <w:spacing w:after="0"/>
                      <w:rPr>
                        <w:rFonts w:ascii="Rockwell" w:eastAsia="Rockwell" w:hAnsi="Rockwell" w:cs="Rockwell"/>
                        <w:noProof/>
                        <w:color w:val="0078D7"/>
                        <w:sz w:val="18"/>
                        <w:szCs w:val="18"/>
                      </w:rPr>
                    </w:pPr>
                    <w:r w:rsidRPr="0002415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CBF45" w14:textId="77777777" w:rsidR="0078164D" w:rsidRDefault="0078164D">
      <w:pPr>
        <w:spacing w:after="0" w:line="240" w:lineRule="auto"/>
      </w:pPr>
      <w:r>
        <w:separator/>
      </w:r>
    </w:p>
  </w:footnote>
  <w:footnote w:type="continuationSeparator" w:id="0">
    <w:p w14:paraId="6D50762B" w14:textId="77777777" w:rsidR="0078164D" w:rsidRDefault="007816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oNotTrackFormatting/>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Q4MWQ2Yjg5ZjJjMzg2YjQ3ZTllY2JjMzYwNjMyMGMifQ=="/>
  </w:docVars>
  <w:rsids>
    <w:rsidRoot w:val="00F335D3"/>
    <w:rsid w:val="B7DBC1CA"/>
    <w:rsid w:val="BF83316C"/>
    <w:rsid w:val="E6BD2EE0"/>
    <w:rsid w:val="E6E9EF03"/>
    <w:rsid w:val="0001541B"/>
    <w:rsid w:val="000207D3"/>
    <w:rsid w:val="0002242E"/>
    <w:rsid w:val="0002415B"/>
    <w:rsid w:val="00035A77"/>
    <w:rsid w:val="00084BCF"/>
    <w:rsid w:val="000860C1"/>
    <w:rsid w:val="000A65AB"/>
    <w:rsid w:val="000D3FED"/>
    <w:rsid w:val="000E2ADB"/>
    <w:rsid w:val="000E7071"/>
    <w:rsid w:val="00130CF4"/>
    <w:rsid w:val="001502F4"/>
    <w:rsid w:val="00150956"/>
    <w:rsid w:val="001B76F2"/>
    <w:rsid w:val="00225D60"/>
    <w:rsid w:val="00226E37"/>
    <w:rsid w:val="00251963"/>
    <w:rsid w:val="00283050"/>
    <w:rsid w:val="002976D8"/>
    <w:rsid w:val="0031308A"/>
    <w:rsid w:val="00315212"/>
    <w:rsid w:val="003250BA"/>
    <w:rsid w:val="00342FB3"/>
    <w:rsid w:val="00365F60"/>
    <w:rsid w:val="00380A9B"/>
    <w:rsid w:val="00381C0D"/>
    <w:rsid w:val="003846C3"/>
    <w:rsid w:val="00387CDC"/>
    <w:rsid w:val="0039160C"/>
    <w:rsid w:val="0040528E"/>
    <w:rsid w:val="00435752"/>
    <w:rsid w:val="00440FCC"/>
    <w:rsid w:val="0044242B"/>
    <w:rsid w:val="00443EAA"/>
    <w:rsid w:val="00471094"/>
    <w:rsid w:val="00476C22"/>
    <w:rsid w:val="00483EFE"/>
    <w:rsid w:val="004A1958"/>
    <w:rsid w:val="004B2250"/>
    <w:rsid w:val="004D4A77"/>
    <w:rsid w:val="004F5D7F"/>
    <w:rsid w:val="004F76ED"/>
    <w:rsid w:val="005217BA"/>
    <w:rsid w:val="00535BFE"/>
    <w:rsid w:val="00543C17"/>
    <w:rsid w:val="0056761F"/>
    <w:rsid w:val="00570CC7"/>
    <w:rsid w:val="00577717"/>
    <w:rsid w:val="005C3CF0"/>
    <w:rsid w:val="005C4D2E"/>
    <w:rsid w:val="005C660B"/>
    <w:rsid w:val="005D642E"/>
    <w:rsid w:val="005D6BD1"/>
    <w:rsid w:val="005F1764"/>
    <w:rsid w:val="00604E0D"/>
    <w:rsid w:val="00607D9D"/>
    <w:rsid w:val="00613B55"/>
    <w:rsid w:val="00660E4D"/>
    <w:rsid w:val="00675118"/>
    <w:rsid w:val="00687BBA"/>
    <w:rsid w:val="006C42E2"/>
    <w:rsid w:val="00701677"/>
    <w:rsid w:val="0071620E"/>
    <w:rsid w:val="007355DD"/>
    <w:rsid w:val="0078164D"/>
    <w:rsid w:val="00792CAD"/>
    <w:rsid w:val="007B18D3"/>
    <w:rsid w:val="00860A0F"/>
    <w:rsid w:val="008772EB"/>
    <w:rsid w:val="008A639A"/>
    <w:rsid w:val="00912BB4"/>
    <w:rsid w:val="009269B1"/>
    <w:rsid w:val="00997D2A"/>
    <w:rsid w:val="009A3421"/>
    <w:rsid w:val="009F2089"/>
    <w:rsid w:val="00A00A92"/>
    <w:rsid w:val="00A2508E"/>
    <w:rsid w:val="00A43F4C"/>
    <w:rsid w:val="00A72063"/>
    <w:rsid w:val="00AD4306"/>
    <w:rsid w:val="00AE54BF"/>
    <w:rsid w:val="00AF36AC"/>
    <w:rsid w:val="00B0755D"/>
    <w:rsid w:val="00B363B7"/>
    <w:rsid w:val="00B51331"/>
    <w:rsid w:val="00B555DE"/>
    <w:rsid w:val="00B5619A"/>
    <w:rsid w:val="00B57EE3"/>
    <w:rsid w:val="00B6587B"/>
    <w:rsid w:val="00B67F2B"/>
    <w:rsid w:val="00BA4071"/>
    <w:rsid w:val="00BC1240"/>
    <w:rsid w:val="00C159BE"/>
    <w:rsid w:val="00C31D64"/>
    <w:rsid w:val="00C437FD"/>
    <w:rsid w:val="00C45D25"/>
    <w:rsid w:val="00C522E1"/>
    <w:rsid w:val="00C839DD"/>
    <w:rsid w:val="00C91FED"/>
    <w:rsid w:val="00CD4997"/>
    <w:rsid w:val="00D14F32"/>
    <w:rsid w:val="00D41AF6"/>
    <w:rsid w:val="00D453C9"/>
    <w:rsid w:val="00DA229E"/>
    <w:rsid w:val="00E1360B"/>
    <w:rsid w:val="00E3043B"/>
    <w:rsid w:val="00E61211"/>
    <w:rsid w:val="00E75EBF"/>
    <w:rsid w:val="00EB70B4"/>
    <w:rsid w:val="00EE19DD"/>
    <w:rsid w:val="00EF028C"/>
    <w:rsid w:val="00EF0845"/>
    <w:rsid w:val="00F120A7"/>
    <w:rsid w:val="00F1455C"/>
    <w:rsid w:val="00F335D3"/>
    <w:rsid w:val="00F45524"/>
    <w:rsid w:val="00FA44C1"/>
    <w:rsid w:val="00FC1D4F"/>
    <w:rsid w:val="00FC5DB5"/>
    <w:rsid w:val="00FE5D72"/>
    <w:rsid w:val="00FF05C2"/>
    <w:rsid w:val="03FD1164"/>
    <w:rsid w:val="070767E8"/>
    <w:rsid w:val="0AF6767D"/>
    <w:rsid w:val="0D2E3AA7"/>
    <w:rsid w:val="0DED016E"/>
    <w:rsid w:val="10FF5FE5"/>
    <w:rsid w:val="13A80EF3"/>
    <w:rsid w:val="15DC0C0E"/>
    <w:rsid w:val="17D33C1C"/>
    <w:rsid w:val="194320BF"/>
    <w:rsid w:val="19E71AD3"/>
    <w:rsid w:val="1D786333"/>
    <w:rsid w:val="201F10BE"/>
    <w:rsid w:val="20B31ACC"/>
    <w:rsid w:val="259A0A18"/>
    <w:rsid w:val="25D32605"/>
    <w:rsid w:val="2C194193"/>
    <w:rsid w:val="35F17728"/>
    <w:rsid w:val="3ABA7185"/>
    <w:rsid w:val="3B914684"/>
    <w:rsid w:val="410F7705"/>
    <w:rsid w:val="4B180956"/>
    <w:rsid w:val="4B436F9E"/>
    <w:rsid w:val="51D219B0"/>
    <w:rsid w:val="55BB4416"/>
    <w:rsid w:val="586F5CAF"/>
    <w:rsid w:val="5A578A17"/>
    <w:rsid w:val="5A794FB3"/>
    <w:rsid w:val="614E52A8"/>
    <w:rsid w:val="61D23195"/>
    <w:rsid w:val="65BC5766"/>
    <w:rsid w:val="66276D4C"/>
    <w:rsid w:val="6857134F"/>
    <w:rsid w:val="6AFB1154"/>
    <w:rsid w:val="6F454D09"/>
    <w:rsid w:val="72A23CCA"/>
    <w:rsid w:val="75EF3351"/>
    <w:rsid w:val="767B50FE"/>
    <w:rsid w:val="7B9F138B"/>
    <w:rsid w:val="7BD3BC2D"/>
    <w:rsid w:val="7D014838"/>
    <w:rsid w:val="7FFB33BE"/>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7788F8"/>
  <w15:docId w15:val="{EA9534D5-679B-4E76-9F8E-85CD70744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val="en-US"/>
    </w:rPr>
  </w:style>
  <w:style w:type="paragraph" w:styleId="Heading1">
    <w:name w:val="heading 1"/>
    <w:basedOn w:val="Normal"/>
    <w:next w:val="Normal"/>
    <w:link w:val="Heading1Char"/>
    <w:uiPriority w:val="9"/>
    <w:qFormat/>
    <w:pPr>
      <w:keepNext/>
      <w:keepLines/>
      <w:adjustRightInd w:val="0"/>
      <w:snapToGrid w:val="0"/>
      <w:spacing w:line="360" w:lineRule="auto"/>
      <w:jc w:val="center"/>
      <w:outlineLvl w:val="0"/>
    </w:pPr>
    <w:rPr>
      <w:rFonts w:ascii="Calibri" w:hAnsi="Calibri"/>
      <w:b/>
      <w:bCs/>
      <w:color w:val="000000"/>
      <w:kern w:val="44"/>
      <w:sz w:val="3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rPr>
      <w:b/>
      <w:sz w:val="28"/>
      <w:szCs w:val="24"/>
    </w:r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kern w:val="0"/>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qFormat/>
    <w:pPr>
      <w:spacing w:before="100" w:beforeAutospacing="1" w:after="100" w:afterAutospacing="1"/>
      <w:jc w:val="left"/>
    </w:pPr>
    <w:rPr>
      <w:kern w:val="0"/>
      <w:sz w:val="24"/>
    </w:rPr>
  </w:style>
  <w:style w:type="character" w:styleId="Emphasis">
    <w:name w:val="Emphasis"/>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21"/>
      <w:szCs w:val="21"/>
    </w:rPr>
  </w:style>
  <w:style w:type="character" w:styleId="FootnoteReference">
    <w:name w:val="footnote reference"/>
    <w:uiPriority w:val="99"/>
    <w:qFormat/>
    <w:rPr>
      <w:rFonts w:cs="Times New Roman"/>
      <w:vertAlign w:val="superscript"/>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publication-date">
    <w:name w:val="citation-publication-date"/>
    <w:basedOn w:val="DefaultParagraphFont"/>
    <w:qFormat/>
  </w:style>
  <w:style w:type="character" w:customStyle="1" w:styleId="doi">
    <w:name w:val="doi"/>
    <w:basedOn w:val="DefaultParagraphFont"/>
    <w:qFormat/>
  </w:style>
  <w:style w:type="character" w:customStyle="1" w:styleId="fontstyle01">
    <w:name w:val="fontstyle01"/>
    <w:qFormat/>
    <w:rPr>
      <w:rFonts w:ascii="Times New Roman" w:hAnsi="Times New Roman" w:cs="Times New Roman" w:hint="default"/>
      <w:color w:val="000000"/>
      <w:sz w:val="22"/>
      <w:szCs w:val="22"/>
    </w:rPr>
  </w:style>
  <w:style w:type="character" w:customStyle="1" w:styleId="cit-year-info">
    <w:name w:val="cit-year-info"/>
    <w:basedOn w:val="DefaultParagraphFont"/>
    <w:qFormat/>
  </w:style>
  <w:style w:type="character" w:customStyle="1" w:styleId="cit-pagerange">
    <w:name w:val="cit-pagerange"/>
    <w:basedOn w:val="DefaultParagraphFont"/>
    <w:qFormat/>
  </w:style>
  <w:style w:type="character" w:customStyle="1" w:styleId="UnresolvedMention1">
    <w:name w:val="Unresolved Mention1"/>
    <w:uiPriority w:val="99"/>
    <w:unhideWhenUsed/>
    <w:qFormat/>
    <w:rPr>
      <w:color w:val="605E5C"/>
      <w:shd w:val="clear" w:color="auto" w:fill="E1DFDD"/>
    </w:rPr>
  </w:style>
  <w:style w:type="character" w:customStyle="1" w:styleId="cit-volume">
    <w:name w:val="cit-volume"/>
    <w:basedOn w:val="DefaultParagraphFont"/>
    <w:qFormat/>
  </w:style>
  <w:style w:type="character" w:customStyle="1" w:styleId="HeaderChar">
    <w:name w:val="Header Char"/>
    <w:link w:val="Header"/>
    <w:uiPriority w:val="99"/>
    <w:qFormat/>
    <w:rPr>
      <w:sz w:val="18"/>
      <w:szCs w:val="18"/>
    </w:rPr>
  </w:style>
  <w:style w:type="character" w:customStyle="1" w:styleId="Heading1Char">
    <w:name w:val="Heading 1 Char"/>
    <w:link w:val="Heading1"/>
    <w:uiPriority w:val="9"/>
    <w:qFormat/>
    <w:rPr>
      <w:rFonts w:ascii="Calibri" w:eastAsia="SimSun" w:hAnsi="Calibri"/>
      <w:b/>
      <w:bCs/>
      <w:color w:val="000000"/>
      <w:kern w:val="44"/>
      <w:sz w:val="30"/>
      <w:szCs w:val="44"/>
    </w:rPr>
  </w:style>
  <w:style w:type="character" w:customStyle="1" w:styleId="cit-title">
    <w:name w:val="cit-title"/>
    <w:basedOn w:val="DefaultParagraphFont"/>
    <w:qFormat/>
  </w:style>
  <w:style w:type="character" w:customStyle="1" w:styleId="FooterChar">
    <w:name w:val="Footer Char"/>
    <w:link w:val="Footer"/>
    <w:uiPriority w:val="99"/>
    <w:qFormat/>
    <w:rPr>
      <w:sz w:val="18"/>
      <w:szCs w:val="18"/>
    </w:rPr>
  </w:style>
  <w:style w:type="character" w:customStyle="1" w:styleId="CommentSubjectChar">
    <w:name w:val="Comment Subject Char"/>
    <w:link w:val="CommentSubject"/>
    <w:uiPriority w:val="99"/>
    <w:semiHidden/>
    <w:qFormat/>
    <w:rPr>
      <w:b/>
      <w:bCs/>
      <w:kern w:val="2"/>
      <w:sz w:val="21"/>
      <w:szCs w:val="22"/>
    </w:rPr>
  </w:style>
  <w:style w:type="character" w:customStyle="1" w:styleId="BodyTextChar">
    <w:name w:val="Body Text Char"/>
    <w:link w:val="BodyText"/>
    <w:qFormat/>
    <w:rPr>
      <w:rFonts w:ascii="Times New Roman" w:eastAsia="SimSun" w:hAnsi="Times New Roman"/>
      <w:b/>
      <w:kern w:val="2"/>
      <w:sz w:val="28"/>
      <w:szCs w:val="24"/>
    </w:rPr>
  </w:style>
  <w:style w:type="character" w:customStyle="1" w:styleId="cit-issue">
    <w:name w:val="cit-issue"/>
    <w:basedOn w:val="DefaultParagraphFont"/>
    <w:qFormat/>
  </w:style>
  <w:style w:type="character" w:customStyle="1" w:styleId="CommentTextChar">
    <w:name w:val="Comment Text Char"/>
    <w:link w:val="CommentText"/>
    <w:uiPriority w:val="99"/>
    <w:semiHidden/>
    <w:qFormat/>
    <w:rPr>
      <w:kern w:val="2"/>
      <w:sz w:val="21"/>
      <w:szCs w:val="22"/>
    </w:rPr>
  </w:style>
  <w:style w:type="character" w:customStyle="1" w:styleId="BalloonTextChar">
    <w:name w:val="Balloon Text Char"/>
    <w:link w:val="BalloonText"/>
    <w:uiPriority w:val="99"/>
    <w:semiHidden/>
    <w:qFormat/>
    <w:rPr>
      <w:kern w:val="2"/>
      <w:sz w:val="18"/>
      <w:szCs w:val="18"/>
    </w:rPr>
  </w:style>
  <w:style w:type="paragraph" w:customStyle="1" w:styleId="label">
    <w:name w:val="label"/>
    <w:basedOn w:val="Normal"/>
    <w:qFormat/>
    <w:pPr>
      <w:widowControl/>
      <w:spacing w:before="100" w:beforeAutospacing="1" w:after="100" w:afterAutospacing="1"/>
      <w:jc w:val="left"/>
    </w:pPr>
    <w:rPr>
      <w:rFonts w:ascii="SimSun" w:hAnsi="SimSun" w:cs="SimSun"/>
      <w:kern w:val="0"/>
      <w:sz w:val="24"/>
      <w:szCs w:val="24"/>
    </w:rPr>
  </w:style>
  <w:style w:type="paragraph" w:customStyle="1" w:styleId="Default">
    <w:name w:val="Default"/>
    <w:qFormat/>
    <w:pPr>
      <w:widowControl w:val="0"/>
      <w:autoSpaceDE w:val="0"/>
      <w:autoSpaceDN w:val="0"/>
      <w:adjustRightInd w:val="0"/>
    </w:pPr>
    <w:rPr>
      <w:rFonts w:ascii="Times New Roman PSMT" w:eastAsia="Times New Roman PSMT" w:hAnsi="DengXian" w:cs="Times New Roman PSMT"/>
      <w:color w:val="000000"/>
      <w:sz w:val="24"/>
      <w:szCs w:val="24"/>
      <w:lang w:val="en-US"/>
    </w:rPr>
  </w:style>
  <w:style w:type="paragraph" w:customStyle="1" w:styleId="1">
    <w:name w:val="正文1"/>
    <w:qFormat/>
    <w:pPr>
      <w:jc w:val="both"/>
    </w:pPr>
    <w:rPr>
      <w:rFonts w:ascii="Calibri" w:hAnsi="Calibri" w:cs="SimSun"/>
      <w:kern w:val="2"/>
      <w:sz w:val="21"/>
      <w:szCs w:val="21"/>
      <w:lang w:val="en-US"/>
    </w:rPr>
  </w:style>
  <w:style w:type="paragraph" w:customStyle="1" w:styleId="BBAuthorName">
    <w:name w:val="BB_Author_Name"/>
    <w:basedOn w:val="Normal"/>
    <w:next w:val="Normal"/>
    <w:uiPriority w:val="99"/>
    <w:qFormat/>
    <w:pPr>
      <w:widowControl/>
      <w:spacing w:after="180"/>
      <w:jc w:val="left"/>
    </w:pPr>
    <w:rPr>
      <w:color w:val="000000"/>
      <w:kern w:val="26"/>
      <w:sz w:val="24"/>
      <w:szCs w:val="20"/>
      <w:lang w:eastAsia="en-US"/>
    </w:rPr>
  </w:style>
  <w:style w:type="paragraph" w:customStyle="1" w:styleId="kwmain">
    <w:name w:val="kw_main"/>
    <w:basedOn w:val="Normal"/>
    <w:qFormat/>
    <w:pPr>
      <w:widowControl/>
      <w:spacing w:before="100" w:beforeAutospacing="1" w:after="100" w:afterAutospacing="1"/>
      <w:jc w:val="left"/>
    </w:pPr>
    <w:rPr>
      <w:rFonts w:ascii="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pubmed.ncbi.nlm.nih.gov/?sort=date&amp;term=Kallioniemi+OP&amp;cauthor_id=1359641" TargetMode="External"/><Relationship Id="rId21" Type="http://schemas.openxmlformats.org/officeDocument/2006/relationships/hyperlink" Target="https://pubmed.ncbi.nlm.nih.gov/?term=Espinet%20B%5BAuthor%5D" TargetMode="External"/><Relationship Id="rId42" Type="http://schemas.openxmlformats.org/officeDocument/2006/relationships/hyperlink" Target="https://doi.org/10.3324%2Fhaematol.2022.281413" TargetMode="External"/><Relationship Id="rId63" Type="http://schemas.openxmlformats.org/officeDocument/2006/relationships/hyperlink" Target="https://pubmed.ncbi.nlm.nih.gov/?term=Jeelani%20S%5BAuthor%5D" TargetMode="External"/><Relationship Id="rId84" Type="http://schemas.openxmlformats.org/officeDocument/2006/relationships/hyperlink" Target="https://pubs.acs.org/action/doSearch?field1=Contrib&amp;text1=Leonardo+B.++Pinheiro" TargetMode="External"/><Relationship Id="rId138" Type="http://schemas.openxmlformats.org/officeDocument/2006/relationships/hyperlink" Target="https://pathsocjournals.onlinelibrary.wiley.com/authored-by/Wyllie/Andrew+H." TargetMode="External"/><Relationship Id="rId159" Type="http://schemas.openxmlformats.org/officeDocument/2006/relationships/hyperlink" Target="https://doi.org/10.1016%2Fj.molcel.2015.05.004" TargetMode="External"/><Relationship Id="rId107" Type="http://schemas.openxmlformats.org/officeDocument/2006/relationships/hyperlink" Target="https://pubmed.ncbi.nlm.nih.gov/?term=Kebriaei+P&amp;cauthor_id=29448058" TargetMode="External"/><Relationship Id="rId11" Type="http://schemas.openxmlformats.org/officeDocument/2006/relationships/footer" Target="footer2.xml"/><Relationship Id="rId32" Type="http://schemas.openxmlformats.org/officeDocument/2006/relationships/hyperlink" Target="https://www.ncbi.nlm.nih.gov/pmc/articles/PMC7387292/" TargetMode="External"/><Relationship Id="rId53" Type="http://schemas.openxmlformats.org/officeDocument/2006/relationships/hyperlink" Target="https://pubmed.ncbi.nlm.nih.gov/?term=Yang+CP&amp;cauthor_id=12116073" TargetMode="External"/><Relationship Id="rId74" Type="http://schemas.openxmlformats.org/officeDocument/2006/relationships/hyperlink" Target="https://pubmed.ncbi.nlm.nih.gov/?term=Cheng%20CN%5BAuthor%5D" TargetMode="External"/><Relationship Id="rId128" Type="http://schemas.openxmlformats.org/officeDocument/2006/relationships/hyperlink" Target="https://pubmed.ncbi.nlm.nih.gov/?sort=date&amp;term=Scott+CE&amp;cauthor_id=12619160" TargetMode="External"/><Relationship Id="rId149" Type="http://schemas.openxmlformats.org/officeDocument/2006/relationships/hyperlink" Target="https://pubmed.ncbi.nlm.nih.gov/?term=Ni%20W%5BAuthor%5D" TargetMode="External"/><Relationship Id="rId5" Type="http://schemas.openxmlformats.org/officeDocument/2006/relationships/footnotes" Target="footnotes.xml"/><Relationship Id="rId95" Type="http://schemas.openxmlformats.org/officeDocument/2006/relationships/hyperlink" Target="https://pubmed.ncbi.nlm.nih.gov/?term=tevenson%20MS%5BAuthor%5D" TargetMode="External"/><Relationship Id="rId160" Type="http://schemas.openxmlformats.org/officeDocument/2006/relationships/hyperlink" Target="https://www.ncbi.nlm.nih.gov/pmc/articles/PMC4973462/" TargetMode="External"/><Relationship Id="rId22" Type="http://schemas.openxmlformats.org/officeDocument/2006/relationships/hyperlink" Target="https://pubmed.ncbi.nlm.nih.gov/?term=Foot%20N%5BAuthor%5D" TargetMode="External"/><Relationship Id="rId43" Type="http://schemas.openxmlformats.org/officeDocument/2006/relationships/hyperlink" Target="https://pubmed.ncbi.nlm.nih.gov/?term=Lee%20D%5BAuthor%5D" TargetMode="External"/><Relationship Id="rId64" Type="http://schemas.openxmlformats.org/officeDocument/2006/relationships/hyperlink" Target="https://www.ncbi.nlm.nih.gov/pmc/articles/PMC6172424/" TargetMode="External"/><Relationship Id="rId118" Type="http://schemas.openxmlformats.org/officeDocument/2006/relationships/hyperlink" Target="https://pubmed.ncbi.nlm.nih.gov/?sort=date&amp;term=Sudar+D&amp;cauthor_id=1359641" TargetMode="External"/><Relationship Id="rId139" Type="http://schemas.openxmlformats.org/officeDocument/2006/relationships/hyperlink" Target="file:///C:\Users\KrishnamurtD\OneDrive%20-%20Informa%20plc\Desktop\4b4bd\414586%20Gao\Proc%20Natl%20Acad%20Sci" TargetMode="External"/><Relationship Id="rId85" Type="http://schemas.openxmlformats.org/officeDocument/2006/relationships/hyperlink" Target="https://pubs.acs.org/action/doSearch?field1=Contrib&amp;text1=Victoria+A.++Coleman" TargetMode="External"/><Relationship Id="rId150" Type="http://schemas.openxmlformats.org/officeDocument/2006/relationships/hyperlink" Target="https://pubmed.ncbi.nlm.nih.gov/?term=Tong%20X%5BAuthor%5D" TargetMode="External"/><Relationship Id="rId12" Type="http://schemas.openxmlformats.org/officeDocument/2006/relationships/footer" Target="footer3.xml"/><Relationship Id="rId17" Type="http://schemas.openxmlformats.org/officeDocument/2006/relationships/hyperlink" Target="https://pubmed.ncbi.nlm.nih.gov/?term=van%20den%20Berg%20E%5BAuthor%5D" TargetMode="External"/><Relationship Id="rId33" Type="http://schemas.openxmlformats.org/officeDocument/2006/relationships/hyperlink" Target="https://doi.org/10.1038%2Fs41375-020-0736-x" TargetMode="External"/><Relationship Id="rId38" Type="http://schemas.openxmlformats.org/officeDocument/2006/relationships/hyperlink" Target="https://pubmed.ncbi.nlm.nih.gov/?sort=date&amp;term=B%C3%BCchner+T&amp;cauthor_id=15322432" TargetMode="External"/><Relationship Id="rId59" Type="http://schemas.openxmlformats.org/officeDocument/2006/relationships/hyperlink" Target="https://pubmed.ncbi.nlm.nih.gov/?term=Azad%20N%5BAuthor%5D" TargetMode="External"/><Relationship Id="rId103" Type="http://schemas.openxmlformats.org/officeDocument/2006/relationships/hyperlink" Target="https://pubmed.ncbi.nlm.nih.gov/?term=Alousi+AM&amp;cauthor_id=29448058" TargetMode="External"/><Relationship Id="rId108" Type="http://schemas.openxmlformats.org/officeDocument/2006/relationships/hyperlink" Target="https://pubmed.ncbi.nlm.nih.gov/?term=Marin+D&amp;cauthor_id=29448058" TargetMode="External"/><Relationship Id="rId124" Type="http://schemas.openxmlformats.org/officeDocument/2006/relationships/hyperlink" Target="https://pubmed.ncbi.nlm.nih.gov/?sort=date&amp;term=Carr+P&amp;cauthor_id=12619160" TargetMode="External"/><Relationship Id="rId129" Type="http://schemas.openxmlformats.org/officeDocument/2006/relationships/hyperlink" Target="https://pubmed.ncbi.nlm.nih.gov/?sort=date&amp;term=Smith+J&amp;cauthor_id=12619160" TargetMode="External"/><Relationship Id="rId54" Type="http://schemas.openxmlformats.org/officeDocument/2006/relationships/hyperlink" Target="https://pubmed.ncbi.nlm.nih.gov/?term=Hung+IJ&amp;cauthor_id=12116073" TargetMode="External"/><Relationship Id="rId70" Type="http://schemas.openxmlformats.org/officeDocument/2006/relationships/hyperlink" Target="https://pubmed.ncbi.nlm.nih.gov/?term=Lin%20CY%5BAuthor%5D" TargetMode="External"/><Relationship Id="rId75" Type="http://schemas.openxmlformats.org/officeDocument/2006/relationships/hyperlink" Target="https://pubmed.ncbi.nlm.nih.gov/?term=Chang%20HH%5BAuthor%5D" TargetMode="External"/><Relationship Id="rId91" Type="http://schemas.openxmlformats.org/officeDocument/2006/relationships/hyperlink" Target="https://doi.org/10.1021/ac202578x" TargetMode="External"/><Relationship Id="rId96" Type="http://schemas.openxmlformats.org/officeDocument/2006/relationships/hyperlink" Target="https://pubmed.ncbi.nlm.nih.gov/?term=Yuan%20CM%5BAuthor%5D" TargetMode="External"/><Relationship Id="rId140" Type="http://schemas.openxmlformats.org/officeDocument/2006/relationships/hyperlink" Target="https://doi.org/10.1073/pnas.74.2.560" TargetMode="External"/><Relationship Id="rId145" Type="http://schemas.openxmlformats.org/officeDocument/2006/relationships/hyperlink" Target="https://pubmed.ncbi.nlm.nih.gov/?term=Yang%20C%5BAuthor%5D"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pubmed.ncbi.nlm.nih.gov/?term=Jeffries%20S%5BAuthor%5D" TargetMode="External"/><Relationship Id="rId28" Type="http://schemas.openxmlformats.org/officeDocument/2006/relationships/hyperlink" Target="https://pubmed.ncbi.nlm.nih.gov/?term=Telford%20N%5BAuthor%5D" TargetMode="External"/><Relationship Id="rId49" Type="http://schemas.openxmlformats.org/officeDocument/2006/relationships/hyperlink" Target="https://www.ncbi.nlm.nih.gov/pmc/articles/PMC8029453/" TargetMode="External"/><Relationship Id="rId114" Type="http://schemas.openxmlformats.org/officeDocument/2006/relationships/hyperlink" Target="https://pubmed.ncbi.nlm.nih.gov/?term=Champlin+RE&amp;cauthor_id=29448058" TargetMode="External"/><Relationship Id="rId119" Type="http://schemas.openxmlformats.org/officeDocument/2006/relationships/hyperlink" Target="https://pubmed.ncbi.nlm.nih.gov/?sort=date&amp;term=Rutovitz+D&amp;cauthor_id=1359641" TargetMode="External"/><Relationship Id="rId44" Type="http://schemas.openxmlformats.org/officeDocument/2006/relationships/hyperlink" Target="https://pubmed.ncbi.nlm.nih.gov/?term=Suh%20Y%5BAuthor%5D" TargetMode="External"/><Relationship Id="rId60" Type="http://schemas.openxmlformats.org/officeDocument/2006/relationships/hyperlink" Target="https://pubmed.ncbi.nlm.nih.gov/?term=Shah%20Z%5BAuthor%5D" TargetMode="External"/><Relationship Id="rId65" Type="http://schemas.openxmlformats.org/officeDocument/2006/relationships/hyperlink" Target="https://doi.org/10.1042%2FBSR20180974" TargetMode="External"/><Relationship Id="rId81" Type="http://schemas.openxmlformats.org/officeDocument/2006/relationships/hyperlink" Target="https://pubmed.ncbi.nlm.nih.gov/?term=Lin%20SW%5BAuthor%5D" TargetMode="External"/><Relationship Id="rId86" Type="http://schemas.openxmlformats.org/officeDocument/2006/relationships/hyperlink" Target="https://pubs.acs.org/action/doSearch?field1=Contrib&amp;text1=Christopher+M.++Hindson" TargetMode="External"/><Relationship Id="rId130" Type="http://schemas.openxmlformats.org/officeDocument/2006/relationships/hyperlink" Target="https://pubmed.ncbi.nlm.nih.gov/?sort=date&amp;term=Vetrie+D&amp;cauthor_id=12619160" TargetMode="External"/><Relationship Id="rId135" Type="http://schemas.openxmlformats.org/officeDocument/2006/relationships/hyperlink" Target="https://pubmed.ncbi.nlm.nih.gov/?term=Beroukhim+R&amp;cauthor_id=17133111" TargetMode="External"/><Relationship Id="rId151" Type="http://schemas.openxmlformats.org/officeDocument/2006/relationships/hyperlink" Target="https://pubmed.ncbi.nlm.nih.gov/?term=Fei%20M%5BAuthor%5D" TargetMode="External"/><Relationship Id="rId156" Type="http://schemas.openxmlformats.org/officeDocument/2006/relationships/hyperlink" Target="https://doi.org/10.1073%2Fpnas.93.25.14676" TargetMode="External"/><Relationship Id="rId13" Type="http://schemas.openxmlformats.org/officeDocument/2006/relationships/image" Target="media/image3.png"/><Relationship Id="rId18" Type="http://schemas.openxmlformats.org/officeDocument/2006/relationships/hyperlink" Target="https://pubmed.ncbi.nlm.nih.gov/?term=Haferlach%20C%5BAuthor%5D" TargetMode="External"/><Relationship Id="rId39" Type="http://schemas.openxmlformats.org/officeDocument/2006/relationships/hyperlink" Target="https://pubmed.ncbi.nlm.nih.gov/?sort=date&amp;term=Horst+J&amp;cauthor_id=15322432" TargetMode="External"/><Relationship Id="rId109" Type="http://schemas.openxmlformats.org/officeDocument/2006/relationships/hyperlink" Target="https://pubmed.ncbi.nlm.nih.gov/?term=Patel+KP&amp;cauthor_id=29448058" TargetMode="External"/><Relationship Id="rId34" Type="http://schemas.openxmlformats.org/officeDocument/2006/relationships/hyperlink" Target="https://pubmed.ncbi.nlm.nih.gov/?sort=date&amp;term=Tchinda+J&amp;cauthor_id=15322432" TargetMode="External"/><Relationship Id="rId50" Type="http://schemas.openxmlformats.org/officeDocument/2006/relationships/hyperlink" Target="https://doi.org/10.1111%2Fbpa.12000" TargetMode="External"/><Relationship Id="rId55" Type="http://schemas.openxmlformats.org/officeDocument/2006/relationships/hyperlink" Target="https://pubmed.ncbi.nlm.nih.gov/?term=Chen+SH&amp;cauthor_id=12116073" TargetMode="External"/><Relationship Id="rId76" Type="http://schemas.openxmlformats.org/officeDocument/2006/relationships/hyperlink" Target="https://pubmed.ncbi.nlm.nih.gov/?term=Chou%20SW%5BAuthor%5D" TargetMode="External"/><Relationship Id="rId97" Type="http://schemas.openxmlformats.org/officeDocument/2006/relationships/hyperlink" Target="https://www.ncbi.nlm.nih.gov/entrez/eutils/elink.fcgi?dbfrom=pubmed&amp;retmode=ref&amp;cmd=prlinks&amp;id=22837143" TargetMode="External"/><Relationship Id="rId104" Type="http://schemas.openxmlformats.org/officeDocument/2006/relationships/hyperlink" Target="https://pubmed.ncbi.nlm.nih.gov/?term=Andersson+BS&amp;cauthor_id=29448058" TargetMode="External"/><Relationship Id="rId120" Type="http://schemas.openxmlformats.org/officeDocument/2006/relationships/hyperlink" Target="https://pubmed.ncbi.nlm.nih.gov/?sort=date&amp;term=Gray+JW&amp;cauthor_id=1359641" TargetMode="External"/><Relationship Id="rId125" Type="http://schemas.openxmlformats.org/officeDocument/2006/relationships/hyperlink" Target="https://pubmed.ncbi.nlm.nih.gov/?sort=date&amp;term=Douglas+EJ&amp;cauthor_id=12619160" TargetMode="External"/><Relationship Id="rId141" Type="http://schemas.openxmlformats.org/officeDocument/2006/relationships/hyperlink" Target="https://pubmed.ncbi.nlm.nih.gov/?sort=date&amp;term=Shivaswamy+S&amp;cauthor_id=17309841" TargetMode="External"/><Relationship Id="rId146" Type="http://schemas.openxmlformats.org/officeDocument/2006/relationships/hyperlink" Target="https://pubmed.ncbi.nlm.nih.gov/?term=Hua%20N%5BAuthor%5D" TargetMode="External"/><Relationship Id="rId7" Type="http://schemas.openxmlformats.org/officeDocument/2006/relationships/image" Target="media/image1.png"/><Relationship Id="rId71" Type="http://schemas.openxmlformats.org/officeDocument/2006/relationships/hyperlink" Target="https://pubmed.ncbi.nlm.nih.gov/?term=Lin%20KH%5BAuthor%5D" TargetMode="External"/><Relationship Id="rId92" Type="http://schemas.openxmlformats.org/officeDocument/2006/relationships/hyperlink" Target="https://pubmed.ncbi.nlm.nih.gov/?term=Song%20JY%5BAuthor%5D"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pubmed.ncbi.nlm.nih.gov/?term=Stioui%20S%5BAuthor%5D" TargetMode="External"/><Relationship Id="rId24" Type="http://schemas.openxmlformats.org/officeDocument/2006/relationships/hyperlink" Target="https://pubmed.ncbi.nlm.nih.gov/?term=Martin%20K%5BAuthor%5D" TargetMode="External"/><Relationship Id="rId40" Type="http://schemas.openxmlformats.org/officeDocument/2006/relationships/hyperlink" Target="https://pubmed.ncbi.nlm.nih.gov/?term=Cav%C3%A9%20H%5BAuthor%5D" TargetMode="External"/><Relationship Id="rId45" Type="http://schemas.openxmlformats.org/officeDocument/2006/relationships/hyperlink" Target="https://pubmed.ncbi.nlm.nih.gov/?term=Kang%20SY%5BAuthor%5D" TargetMode="External"/><Relationship Id="rId66" Type="http://schemas.openxmlformats.org/officeDocument/2006/relationships/hyperlink" Target="https://pubmed.ncbi.nlm.nih.gov/?term=Yu%20CH%5BAuthor%5D" TargetMode="External"/><Relationship Id="rId87" Type="http://schemas.openxmlformats.org/officeDocument/2006/relationships/hyperlink" Target="https://pubs.acs.org/action/doSearch?field1=Contrib&amp;text1=Jan++Herrmann" TargetMode="External"/><Relationship Id="rId110" Type="http://schemas.openxmlformats.org/officeDocument/2006/relationships/hyperlink" Target="https://pubmed.ncbi.nlm.nih.gov/?term=Popat+UR&amp;cauthor_id=29448058" TargetMode="External"/><Relationship Id="rId115" Type="http://schemas.openxmlformats.org/officeDocument/2006/relationships/hyperlink" Target="https://pubmed.ncbi.nlm.nih.gov/?term=Oran+B&amp;cauthor_id=29448058" TargetMode="External"/><Relationship Id="rId131" Type="http://schemas.openxmlformats.org/officeDocument/2006/relationships/hyperlink" Target="https://pubmed.ncbi.nlm.nih.gov/?sort=date&amp;term=Gorman+P&amp;cauthor_id=12619160" TargetMode="External"/><Relationship Id="rId136" Type="http://schemas.openxmlformats.org/officeDocument/2006/relationships/hyperlink" Target="https://pathsocjournals.onlinelibrary.wiley.com/authored-by/Kurian/Kathreena+M." TargetMode="External"/><Relationship Id="rId157" Type="http://schemas.openxmlformats.org/officeDocument/2006/relationships/hyperlink" Target="https://doi.org/10.1126/science.1229164" TargetMode="External"/><Relationship Id="rId61" Type="http://schemas.openxmlformats.org/officeDocument/2006/relationships/hyperlink" Target="https://pubmed.ncbi.nlm.nih.gov/?term=Pandith%20A%5BAuthor%5D" TargetMode="External"/><Relationship Id="rId82" Type="http://schemas.openxmlformats.org/officeDocument/2006/relationships/hyperlink" Target="https://pubmed.ncbi.nlm.nih.gov/?term=Chen%20HY%5BAuthor%5D" TargetMode="External"/><Relationship Id="rId152" Type="http://schemas.openxmlformats.org/officeDocument/2006/relationships/hyperlink" Target="https://pubmed.ncbi.nlm.nih.gov/?term=Wang%20S%5BAuthor%5D" TargetMode="External"/><Relationship Id="rId19" Type="http://schemas.openxmlformats.org/officeDocument/2006/relationships/hyperlink" Target="https://pubmed.ncbi.nlm.nih.gov/?term=Beverloo%20HB%5BAuthor%5D" TargetMode="External"/><Relationship Id="rId14" Type="http://schemas.openxmlformats.org/officeDocument/2006/relationships/hyperlink" Target="https://pubmed.ncbi.nlm.nih.gov/28706388/" TargetMode="External"/><Relationship Id="rId30" Type="http://schemas.openxmlformats.org/officeDocument/2006/relationships/hyperlink" Target="https://pubmed.ncbi.nlm.nih.gov/?term=Zemanova%20Z%5BAuthor%5D" TargetMode="External"/><Relationship Id="rId35" Type="http://schemas.openxmlformats.org/officeDocument/2006/relationships/hyperlink" Target="https://pubmed.ncbi.nlm.nih.gov/?sort=date&amp;term=Neumann+TE&amp;cauthor_id=15322432" TargetMode="External"/><Relationship Id="rId56" Type="http://schemas.openxmlformats.org/officeDocument/2006/relationships/hyperlink" Target="https://pubmed.ncbi.nlm.nih.gov/?term=Jaing+TH&amp;cauthor_id=12116073" TargetMode="External"/><Relationship Id="rId77" Type="http://schemas.openxmlformats.org/officeDocument/2006/relationships/hyperlink" Target="https://pubmed.ncbi.nlm.nih.gov/?term=Su%20MY%5BAuthor%5D" TargetMode="External"/><Relationship Id="rId100" Type="http://schemas.openxmlformats.org/officeDocument/2006/relationships/hyperlink" Target="https://pubmed.ncbi.nlm.nih.gov/?term=Jorgensen+JL&amp;cauthor_id=29448058" TargetMode="External"/><Relationship Id="rId105" Type="http://schemas.openxmlformats.org/officeDocument/2006/relationships/hyperlink" Target="https://pubmed.ncbi.nlm.nih.gov/?term=Bashir+Q&amp;cauthor_id=29448058" TargetMode="External"/><Relationship Id="rId126" Type="http://schemas.openxmlformats.org/officeDocument/2006/relationships/hyperlink" Target="https://pubmed.ncbi.nlm.nih.gov/?sort=date&amp;term=Burford+DC&amp;cauthor_id=12619160" TargetMode="External"/><Relationship Id="rId147" Type="http://schemas.openxmlformats.org/officeDocument/2006/relationships/hyperlink" Target="https://pubmed.ncbi.nlm.nih.gov/?term=Wu%20Y%5BAuthor%5D" TargetMode="External"/><Relationship Id="rId8" Type="http://schemas.openxmlformats.org/officeDocument/2006/relationships/image" Target="media/image2.emf"/><Relationship Id="rId51" Type="http://schemas.openxmlformats.org/officeDocument/2006/relationships/hyperlink" Target="https://pubmed.ncbi.nlm.nih.gov/?term=Liang+DC&amp;cauthor_id=12116073" TargetMode="External"/><Relationship Id="rId72" Type="http://schemas.openxmlformats.org/officeDocument/2006/relationships/hyperlink" Target="https://pubmed.ncbi.nlm.nih.gov/?term=Lu%20MY%5BAuthor%5D" TargetMode="External"/><Relationship Id="rId93" Type="http://schemas.openxmlformats.org/officeDocument/2006/relationships/hyperlink" Target="https://pubmed.ncbi.nlm.nih.gov/?term=Filie%20AC%5BAuthor%5D" TargetMode="External"/><Relationship Id="rId98" Type="http://schemas.openxmlformats.org/officeDocument/2006/relationships/hyperlink" Target="https://doi.org/10.1002%2Fcyto.b.21033" TargetMode="External"/><Relationship Id="rId121" Type="http://schemas.openxmlformats.org/officeDocument/2006/relationships/hyperlink" Target="https://pubmed.ncbi.nlm.nih.gov/?sort=date&amp;term=Waldman+F&amp;cauthor_id=1359641" TargetMode="External"/><Relationship Id="rId142" Type="http://schemas.openxmlformats.org/officeDocument/2006/relationships/hyperlink" Target="https://pubmed.ncbi.nlm.nih.gov/?sort=date&amp;term=Iyer+VR&amp;cauthor_id=17309841" TargetMode="External"/><Relationship Id="rId3" Type="http://schemas.openxmlformats.org/officeDocument/2006/relationships/settings" Target="settings.xml"/><Relationship Id="rId25" Type="http://schemas.openxmlformats.org/officeDocument/2006/relationships/hyperlink" Target="https://pubmed.ncbi.nlm.nih.gov/?term=O%E2%80%99Connor%20S%5BAuthor%5D" TargetMode="External"/><Relationship Id="rId46" Type="http://schemas.openxmlformats.org/officeDocument/2006/relationships/hyperlink" Target="https://pubmed.ncbi.nlm.nih.gov/?term=Park%20T%5BAuthor%5D" TargetMode="External"/><Relationship Id="rId67" Type="http://schemas.openxmlformats.org/officeDocument/2006/relationships/hyperlink" Target="https://pubmed.ncbi.nlm.nih.gov/?term=Chang%20YH%5BAuthor%5D" TargetMode="External"/><Relationship Id="rId116" Type="http://schemas.openxmlformats.org/officeDocument/2006/relationships/hyperlink" Target="https://pubmed.ncbi.nlm.nih.gov/?sort=date&amp;term=Kallioniemi+A&amp;cauthor_id=1359641" TargetMode="External"/><Relationship Id="rId137" Type="http://schemas.openxmlformats.org/officeDocument/2006/relationships/hyperlink" Target="https://pathsocjournals.onlinelibrary.wiley.com/authored-by/Watson/Christine+J." TargetMode="External"/><Relationship Id="rId158" Type="http://schemas.openxmlformats.org/officeDocument/2006/relationships/hyperlink" Target="https://www.ncbi.nlm.nih.gov/entrez/eutils/elink.fcgi?dbfrom=pubmed&amp;retmode=ref&amp;cmd=prlinks&amp;id=26000844" TargetMode="External"/><Relationship Id="rId20" Type="http://schemas.openxmlformats.org/officeDocument/2006/relationships/hyperlink" Target="https://pubmed.ncbi.nlm.nih.gov/?term=Costa%20D%5BAuthor%5D" TargetMode="External"/><Relationship Id="rId41" Type="http://schemas.openxmlformats.org/officeDocument/2006/relationships/hyperlink" Target="https://www.ncbi.nlm.nih.gov/pmc/articles/PMC9335092/" TargetMode="External"/><Relationship Id="rId62" Type="http://schemas.openxmlformats.org/officeDocument/2006/relationships/hyperlink" Target="https://pubmed.ncbi.nlm.nih.gov/?term=Rasool%20R%5BAuthor%5D" TargetMode="External"/><Relationship Id="rId83" Type="http://schemas.openxmlformats.org/officeDocument/2006/relationships/hyperlink" Target="https://pubmed.ncbi.nlm.nih.gov/?term=Yang%20YL%5BAuthor%5D" TargetMode="External"/><Relationship Id="rId88" Type="http://schemas.openxmlformats.org/officeDocument/2006/relationships/hyperlink" Target="https://pubs.acs.org/action/doSearch?field1=Contrib&amp;text1=Benjamin+J.++Hindson" TargetMode="External"/><Relationship Id="rId111" Type="http://schemas.openxmlformats.org/officeDocument/2006/relationships/hyperlink" Target="https://pubmed.ncbi.nlm.nih.gov/?term=Rezvani+K&amp;cauthor_id=29448058" TargetMode="External"/><Relationship Id="rId132" Type="http://schemas.openxmlformats.org/officeDocument/2006/relationships/hyperlink" Target="https://pubmed.ncbi.nlm.nih.gov/?sort=date&amp;term=Tomlinson+IP&amp;cauthor_id=12619160" TargetMode="External"/><Relationship Id="rId153" Type="http://schemas.openxmlformats.org/officeDocument/2006/relationships/hyperlink" Target="https://www.ncbi.nlm.nih.gov/pmc/articles/PMC8259727/" TargetMode="External"/><Relationship Id="rId15" Type="http://schemas.openxmlformats.org/officeDocument/2006/relationships/hyperlink" Target="https://doi.org/10.1182/blood-2013-05-501569" TargetMode="External"/><Relationship Id="rId36" Type="http://schemas.openxmlformats.org/officeDocument/2006/relationships/hyperlink" Target="https://pubmed.ncbi.nlm.nih.gov/?sort=date&amp;term=Volpert+S&amp;cauthor_id=15322432" TargetMode="External"/><Relationship Id="rId57" Type="http://schemas.openxmlformats.org/officeDocument/2006/relationships/hyperlink" Target="https://pubmed.ncbi.nlm.nih.gov/?term=Liu+HC&amp;cauthor_id=12116073" TargetMode="External"/><Relationship Id="rId106" Type="http://schemas.openxmlformats.org/officeDocument/2006/relationships/hyperlink" Target="https://pubmed.ncbi.nlm.nih.gov/?term=Ciurea+SO&amp;cauthor_id=29448058" TargetMode="External"/><Relationship Id="rId127" Type="http://schemas.openxmlformats.org/officeDocument/2006/relationships/hyperlink" Target="https://pubmed.ncbi.nlm.nih.gov/?sort=date&amp;term=Hunt+S&amp;cauthor_id=12619160" TargetMode="External"/><Relationship Id="rId10" Type="http://schemas.openxmlformats.org/officeDocument/2006/relationships/footer" Target="footer1.xml"/><Relationship Id="rId31" Type="http://schemas.openxmlformats.org/officeDocument/2006/relationships/hyperlink" Target="https://pubmed.ncbi.nlm.nih.gov/?term=Hastings%20RJ%5BAuthor%5D" TargetMode="External"/><Relationship Id="rId52" Type="http://schemas.openxmlformats.org/officeDocument/2006/relationships/hyperlink" Target="https://pubmed.ncbi.nlm.nih.gov/?term=Shih+LY&amp;cauthor_id=12116073" TargetMode="External"/><Relationship Id="rId73" Type="http://schemas.openxmlformats.org/officeDocument/2006/relationships/hyperlink" Target="https://pubmed.ncbi.nlm.nih.gov/?term=Wu%20KH%5BAuthor%5D" TargetMode="External"/><Relationship Id="rId78" Type="http://schemas.openxmlformats.org/officeDocument/2006/relationships/hyperlink" Target="https://pubmed.ncbi.nlm.nih.gov/?term=Ni%20YL%5BAuthor%5D" TargetMode="External"/><Relationship Id="rId94" Type="http://schemas.openxmlformats.org/officeDocument/2006/relationships/hyperlink" Target="https://pubmed.ncbi.nlm.nih.gov/?term=Venzon%20D%5BAuthor%5D" TargetMode="External"/><Relationship Id="rId99" Type="http://schemas.openxmlformats.org/officeDocument/2006/relationships/hyperlink" Target="https://pubmed.ncbi.nlm.nih.gov/?term=Shah+MV&amp;cauthor_id=29448058" TargetMode="External"/><Relationship Id="rId101" Type="http://schemas.openxmlformats.org/officeDocument/2006/relationships/hyperlink" Target="https://pubmed.ncbi.nlm.nih.gov/?term=Saliba+RM&amp;cauthor_id=29448058" TargetMode="External"/><Relationship Id="rId122" Type="http://schemas.openxmlformats.org/officeDocument/2006/relationships/hyperlink" Target="https://pubmed.ncbi.nlm.nih.gov/?sort=date&amp;term=Pinkel+D&amp;cauthor_id=1359641" TargetMode="External"/><Relationship Id="rId143" Type="http://schemas.openxmlformats.org/officeDocument/2006/relationships/hyperlink" Target="https://pubmed.ncbi.nlm.nih.gov/?term=Zhu%20L%5BAuthor%5D" TargetMode="External"/><Relationship Id="rId148" Type="http://schemas.openxmlformats.org/officeDocument/2006/relationships/hyperlink" Target="https://pubmed.ncbi.nlm.nih.gov/?term=Wang%20L%5BAuthor%5D" TargetMode="Externa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hyperlink" Target="https://pubmed.ncbi.nlm.nih.gov/?term=Schoumans%20J%5BAuthor%5D" TargetMode="External"/><Relationship Id="rId47" Type="http://schemas.openxmlformats.org/officeDocument/2006/relationships/hyperlink" Target="https://pubmed.ncbi.nlm.nih.gov/?term=Jeong%20JY%5BAuthor%5D" TargetMode="External"/><Relationship Id="rId68" Type="http://schemas.openxmlformats.org/officeDocument/2006/relationships/hyperlink" Target="https://pubmed.ncbi.nlm.nih.gov/?term=Wang%20DS%5BAuthor%5D" TargetMode="External"/><Relationship Id="rId89" Type="http://schemas.openxmlformats.org/officeDocument/2006/relationships/hyperlink" Target="https://pubs.acs.org/action/doSearch?field1=Contrib&amp;text1=Somanath++Bhat" TargetMode="External"/><Relationship Id="rId112" Type="http://schemas.openxmlformats.org/officeDocument/2006/relationships/hyperlink" Target="https://pubmed.ncbi.nlm.nih.gov/?term=Rondon+G&amp;cauthor_id=29448058" TargetMode="External"/><Relationship Id="rId133" Type="http://schemas.openxmlformats.org/officeDocument/2006/relationships/hyperlink" Target="https://pubmed.ncbi.nlm.nih.gov/?sort=date&amp;term=Carter+NP&amp;cauthor_id=12619160" TargetMode="External"/><Relationship Id="rId154" Type="http://schemas.openxmlformats.org/officeDocument/2006/relationships/hyperlink" Target="https://doi.org/10.2147%2FCMAR.S299505" TargetMode="External"/><Relationship Id="rId16" Type="http://schemas.openxmlformats.org/officeDocument/2006/relationships/hyperlink" Target="https://pubmed.ncbi.nlm.nih.gov/?term=Rack%20KA%5BAuthor%5D" TargetMode="External"/><Relationship Id="rId37" Type="http://schemas.openxmlformats.org/officeDocument/2006/relationships/hyperlink" Target="https://pubmed.ncbi.nlm.nih.gov/?sort=date&amp;term=Berdel+WE&amp;cauthor_id=15322432" TargetMode="External"/><Relationship Id="rId58" Type="http://schemas.openxmlformats.org/officeDocument/2006/relationships/hyperlink" Target="https://pubmed.ncbi.nlm.nih.gov/?term=Chang+WH&amp;cauthor_id=12116073" TargetMode="External"/><Relationship Id="rId79" Type="http://schemas.openxmlformats.org/officeDocument/2006/relationships/hyperlink" Target="https://pubmed.ncbi.nlm.nih.gov/?term=Xu%20PY%5BAuthor%5D" TargetMode="External"/><Relationship Id="rId102" Type="http://schemas.openxmlformats.org/officeDocument/2006/relationships/hyperlink" Target="https://pubmed.ncbi.nlm.nih.gov/?term=Wang+SA&amp;cauthor_id=29448058" TargetMode="External"/><Relationship Id="rId123" Type="http://schemas.openxmlformats.org/officeDocument/2006/relationships/hyperlink" Target="https://pubmed.ncbi.nlm.nih.gov/?sort=date&amp;term=Fiegler+H&amp;cauthor_id=12619160" TargetMode="External"/><Relationship Id="rId144" Type="http://schemas.openxmlformats.org/officeDocument/2006/relationships/hyperlink" Target="https://pubmed.ncbi.nlm.nih.gov/?term=Xie%20S%5BAuthor%5D" TargetMode="External"/><Relationship Id="rId90" Type="http://schemas.openxmlformats.org/officeDocument/2006/relationships/hyperlink" Target="https://pubs.acs.org/action/doSearch?field1=Contrib&amp;text1=Kerry+R.++Emslie" TargetMode="External"/><Relationship Id="rId27" Type="http://schemas.openxmlformats.org/officeDocument/2006/relationships/hyperlink" Target="https://pubmed.ncbi.nlm.nih.gov/?term=Talley%20P%5BAuthor%5D" TargetMode="External"/><Relationship Id="rId48" Type="http://schemas.openxmlformats.org/officeDocument/2006/relationships/hyperlink" Target="https://pubmed.ncbi.nlm.nih.gov/?term=Kim%20S%5BAuthor%5D" TargetMode="External"/><Relationship Id="rId69" Type="http://schemas.openxmlformats.org/officeDocument/2006/relationships/hyperlink" Target="https://pubmed.ncbi.nlm.nih.gov/?term=Jou%20ST%5BAuthor%5D" TargetMode="External"/><Relationship Id="rId113" Type="http://schemas.openxmlformats.org/officeDocument/2006/relationships/hyperlink" Target="https://pubmed.ncbi.nlm.nih.gov/?term=Shpall+EJ&amp;cauthor_id=29448058" TargetMode="External"/><Relationship Id="rId134" Type="http://schemas.openxmlformats.org/officeDocument/2006/relationships/hyperlink" Target="https://pubmed.ncbi.nlm.nih.gov/?term=Dutt+A&amp;cauthor_id=17133111" TargetMode="External"/><Relationship Id="rId80" Type="http://schemas.openxmlformats.org/officeDocument/2006/relationships/hyperlink" Target="https://pubmed.ncbi.nlm.nih.gov/?term=Lin%20DT%5BAuthor%5D" TargetMode="External"/><Relationship Id="rId155" Type="http://schemas.openxmlformats.org/officeDocument/2006/relationships/hyperlink" Target="https://www.ncbi.nlm.nih.gov/pmc/articles/PMC261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5943</Words>
  <Characters>33880</Characters>
  <Application>Microsoft Office Word</Application>
  <DocSecurity>0</DocSecurity>
  <Lines>282</Lines>
  <Paragraphs>79</Paragraphs>
  <ScaleCrop>false</ScaleCrop>
  <Company/>
  <LinksUpToDate>false</LinksUpToDate>
  <CharactersWithSpaces>39744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Krishnamurthi, Divya</cp:lastModifiedBy>
  <cp:revision>3</cp:revision>
  <dcterms:created xsi:type="dcterms:W3CDTF">2023-08-11T03:15:00Z</dcterms:created>
  <dcterms:modified xsi:type="dcterms:W3CDTF">2023-08-11T03:15:00Z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2052-3.7.0.5929</vt:lpwstr>
  </property>
  <property fmtid="{D5CDD505-2E9C-101B-9397-08002B2CF9AE}" pid="3" name="ICV">
    <vt:lpwstr>A670725B79084A50B1A5A1B56A75B976</vt:lpwstr>
  </property>
  <property fmtid="{D5CDD505-2E9C-101B-9397-08002B2CF9AE}" pid="4" name="ClassificationContentMarkingFooterShapeIds">
    <vt:lpwstr>4a80e1f,46e6dae5,179d3d20</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2023-08-11T03:15:21Z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935d37a6-4fd0-437d-b6c2-b3fa0d449ea1</vt:lpwstr>
  </property>
  <property fmtid="{D5CDD505-2E9C-101B-9397-08002B2CF9AE}" pid="13" name="MSIP_Label_2bbab825-a111-45e4-86a1-18cee0005896_ContentBits">
    <vt:lpwstr>2</vt:lpwstr>
  </property>
</Properties>
</file>