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233B" w14:textId="6EC1F018" w:rsidR="00A923F4" w:rsidRPr="00B8658B" w:rsidRDefault="00A923F4" w:rsidP="00A923F4">
      <w:pPr>
        <w:rPr>
          <w:color w:val="000000"/>
        </w:rPr>
      </w:pPr>
      <w:r w:rsidRPr="00B8658B">
        <w:rPr>
          <w:rFonts w:ascii="Arial" w:hAnsi="Arial" w:cs="Arial"/>
          <w:b/>
          <w:bCs/>
          <w:color w:val="000000"/>
        </w:rPr>
        <w:t xml:space="preserve">Supplementary </w:t>
      </w:r>
      <w:r w:rsidR="001D7623" w:rsidRPr="00B8658B">
        <w:rPr>
          <w:rFonts w:ascii="Arial" w:hAnsi="Arial" w:cs="Arial"/>
          <w:b/>
          <w:bCs/>
          <w:color w:val="000000"/>
        </w:rPr>
        <w:t>Material 1</w:t>
      </w:r>
      <w:r w:rsidRPr="00B8658B">
        <w:rPr>
          <w:rFonts w:ascii="Arial" w:hAnsi="Arial" w:cs="Arial"/>
          <w:b/>
          <w:bCs/>
          <w:color w:val="000000"/>
        </w:rPr>
        <w:t>. Study inclusion and exclusion criteria</w:t>
      </w:r>
      <w:r w:rsidRPr="00B8658B">
        <w:rPr>
          <w:rFonts w:ascii="Arial" w:hAnsi="Arial" w:cs="Arial"/>
          <w:b/>
          <w:bCs/>
          <w:color w:val="000000"/>
        </w:rPr>
        <w:br/>
      </w:r>
    </w:p>
    <w:p w14:paraId="418C491A" w14:textId="77777777" w:rsidR="00A923F4" w:rsidRPr="00B8658B" w:rsidRDefault="00A923F4" w:rsidP="00A923F4">
      <w:pPr>
        <w:spacing w:before="120" w:line="480" w:lineRule="auto"/>
        <w:ind w:left="220"/>
        <w:jc w:val="both"/>
        <w:rPr>
          <w:rFonts w:ascii="Arial" w:hAnsi="Arial" w:cs="Arial"/>
          <w:color w:val="000000"/>
        </w:rPr>
      </w:pPr>
      <w:r w:rsidRPr="00B8658B">
        <w:rPr>
          <w:rFonts w:ascii="Arial" w:hAnsi="Arial" w:cs="Arial"/>
          <w:color w:val="000000"/>
        </w:rPr>
        <w:t>For</w:t>
      </w:r>
      <w:r w:rsidRPr="00B8658B">
        <w:rPr>
          <w:rFonts w:ascii="Arial" w:hAnsi="Arial" w:cs="Arial"/>
          <w:color w:val="000000"/>
          <w:spacing w:val="-3"/>
        </w:rPr>
        <w:t xml:space="preserve"> </w:t>
      </w:r>
      <w:r w:rsidRPr="00B8658B">
        <w:rPr>
          <w:rFonts w:ascii="Arial" w:hAnsi="Arial" w:cs="Arial"/>
          <w:color w:val="000000"/>
        </w:rPr>
        <w:t>inclusion</w:t>
      </w:r>
      <w:r w:rsidRPr="00B8658B">
        <w:rPr>
          <w:rFonts w:ascii="Arial" w:hAnsi="Arial" w:cs="Arial"/>
          <w:color w:val="000000"/>
          <w:spacing w:val="-2"/>
        </w:rPr>
        <w:t xml:space="preserve"> </w:t>
      </w:r>
      <w:r w:rsidRPr="00B8658B">
        <w:rPr>
          <w:rFonts w:ascii="Arial" w:hAnsi="Arial" w:cs="Arial"/>
          <w:color w:val="000000"/>
        </w:rPr>
        <w:t>into</w:t>
      </w:r>
      <w:r w:rsidRPr="00B8658B">
        <w:rPr>
          <w:rFonts w:ascii="Arial" w:hAnsi="Arial" w:cs="Arial"/>
          <w:color w:val="000000"/>
          <w:spacing w:val="-1"/>
        </w:rPr>
        <w:t xml:space="preserve"> </w:t>
      </w:r>
      <w:r w:rsidRPr="00B8658B">
        <w:rPr>
          <w:rFonts w:ascii="Arial" w:hAnsi="Arial" w:cs="Arial"/>
          <w:color w:val="000000"/>
        </w:rPr>
        <w:t>the</w:t>
      </w:r>
      <w:r w:rsidRPr="00B8658B">
        <w:rPr>
          <w:rFonts w:ascii="Arial" w:hAnsi="Arial" w:cs="Arial"/>
          <w:color w:val="000000"/>
          <w:spacing w:val="-1"/>
        </w:rPr>
        <w:t xml:space="preserve"> </w:t>
      </w:r>
      <w:r w:rsidRPr="00B8658B">
        <w:rPr>
          <w:rFonts w:ascii="Arial" w:hAnsi="Arial" w:cs="Arial"/>
          <w:color w:val="000000"/>
        </w:rPr>
        <w:t>study,</w:t>
      </w:r>
      <w:r w:rsidRPr="00B8658B">
        <w:rPr>
          <w:rFonts w:ascii="Arial" w:hAnsi="Arial" w:cs="Arial"/>
          <w:color w:val="000000"/>
          <w:spacing w:val="-1"/>
        </w:rPr>
        <w:t xml:space="preserve"> </w:t>
      </w:r>
      <w:r w:rsidRPr="00B8658B">
        <w:rPr>
          <w:rFonts w:ascii="Arial" w:hAnsi="Arial" w:cs="Arial"/>
          <w:color w:val="000000"/>
        </w:rPr>
        <w:t>patients were</w:t>
      </w:r>
      <w:r w:rsidRPr="00B8658B">
        <w:rPr>
          <w:rFonts w:ascii="Arial" w:hAnsi="Arial" w:cs="Arial"/>
          <w:color w:val="000000"/>
          <w:spacing w:val="-2"/>
        </w:rPr>
        <w:t xml:space="preserve"> </w:t>
      </w:r>
      <w:r w:rsidRPr="00B8658B">
        <w:rPr>
          <w:rFonts w:ascii="Arial" w:hAnsi="Arial" w:cs="Arial"/>
          <w:color w:val="000000"/>
        </w:rPr>
        <w:t>required</w:t>
      </w:r>
      <w:r w:rsidRPr="00B8658B">
        <w:rPr>
          <w:rFonts w:ascii="Arial" w:hAnsi="Arial" w:cs="Arial"/>
          <w:color w:val="000000"/>
          <w:spacing w:val="-1"/>
        </w:rPr>
        <w:t xml:space="preserve"> </w:t>
      </w:r>
      <w:r w:rsidRPr="00B8658B">
        <w:rPr>
          <w:rFonts w:ascii="Arial" w:hAnsi="Arial" w:cs="Arial"/>
          <w:color w:val="000000"/>
        </w:rPr>
        <w:t>to</w:t>
      </w:r>
      <w:r w:rsidRPr="00B8658B">
        <w:rPr>
          <w:rFonts w:ascii="Arial" w:hAnsi="Arial" w:cs="Arial"/>
          <w:color w:val="000000"/>
          <w:spacing w:val="-1"/>
        </w:rPr>
        <w:t xml:space="preserve"> </w:t>
      </w:r>
      <w:r w:rsidRPr="00B8658B">
        <w:rPr>
          <w:rFonts w:ascii="Arial" w:hAnsi="Arial" w:cs="Arial"/>
          <w:color w:val="000000"/>
        </w:rPr>
        <w:t>fulfill</w:t>
      </w:r>
      <w:r w:rsidRPr="00B8658B">
        <w:rPr>
          <w:rFonts w:ascii="Arial" w:hAnsi="Arial" w:cs="Arial"/>
          <w:color w:val="000000"/>
          <w:spacing w:val="-1"/>
        </w:rPr>
        <w:t xml:space="preserve"> </w:t>
      </w:r>
      <w:r w:rsidRPr="00B8658B">
        <w:rPr>
          <w:rFonts w:ascii="Arial" w:hAnsi="Arial" w:cs="Arial"/>
          <w:color w:val="000000"/>
        </w:rPr>
        <w:t>all</w:t>
      </w:r>
      <w:r w:rsidRPr="00B8658B">
        <w:rPr>
          <w:rFonts w:ascii="Arial" w:hAnsi="Arial" w:cs="Arial"/>
          <w:color w:val="000000"/>
          <w:spacing w:val="-1"/>
        </w:rPr>
        <w:t xml:space="preserve"> </w:t>
      </w:r>
      <w:r w:rsidRPr="00B8658B">
        <w:rPr>
          <w:rFonts w:ascii="Arial" w:hAnsi="Arial" w:cs="Arial"/>
          <w:color w:val="000000"/>
        </w:rPr>
        <w:t>of</w:t>
      </w:r>
      <w:r w:rsidRPr="00B8658B">
        <w:rPr>
          <w:rFonts w:ascii="Arial" w:hAnsi="Arial" w:cs="Arial"/>
          <w:color w:val="000000"/>
          <w:spacing w:val="-1"/>
        </w:rPr>
        <w:t xml:space="preserve"> </w:t>
      </w:r>
      <w:r w:rsidRPr="00B8658B">
        <w:rPr>
          <w:rFonts w:ascii="Arial" w:hAnsi="Arial" w:cs="Arial"/>
          <w:color w:val="000000"/>
        </w:rPr>
        <w:t>the</w:t>
      </w:r>
      <w:r w:rsidRPr="00B8658B">
        <w:rPr>
          <w:rFonts w:ascii="Arial" w:hAnsi="Arial" w:cs="Arial"/>
          <w:color w:val="000000"/>
          <w:spacing w:val="-3"/>
        </w:rPr>
        <w:t xml:space="preserve"> </w:t>
      </w:r>
      <w:r w:rsidRPr="00B8658B">
        <w:rPr>
          <w:rFonts w:ascii="Arial" w:hAnsi="Arial" w:cs="Arial"/>
          <w:color w:val="000000"/>
        </w:rPr>
        <w:t>following</w:t>
      </w:r>
      <w:r w:rsidRPr="00B8658B">
        <w:rPr>
          <w:rFonts w:ascii="Arial" w:hAnsi="Arial" w:cs="Arial"/>
          <w:color w:val="000000"/>
          <w:spacing w:val="-3"/>
        </w:rPr>
        <w:t xml:space="preserve"> </w:t>
      </w:r>
      <w:r w:rsidRPr="00B8658B">
        <w:rPr>
          <w:rFonts w:ascii="Arial" w:hAnsi="Arial" w:cs="Arial"/>
          <w:color w:val="000000"/>
          <w:spacing w:val="-2"/>
        </w:rPr>
        <w:t>criteria:</w:t>
      </w:r>
    </w:p>
    <w:p w14:paraId="3DDD4CE7" w14:textId="77777777" w:rsidR="00A923F4" w:rsidRPr="00B8658B" w:rsidRDefault="00A923F4" w:rsidP="00A923F4">
      <w:pPr>
        <w:pStyle w:val="ListParagraph"/>
        <w:widowControl w:val="0"/>
        <w:numPr>
          <w:ilvl w:val="0"/>
          <w:numId w:val="1"/>
        </w:numPr>
        <w:tabs>
          <w:tab w:val="left" w:pos="941"/>
        </w:tabs>
        <w:autoSpaceDE w:val="0"/>
        <w:autoSpaceDN w:val="0"/>
        <w:spacing w:before="122" w:line="480" w:lineRule="auto"/>
        <w:ind w:hanging="361"/>
        <w:contextualSpacing w:val="0"/>
        <w:jc w:val="both"/>
        <w:rPr>
          <w:color w:val="000000"/>
        </w:rPr>
      </w:pPr>
      <w:r w:rsidRPr="00B8658B">
        <w:rPr>
          <w:color w:val="000000"/>
        </w:rPr>
        <w:t>Age</w:t>
      </w:r>
      <w:r w:rsidRPr="00B8658B">
        <w:rPr>
          <w:color w:val="000000"/>
          <w:spacing w:val="-4"/>
        </w:rPr>
        <w:t xml:space="preserve"> ≥ </w:t>
      </w:r>
      <w:r w:rsidRPr="00B8658B">
        <w:rPr>
          <w:color w:val="000000"/>
        </w:rPr>
        <w:t>18</w:t>
      </w:r>
      <w:r w:rsidRPr="00B8658B">
        <w:rPr>
          <w:color w:val="000000"/>
          <w:spacing w:val="2"/>
        </w:rPr>
        <w:t xml:space="preserve"> </w:t>
      </w:r>
      <w:r w:rsidRPr="00B8658B">
        <w:rPr>
          <w:color w:val="000000"/>
        </w:rPr>
        <w:t>years</w:t>
      </w:r>
      <w:r w:rsidRPr="00B8658B">
        <w:rPr>
          <w:color w:val="000000"/>
          <w:spacing w:val="-2"/>
        </w:rPr>
        <w:t>.</w:t>
      </w:r>
    </w:p>
    <w:p w14:paraId="6DDC0751" w14:textId="77777777" w:rsidR="00A923F4" w:rsidRPr="00B8658B" w:rsidRDefault="00A923F4" w:rsidP="00A923F4">
      <w:pPr>
        <w:pStyle w:val="ListParagraph"/>
        <w:widowControl w:val="0"/>
        <w:numPr>
          <w:ilvl w:val="0"/>
          <w:numId w:val="1"/>
        </w:numPr>
        <w:tabs>
          <w:tab w:val="left" w:pos="941"/>
        </w:tabs>
        <w:autoSpaceDE w:val="0"/>
        <w:autoSpaceDN w:val="0"/>
        <w:spacing w:before="125" w:line="480" w:lineRule="auto"/>
        <w:ind w:right="217"/>
        <w:contextualSpacing w:val="0"/>
        <w:jc w:val="both"/>
        <w:rPr>
          <w:color w:val="000000"/>
        </w:rPr>
      </w:pPr>
      <w:r w:rsidRPr="00B8658B">
        <w:rPr>
          <w:color w:val="000000"/>
        </w:rPr>
        <w:t>POAG or OHT with IOP treated and adequately controlled (IOP ≤ 18 mm Hg) with latanoprost 0.005% ophthalmic solution monotherapy for at least 4 weeks before screening</w:t>
      </w:r>
      <w:r w:rsidRPr="00B8658B">
        <w:rPr>
          <w:color w:val="000000"/>
          <w:spacing w:val="-2"/>
        </w:rPr>
        <w:t>.</w:t>
      </w:r>
    </w:p>
    <w:p w14:paraId="2D11A09E" w14:textId="77777777" w:rsidR="00A923F4" w:rsidRPr="00B8658B" w:rsidRDefault="00A923F4" w:rsidP="00A923F4">
      <w:pPr>
        <w:pStyle w:val="ListParagraph"/>
        <w:widowControl w:val="0"/>
        <w:numPr>
          <w:ilvl w:val="0"/>
          <w:numId w:val="1"/>
        </w:numPr>
        <w:tabs>
          <w:tab w:val="left" w:pos="941"/>
        </w:tabs>
        <w:autoSpaceDE w:val="0"/>
        <w:autoSpaceDN w:val="0"/>
        <w:spacing w:before="173" w:line="480" w:lineRule="auto"/>
        <w:ind w:right="215"/>
        <w:contextualSpacing w:val="0"/>
        <w:jc w:val="both"/>
        <w:rPr>
          <w:color w:val="000000"/>
        </w:rPr>
      </w:pPr>
      <w:bookmarkStart w:id="0" w:name="_bookmark14"/>
      <w:bookmarkEnd w:id="0"/>
      <w:r w:rsidRPr="00B8658B">
        <w:rPr>
          <w:color w:val="000000"/>
        </w:rPr>
        <w:t>Each eye being treated with latanoprost 0.005% ophthalmic solution monotherapy was to have had mean IOP ≤ 18 mm Hg at screening and mean IOP ≤ 28 mm Hg at baseline; measurements were to be taken at each visit at 8 AM, 10 AM, and 4 PM (each ± 30 minutes) with AM measurements of IOP at least 2 hours apart. If only one eye qualified but both eyes had glaucoma and the contralateral eye required antiglaucoma medications other than latanoprost, the patient did not qualify for the trial.</w:t>
      </w:r>
    </w:p>
    <w:p w14:paraId="184BA059" w14:textId="77777777" w:rsidR="00A923F4" w:rsidRPr="00B8658B" w:rsidRDefault="00A923F4" w:rsidP="00A923F4">
      <w:pPr>
        <w:pStyle w:val="ListParagraph"/>
        <w:widowControl w:val="0"/>
        <w:numPr>
          <w:ilvl w:val="0"/>
          <w:numId w:val="1"/>
        </w:numPr>
        <w:tabs>
          <w:tab w:val="left" w:pos="941"/>
        </w:tabs>
        <w:autoSpaceDE w:val="0"/>
        <w:autoSpaceDN w:val="0"/>
        <w:spacing w:before="128" w:line="480" w:lineRule="auto"/>
        <w:ind w:right="215"/>
        <w:contextualSpacing w:val="0"/>
        <w:jc w:val="both"/>
        <w:rPr>
          <w:color w:val="000000"/>
        </w:rPr>
      </w:pPr>
      <w:r w:rsidRPr="00B8658B">
        <w:rPr>
          <w:color w:val="000000"/>
        </w:rPr>
        <w:t>Stable VF, defined as no sign of VF degradation between two consecutive 30-2 or two consecutive 24-2 VF examinations. For patients with no VF defect (e.g., those with OHT), a</w:t>
      </w:r>
      <w:r w:rsidRPr="00B8658B">
        <w:rPr>
          <w:color w:val="000000"/>
          <w:spacing w:val="-3"/>
        </w:rPr>
        <w:t xml:space="preserve"> </w:t>
      </w:r>
      <w:r w:rsidRPr="00B8658B">
        <w:rPr>
          <w:color w:val="000000"/>
        </w:rPr>
        <w:t xml:space="preserve">single normal VF examination performed </w:t>
      </w:r>
      <w:r w:rsidRPr="00B8658B">
        <w:rPr>
          <w:color w:val="000000"/>
        </w:rPr>
        <w:br/>
        <w:t>&lt;</w:t>
      </w:r>
      <w:r w:rsidRPr="00B8658B">
        <w:rPr>
          <w:color w:val="000000"/>
          <w:spacing w:val="-3"/>
        </w:rPr>
        <w:t xml:space="preserve"> </w:t>
      </w:r>
      <w:r w:rsidRPr="00B8658B">
        <w:rPr>
          <w:color w:val="000000"/>
        </w:rPr>
        <w:t>6</w:t>
      </w:r>
      <w:r w:rsidRPr="00B8658B">
        <w:rPr>
          <w:color w:val="000000"/>
          <w:spacing w:val="-1"/>
        </w:rPr>
        <w:t xml:space="preserve"> </w:t>
      </w:r>
      <w:r w:rsidRPr="00B8658B">
        <w:rPr>
          <w:color w:val="000000"/>
        </w:rPr>
        <w:t>months before the screening visit was allowed to determine eligibility. For patients who had an abnormal VF examination, the following criteria applied:</w:t>
      </w:r>
    </w:p>
    <w:p w14:paraId="28532CBB" w14:textId="77777777" w:rsidR="00A923F4" w:rsidRPr="00B8658B" w:rsidRDefault="00A923F4" w:rsidP="00A923F4">
      <w:pPr>
        <w:pStyle w:val="ListParagraph"/>
        <w:widowControl w:val="0"/>
        <w:numPr>
          <w:ilvl w:val="1"/>
          <w:numId w:val="1"/>
        </w:numPr>
        <w:tabs>
          <w:tab w:val="left" w:pos="1661"/>
        </w:tabs>
        <w:autoSpaceDE w:val="0"/>
        <w:autoSpaceDN w:val="0"/>
        <w:spacing w:before="126" w:line="480" w:lineRule="auto"/>
        <w:ind w:hanging="361"/>
        <w:contextualSpacing w:val="0"/>
        <w:jc w:val="both"/>
        <w:rPr>
          <w:color w:val="000000"/>
        </w:rPr>
      </w:pPr>
      <w:r w:rsidRPr="00B8658B">
        <w:rPr>
          <w:color w:val="000000"/>
        </w:rPr>
        <w:t>Two</w:t>
      </w:r>
      <w:r w:rsidRPr="00B8658B">
        <w:rPr>
          <w:color w:val="000000"/>
          <w:spacing w:val="63"/>
          <w:w w:val="150"/>
        </w:rPr>
        <w:t xml:space="preserve"> </w:t>
      </w:r>
      <w:r w:rsidRPr="00B8658B">
        <w:rPr>
          <w:color w:val="000000"/>
        </w:rPr>
        <w:t>VFs</w:t>
      </w:r>
      <w:r w:rsidRPr="00B8658B">
        <w:rPr>
          <w:color w:val="000000"/>
          <w:spacing w:val="65"/>
          <w:w w:val="150"/>
        </w:rPr>
        <w:t xml:space="preserve"> </w:t>
      </w:r>
      <w:r w:rsidRPr="00B8658B">
        <w:rPr>
          <w:color w:val="000000"/>
        </w:rPr>
        <w:t>(most</w:t>
      </w:r>
      <w:r w:rsidRPr="00B8658B">
        <w:rPr>
          <w:color w:val="000000"/>
          <w:spacing w:val="65"/>
          <w:w w:val="150"/>
        </w:rPr>
        <w:t xml:space="preserve"> </w:t>
      </w:r>
      <w:r w:rsidRPr="00B8658B">
        <w:rPr>
          <w:color w:val="000000"/>
        </w:rPr>
        <w:t>recent</w:t>
      </w:r>
      <w:r w:rsidRPr="00B8658B">
        <w:rPr>
          <w:color w:val="000000"/>
          <w:spacing w:val="66"/>
          <w:w w:val="150"/>
        </w:rPr>
        <w:t xml:space="preserve"> </w:t>
      </w:r>
      <w:r w:rsidRPr="00B8658B">
        <w:rPr>
          <w:color w:val="000000"/>
        </w:rPr>
        <w:t>VF</w:t>
      </w:r>
      <w:r w:rsidRPr="00B8658B">
        <w:rPr>
          <w:color w:val="000000"/>
          <w:spacing w:val="65"/>
          <w:w w:val="150"/>
        </w:rPr>
        <w:t xml:space="preserve"> </w:t>
      </w:r>
      <w:r w:rsidRPr="00B8658B">
        <w:rPr>
          <w:color w:val="000000"/>
        </w:rPr>
        <w:t>and</w:t>
      </w:r>
      <w:r w:rsidRPr="00B8658B">
        <w:rPr>
          <w:color w:val="000000"/>
          <w:spacing w:val="64"/>
          <w:w w:val="150"/>
        </w:rPr>
        <w:t xml:space="preserve"> </w:t>
      </w:r>
      <w:r w:rsidRPr="00B8658B">
        <w:rPr>
          <w:color w:val="000000"/>
        </w:rPr>
        <w:t>past</w:t>
      </w:r>
      <w:r w:rsidRPr="00B8658B">
        <w:rPr>
          <w:color w:val="000000"/>
          <w:spacing w:val="65"/>
          <w:w w:val="150"/>
        </w:rPr>
        <w:t xml:space="preserve"> </w:t>
      </w:r>
      <w:r w:rsidRPr="00B8658B">
        <w:rPr>
          <w:color w:val="000000"/>
        </w:rPr>
        <w:t>VF)</w:t>
      </w:r>
      <w:r w:rsidRPr="00B8658B">
        <w:rPr>
          <w:color w:val="000000"/>
          <w:spacing w:val="69"/>
          <w:w w:val="150"/>
        </w:rPr>
        <w:t xml:space="preserve"> </w:t>
      </w:r>
      <w:r w:rsidRPr="00B8658B">
        <w:rPr>
          <w:color w:val="000000"/>
        </w:rPr>
        <w:t>examinations</w:t>
      </w:r>
      <w:r w:rsidRPr="00B8658B">
        <w:rPr>
          <w:color w:val="000000"/>
          <w:spacing w:val="65"/>
          <w:w w:val="150"/>
        </w:rPr>
        <w:t xml:space="preserve"> </w:t>
      </w:r>
      <w:r w:rsidRPr="00B8658B">
        <w:rPr>
          <w:color w:val="000000"/>
        </w:rPr>
        <w:t>performed</w:t>
      </w:r>
      <w:r w:rsidRPr="00B8658B">
        <w:rPr>
          <w:color w:val="000000"/>
          <w:spacing w:val="67"/>
          <w:w w:val="150"/>
        </w:rPr>
        <w:t xml:space="preserve"> </w:t>
      </w:r>
      <w:r w:rsidRPr="00B8658B">
        <w:rPr>
          <w:color w:val="000000"/>
        </w:rPr>
        <w:t>at</w:t>
      </w:r>
      <w:r w:rsidRPr="00B8658B">
        <w:rPr>
          <w:color w:val="000000"/>
          <w:spacing w:val="65"/>
          <w:w w:val="150"/>
        </w:rPr>
        <w:t xml:space="preserve"> </w:t>
      </w:r>
      <w:r w:rsidRPr="00B8658B">
        <w:rPr>
          <w:color w:val="000000"/>
          <w:spacing w:val="-2"/>
        </w:rPr>
        <w:t xml:space="preserve">least </w:t>
      </w:r>
      <w:r w:rsidRPr="00B8658B">
        <w:rPr>
          <w:color w:val="000000"/>
        </w:rPr>
        <w:t>≥</w:t>
      </w:r>
      <w:r w:rsidRPr="00B8658B">
        <w:rPr>
          <w:color w:val="000000"/>
          <w:spacing w:val="-1"/>
        </w:rPr>
        <w:t xml:space="preserve"> </w:t>
      </w:r>
      <w:r w:rsidRPr="00B8658B">
        <w:rPr>
          <w:color w:val="000000"/>
        </w:rPr>
        <w:t>6</w:t>
      </w:r>
      <w:r w:rsidRPr="00B8658B">
        <w:rPr>
          <w:color w:val="000000"/>
          <w:spacing w:val="-1"/>
        </w:rPr>
        <w:t xml:space="preserve"> </w:t>
      </w:r>
      <w:r w:rsidRPr="00B8658B">
        <w:rPr>
          <w:color w:val="000000"/>
        </w:rPr>
        <w:t>months and</w:t>
      </w:r>
      <w:r w:rsidRPr="00B8658B">
        <w:rPr>
          <w:color w:val="000000"/>
          <w:spacing w:val="-1"/>
        </w:rPr>
        <w:t xml:space="preserve"> </w:t>
      </w:r>
      <w:r w:rsidRPr="00B8658B">
        <w:rPr>
          <w:color w:val="000000"/>
        </w:rPr>
        <w:t>≤</w:t>
      </w:r>
      <w:r w:rsidRPr="00B8658B">
        <w:rPr>
          <w:color w:val="000000"/>
          <w:spacing w:val="-1"/>
        </w:rPr>
        <w:t xml:space="preserve"> </w:t>
      </w:r>
      <w:r w:rsidRPr="00B8658B">
        <w:rPr>
          <w:color w:val="000000"/>
        </w:rPr>
        <w:t>18 months</w:t>
      </w:r>
      <w:r w:rsidRPr="00B8658B">
        <w:rPr>
          <w:color w:val="000000"/>
          <w:spacing w:val="-1"/>
        </w:rPr>
        <w:t xml:space="preserve"> </w:t>
      </w:r>
      <w:r w:rsidRPr="00B8658B">
        <w:rPr>
          <w:color w:val="000000"/>
        </w:rPr>
        <w:t>apart</w:t>
      </w:r>
      <w:r w:rsidRPr="00B8658B">
        <w:rPr>
          <w:color w:val="000000"/>
          <w:spacing w:val="-1"/>
        </w:rPr>
        <w:t xml:space="preserve"> </w:t>
      </w:r>
      <w:r w:rsidRPr="00B8658B">
        <w:rPr>
          <w:color w:val="000000"/>
        </w:rPr>
        <w:t>were</w:t>
      </w:r>
      <w:r w:rsidRPr="00B8658B">
        <w:rPr>
          <w:color w:val="000000"/>
          <w:spacing w:val="-1"/>
        </w:rPr>
        <w:t xml:space="preserve"> </w:t>
      </w:r>
      <w:r w:rsidRPr="00B8658B">
        <w:rPr>
          <w:color w:val="000000"/>
        </w:rPr>
        <w:t>to be</w:t>
      </w:r>
      <w:r w:rsidRPr="00B8658B">
        <w:rPr>
          <w:color w:val="000000"/>
          <w:spacing w:val="-1"/>
        </w:rPr>
        <w:t xml:space="preserve"> </w:t>
      </w:r>
      <w:r w:rsidRPr="00B8658B">
        <w:rPr>
          <w:color w:val="000000"/>
          <w:spacing w:val="-2"/>
        </w:rPr>
        <w:t>compared;</w:t>
      </w:r>
    </w:p>
    <w:p w14:paraId="19E7D6D4" w14:textId="77777777" w:rsidR="00A923F4" w:rsidRPr="00B8658B" w:rsidRDefault="00A923F4" w:rsidP="00A923F4">
      <w:pPr>
        <w:pStyle w:val="ListParagraph"/>
        <w:widowControl w:val="0"/>
        <w:numPr>
          <w:ilvl w:val="1"/>
          <w:numId w:val="1"/>
        </w:numPr>
        <w:tabs>
          <w:tab w:val="left" w:pos="1660"/>
          <w:tab w:val="left" w:pos="1661"/>
        </w:tabs>
        <w:autoSpaceDE w:val="0"/>
        <w:autoSpaceDN w:val="0"/>
        <w:spacing w:before="149" w:line="480" w:lineRule="auto"/>
        <w:ind w:right="218"/>
        <w:contextualSpacing w:val="0"/>
        <w:rPr>
          <w:color w:val="000000"/>
        </w:rPr>
      </w:pPr>
      <w:r w:rsidRPr="00B8658B">
        <w:rPr>
          <w:color w:val="000000"/>
        </w:rPr>
        <w:t>The most recent VF examination should have been performed &lt; 6 months before the screening visit;</w:t>
      </w:r>
    </w:p>
    <w:p w14:paraId="6E295522" w14:textId="77777777" w:rsidR="00A923F4" w:rsidRPr="00B8658B" w:rsidRDefault="00A923F4" w:rsidP="00A923F4">
      <w:pPr>
        <w:pStyle w:val="ListParagraph"/>
        <w:widowControl w:val="0"/>
        <w:numPr>
          <w:ilvl w:val="1"/>
          <w:numId w:val="1"/>
        </w:numPr>
        <w:tabs>
          <w:tab w:val="left" w:pos="1660"/>
          <w:tab w:val="left" w:pos="1661"/>
        </w:tabs>
        <w:autoSpaceDE w:val="0"/>
        <w:autoSpaceDN w:val="0"/>
        <w:spacing w:before="142" w:line="480" w:lineRule="auto"/>
        <w:ind w:hanging="361"/>
        <w:contextualSpacing w:val="0"/>
        <w:rPr>
          <w:color w:val="000000"/>
        </w:rPr>
      </w:pPr>
      <w:r w:rsidRPr="00B8658B">
        <w:rPr>
          <w:color w:val="000000"/>
        </w:rPr>
        <w:lastRenderedPageBreak/>
        <w:t>The</w:t>
      </w:r>
      <w:r w:rsidRPr="00B8658B">
        <w:rPr>
          <w:color w:val="000000"/>
          <w:spacing w:val="72"/>
          <w:w w:val="150"/>
        </w:rPr>
        <w:t xml:space="preserve"> </w:t>
      </w:r>
      <w:r w:rsidRPr="00B8658B">
        <w:rPr>
          <w:color w:val="000000"/>
        </w:rPr>
        <w:t>past</w:t>
      </w:r>
      <w:r w:rsidRPr="00B8658B">
        <w:rPr>
          <w:color w:val="000000"/>
          <w:spacing w:val="75"/>
          <w:w w:val="150"/>
        </w:rPr>
        <w:t xml:space="preserve"> </w:t>
      </w:r>
      <w:r w:rsidRPr="00B8658B">
        <w:rPr>
          <w:color w:val="000000"/>
        </w:rPr>
        <w:t>VF</w:t>
      </w:r>
      <w:r w:rsidRPr="00B8658B">
        <w:rPr>
          <w:color w:val="000000"/>
          <w:spacing w:val="72"/>
          <w:w w:val="150"/>
        </w:rPr>
        <w:t xml:space="preserve"> </w:t>
      </w:r>
      <w:r w:rsidRPr="00B8658B">
        <w:rPr>
          <w:color w:val="000000"/>
        </w:rPr>
        <w:t>examination</w:t>
      </w:r>
      <w:r w:rsidRPr="00B8658B">
        <w:rPr>
          <w:color w:val="000000"/>
          <w:spacing w:val="75"/>
          <w:w w:val="150"/>
        </w:rPr>
        <w:t xml:space="preserve"> </w:t>
      </w:r>
      <w:r w:rsidRPr="00B8658B">
        <w:rPr>
          <w:color w:val="000000"/>
        </w:rPr>
        <w:t>should</w:t>
      </w:r>
      <w:r w:rsidRPr="00B8658B">
        <w:rPr>
          <w:color w:val="000000"/>
          <w:spacing w:val="74"/>
          <w:w w:val="150"/>
        </w:rPr>
        <w:t xml:space="preserve"> </w:t>
      </w:r>
      <w:r w:rsidRPr="00B8658B">
        <w:rPr>
          <w:color w:val="000000"/>
        </w:rPr>
        <w:t>have</w:t>
      </w:r>
      <w:r w:rsidRPr="00B8658B">
        <w:rPr>
          <w:color w:val="000000"/>
          <w:spacing w:val="73"/>
          <w:w w:val="150"/>
        </w:rPr>
        <w:t xml:space="preserve"> </w:t>
      </w:r>
      <w:r w:rsidRPr="00B8658B">
        <w:rPr>
          <w:color w:val="000000"/>
        </w:rPr>
        <w:t>been</w:t>
      </w:r>
      <w:r w:rsidRPr="00B8658B">
        <w:rPr>
          <w:color w:val="000000"/>
          <w:spacing w:val="76"/>
          <w:w w:val="150"/>
        </w:rPr>
        <w:t xml:space="preserve"> </w:t>
      </w:r>
      <w:r w:rsidRPr="00B8658B">
        <w:rPr>
          <w:color w:val="000000"/>
        </w:rPr>
        <w:t>performed</w:t>
      </w:r>
      <w:r w:rsidRPr="00B8658B">
        <w:rPr>
          <w:color w:val="000000"/>
          <w:spacing w:val="74"/>
          <w:w w:val="150"/>
        </w:rPr>
        <w:t xml:space="preserve"> </w:t>
      </w:r>
      <w:r w:rsidRPr="00B8658B">
        <w:rPr>
          <w:color w:val="000000"/>
        </w:rPr>
        <w:t>≥</w:t>
      </w:r>
      <w:r w:rsidRPr="00B8658B">
        <w:rPr>
          <w:color w:val="000000"/>
          <w:spacing w:val="73"/>
          <w:w w:val="150"/>
        </w:rPr>
        <w:t xml:space="preserve"> </w:t>
      </w:r>
      <w:r w:rsidRPr="00B8658B">
        <w:rPr>
          <w:color w:val="000000"/>
        </w:rPr>
        <w:t>6</w:t>
      </w:r>
      <w:r w:rsidRPr="00B8658B">
        <w:rPr>
          <w:color w:val="000000"/>
          <w:spacing w:val="74"/>
          <w:w w:val="150"/>
        </w:rPr>
        <w:t xml:space="preserve"> </w:t>
      </w:r>
      <w:r w:rsidRPr="00B8658B">
        <w:rPr>
          <w:color w:val="000000"/>
        </w:rPr>
        <w:t>months</w:t>
      </w:r>
      <w:r w:rsidRPr="00B8658B">
        <w:rPr>
          <w:color w:val="000000"/>
          <w:spacing w:val="74"/>
          <w:w w:val="150"/>
        </w:rPr>
        <w:t xml:space="preserve"> </w:t>
      </w:r>
      <w:r w:rsidRPr="00B8658B">
        <w:rPr>
          <w:color w:val="000000"/>
          <w:spacing w:val="-5"/>
        </w:rPr>
        <w:t xml:space="preserve">and </w:t>
      </w:r>
      <w:r w:rsidRPr="00B8658B">
        <w:rPr>
          <w:color w:val="000000"/>
        </w:rPr>
        <w:t>≤</w:t>
      </w:r>
      <w:r w:rsidRPr="00B8658B">
        <w:rPr>
          <w:color w:val="000000"/>
          <w:spacing w:val="-1"/>
        </w:rPr>
        <w:t xml:space="preserve"> </w:t>
      </w:r>
      <w:r w:rsidRPr="00B8658B">
        <w:rPr>
          <w:color w:val="000000"/>
        </w:rPr>
        <w:t>18 months before</w:t>
      </w:r>
      <w:r w:rsidRPr="00B8658B">
        <w:rPr>
          <w:color w:val="000000"/>
          <w:spacing w:val="-1"/>
        </w:rPr>
        <w:t xml:space="preserve"> </w:t>
      </w:r>
      <w:r w:rsidRPr="00B8658B">
        <w:rPr>
          <w:color w:val="000000"/>
        </w:rPr>
        <w:t>the</w:t>
      </w:r>
      <w:r w:rsidRPr="00B8658B">
        <w:rPr>
          <w:color w:val="000000"/>
          <w:spacing w:val="-1"/>
        </w:rPr>
        <w:t xml:space="preserve"> </w:t>
      </w:r>
      <w:r w:rsidRPr="00B8658B">
        <w:rPr>
          <w:color w:val="000000"/>
        </w:rPr>
        <w:t>most</w:t>
      </w:r>
      <w:r w:rsidRPr="00B8658B">
        <w:rPr>
          <w:color w:val="000000"/>
          <w:spacing w:val="1"/>
        </w:rPr>
        <w:t xml:space="preserve"> </w:t>
      </w:r>
      <w:r w:rsidRPr="00B8658B">
        <w:rPr>
          <w:color w:val="000000"/>
        </w:rPr>
        <w:t xml:space="preserve">recent VF </w:t>
      </w:r>
      <w:r w:rsidRPr="00B8658B">
        <w:rPr>
          <w:color w:val="000000"/>
          <w:spacing w:val="-2"/>
        </w:rPr>
        <w:t>examination.</w:t>
      </w:r>
    </w:p>
    <w:p w14:paraId="42B3FC8D" w14:textId="77777777" w:rsidR="00A923F4" w:rsidRPr="00B8658B" w:rsidRDefault="00A923F4" w:rsidP="00A923F4">
      <w:pPr>
        <w:pStyle w:val="ListParagraph"/>
        <w:widowControl w:val="0"/>
        <w:numPr>
          <w:ilvl w:val="0"/>
          <w:numId w:val="1"/>
        </w:numPr>
        <w:tabs>
          <w:tab w:val="left" w:pos="941"/>
        </w:tabs>
        <w:autoSpaceDE w:val="0"/>
        <w:autoSpaceDN w:val="0"/>
        <w:spacing w:before="125" w:line="480" w:lineRule="auto"/>
        <w:ind w:right="218"/>
        <w:contextualSpacing w:val="0"/>
        <w:rPr>
          <w:color w:val="000000"/>
        </w:rPr>
      </w:pPr>
      <w:r w:rsidRPr="00B8658B">
        <w:rPr>
          <w:color w:val="000000"/>
        </w:rPr>
        <w:t>Stable</w:t>
      </w:r>
      <w:r w:rsidRPr="00B8658B">
        <w:rPr>
          <w:color w:val="000000"/>
          <w:spacing w:val="40"/>
        </w:rPr>
        <w:t xml:space="preserve"> </w:t>
      </w:r>
      <w:r w:rsidRPr="00B8658B">
        <w:rPr>
          <w:color w:val="000000"/>
        </w:rPr>
        <w:t>corrected</w:t>
      </w:r>
      <w:r w:rsidRPr="00B8658B">
        <w:rPr>
          <w:color w:val="000000"/>
          <w:spacing w:val="40"/>
        </w:rPr>
        <w:t xml:space="preserve"> </w:t>
      </w:r>
      <w:r w:rsidRPr="00B8658B">
        <w:rPr>
          <w:color w:val="000000"/>
        </w:rPr>
        <w:t>Snellen</w:t>
      </w:r>
      <w:r w:rsidRPr="00B8658B">
        <w:rPr>
          <w:color w:val="000000"/>
          <w:spacing w:val="40"/>
        </w:rPr>
        <w:t xml:space="preserve"> </w:t>
      </w:r>
      <w:r w:rsidRPr="00B8658B">
        <w:rPr>
          <w:color w:val="000000"/>
        </w:rPr>
        <w:t>visual</w:t>
      </w:r>
      <w:r w:rsidRPr="00B8658B">
        <w:rPr>
          <w:color w:val="000000"/>
          <w:spacing w:val="40"/>
        </w:rPr>
        <w:t xml:space="preserve"> </w:t>
      </w:r>
      <w:r w:rsidRPr="00B8658B">
        <w:rPr>
          <w:color w:val="000000"/>
        </w:rPr>
        <w:t>acuity</w:t>
      </w:r>
      <w:r w:rsidRPr="00B8658B">
        <w:rPr>
          <w:color w:val="000000"/>
          <w:spacing w:val="40"/>
        </w:rPr>
        <w:t xml:space="preserve"> </w:t>
      </w:r>
      <w:r w:rsidRPr="00B8658B">
        <w:rPr>
          <w:color w:val="000000"/>
        </w:rPr>
        <w:t>(VA)</w:t>
      </w:r>
      <w:r w:rsidRPr="00B8658B">
        <w:rPr>
          <w:color w:val="000000"/>
          <w:spacing w:val="40"/>
        </w:rPr>
        <w:t xml:space="preserve"> </w:t>
      </w:r>
      <w:r w:rsidRPr="00B8658B">
        <w:rPr>
          <w:color w:val="000000"/>
        </w:rPr>
        <w:t>of</w:t>
      </w:r>
      <w:r w:rsidRPr="00B8658B">
        <w:rPr>
          <w:color w:val="000000"/>
          <w:spacing w:val="40"/>
        </w:rPr>
        <w:t xml:space="preserve"> </w:t>
      </w:r>
      <w:r w:rsidRPr="00B8658B">
        <w:rPr>
          <w:color w:val="000000"/>
        </w:rPr>
        <w:t>better</w:t>
      </w:r>
      <w:r w:rsidRPr="00B8658B">
        <w:rPr>
          <w:color w:val="000000"/>
          <w:spacing w:val="40"/>
        </w:rPr>
        <w:t xml:space="preserve"> </w:t>
      </w:r>
      <w:r w:rsidRPr="00B8658B">
        <w:rPr>
          <w:color w:val="000000"/>
        </w:rPr>
        <w:t>than</w:t>
      </w:r>
      <w:r w:rsidRPr="00B8658B">
        <w:rPr>
          <w:color w:val="000000"/>
          <w:spacing w:val="40"/>
        </w:rPr>
        <w:t xml:space="preserve"> </w:t>
      </w:r>
      <w:r w:rsidRPr="00B8658B">
        <w:rPr>
          <w:color w:val="000000"/>
        </w:rPr>
        <w:t>20/200</w:t>
      </w:r>
      <w:r w:rsidRPr="00B8658B">
        <w:rPr>
          <w:color w:val="000000"/>
          <w:spacing w:val="40"/>
        </w:rPr>
        <w:t xml:space="preserve"> </w:t>
      </w:r>
      <w:r w:rsidRPr="00B8658B">
        <w:rPr>
          <w:color w:val="000000"/>
        </w:rPr>
        <w:t>in</w:t>
      </w:r>
      <w:r w:rsidRPr="00B8658B">
        <w:rPr>
          <w:color w:val="000000"/>
          <w:spacing w:val="40"/>
        </w:rPr>
        <w:t xml:space="preserve"> </w:t>
      </w:r>
      <w:r w:rsidRPr="00B8658B">
        <w:rPr>
          <w:color w:val="000000"/>
        </w:rPr>
        <w:t>the</w:t>
      </w:r>
      <w:r w:rsidRPr="00B8658B">
        <w:rPr>
          <w:color w:val="000000"/>
          <w:spacing w:val="40"/>
        </w:rPr>
        <w:t xml:space="preserve"> </w:t>
      </w:r>
      <w:r w:rsidRPr="00B8658B">
        <w:rPr>
          <w:color w:val="000000"/>
        </w:rPr>
        <w:t>study</w:t>
      </w:r>
      <w:r w:rsidRPr="00B8658B">
        <w:rPr>
          <w:color w:val="000000"/>
          <w:spacing w:val="40"/>
        </w:rPr>
        <w:t xml:space="preserve"> </w:t>
      </w:r>
      <w:r w:rsidRPr="00B8658B">
        <w:rPr>
          <w:color w:val="000000"/>
        </w:rPr>
        <w:t>eye.</w:t>
      </w:r>
      <w:r w:rsidRPr="00B8658B">
        <w:rPr>
          <w:color w:val="000000"/>
          <w:spacing w:val="40"/>
        </w:rPr>
        <w:t xml:space="preserve"> </w:t>
      </w:r>
      <w:r w:rsidRPr="00B8658B">
        <w:rPr>
          <w:color w:val="000000"/>
        </w:rPr>
        <w:t>Patients had to see ≥ 50% of the letters on a single line to accept that VA line.</w:t>
      </w:r>
    </w:p>
    <w:p w14:paraId="0DEC892A" w14:textId="77777777" w:rsidR="00A923F4" w:rsidRPr="00B8658B" w:rsidRDefault="00A923F4" w:rsidP="00A923F4">
      <w:pPr>
        <w:pStyle w:val="ListParagraph"/>
        <w:widowControl w:val="0"/>
        <w:numPr>
          <w:ilvl w:val="0"/>
          <w:numId w:val="1"/>
        </w:numPr>
        <w:tabs>
          <w:tab w:val="left" w:pos="941"/>
        </w:tabs>
        <w:autoSpaceDE w:val="0"/>
        <w:autoSpaceDN w:val="0"/>
        <w:spacing w:before="116" w:line="480" w:lineRule="auto"/>
        <w:ind w:hanging="361"/>
        <w:contextualSpacing w:val="0"/>
        <w:rPr>
          <w:color w:val="000000"/>
        </w:rPr>
      </w:pPr>
      <w:r w:rsidRPr="00B8658B">
        <w:rPr>
          <w:color w:val="000000"/>
        </w:rPr>
        <w:t>Central</w:t>
      </w:r>
      <w:r w:rsidRPr="00B8658B">
        <w:rPr>
          <w:color w:val="000000"/>
          <w:spacing w:val="-2"/>
        </w:rPr>
        <w:t xml:space="preserve"> </w:t>
      </w:r>
      <w:r w:rsidRPr="00B8658B">
        <w:rPr>
          <w:color w:val="000000"/>
        </w:rPr>
        <w:t>corneal</w:t>
      </w:r>
      <w:r w:rsidRPr="00B8658B">
        <w:rPr>
          <w:color w:val="000000"/>
          <w:spacing w:val="-1"/>
        </w:rPr>
        <w:t xml:space="preserve"> </w:t>
      </w:r>
      <w:r w:rsidRPr="00B8658B">
        <w:rPr>
          <w:color w:val="000000"/>
        </w:rPr>
        <w:t>thickness</w:t>
      </w:r>
      <w:r w:rsidRPr="00B8658B">
        <w:rPr>
          <w:color w:val="000000"/>
          <w:spacing w:val="1"/>
        </w:rPr>
        <w:t xml:space="preserve"> </w:t>
      </w:r>
      <w:r w:rsidRPr="00B8658B">
        <w:rPr>
          <w:color w:val="000000"/>
        </w:rPr>
        <w:t>480 to</w:t>
      </w:r>
      <w:r w:rsidRPr="00B8658B">
        <w:rPr>
          <w:color w:val="000000"/>
          <w:spacing w:val="-1"/>
        </w:rPr>
        <w:t xml:space="preserve"> </w:t>
      </w:r>
      <w:r w:rsidRPr="00B8658B">
        <w:rPr>
          <w:color w:val="000000"/>
        </w:rPr>
        <w:t>620</w:t>
      </w:r>
      <w:r w:rsidRPr="00B8658B">
        <w:rPr>
          <w:color w:val="000000"/>
          <w:spacing w:val="-1"/>
        </w:rPr>
        <w:t xml:space="preserve"> </w:t>
      </w:r>
      <w:r w:rsidRPr="00B8658B">
        <w:rPr>
          <w:color w:val="000000"/>
        </w:rPr>
        <w:t>μm</w:t>
      </w:r>
      <w:r w:rsidRPr="00B8658B">
        <w:rPr>
          <w:color w:val="000000"/>
          <w:spacing w:val="-1"/>
        </w:rPr>
        <w:t xml:space="preserve"> </w:t>
      </w:r>
      <w:r w:rsidRPr="00B8658B">
        <w:rPr>
          <w:color w:val="000000"/>
        </w:rPr>
        <w:t>in</w:t>
      </w:r>
      <w:r w:rsidRPr="00B8658B">
        <w:rPr>
          <w:color w:val="000000"/>
          <w:spacing w:val="-1"/>
        </w:rPr>
        <w:t xml:space="preserve"> </w:t>
      </w:r>
      <w:r w:rsidRPr="00B8658B">
        <w:rPr>
          <w:color w:val="000000"/>
        </w:rPr>
        <w:t>the</w:t>
      </w:r>
      <w:r w:rsidRPr="00B8658B">
        <w:rPr>
          <w:color w:val="000000"/>
          <w:spacing w:val="-1"/>
        </w:rPr>
        <w:t xml:space="preserve"> </w:t>
      </w:r>
      <w:r w:rsidRPr="00B8658B">
        <w:rPr>
          <w:color w:val="000000"/>
        </w:rPr>
        <w:t>study</w:t>
      </w:r>
      <w:r w:rsidRPr="00B8658B">
        <w:rPr>
          <w:color w:val="000000"/>
          <w:spacing w:val="-6"/>
        </w:rPr>
        <w:t xml:space="preserve"> </w:t>
      </w:r>
      <w:r w:rsidRPr="00B8658B">
        <w:rPr>
          <w:color w:val="000000"/>
          <w:spacing w:val="-4"/>
        </w:rPr>
        <w:t>eye.</w:t>
      </w:r>
    </w:p>
    <w:p w14:paraId="4656BEDD" w14:textId="77777777" w:rsidR="00A923F4" w:rsidRPr="00B8658B" w:rsidRDefault="00A923F4" w:rsidP="00A923F4">
      <w:pPr>
        <w:pStyle w:val="ListParagraph"/>
        <w:widowControl w:val="0"/>
        <w:numPr>
          <w:ilvl w:val="0"/>
          <w:numId w:val="1"/>
        </w:numPr>
        <w:tabs>
          <w:tab w:val="left" w:pos="941"/>
        </w:tabs>
        <w:autoSpaceDE w:val="0"/>
        <w:autoSpaceDN w:val="0"/>
        <w:spacing w:before="125" w:line="480" w:lineRule="auto"/>
        <w:ind w:hanging="361"/>
        <w:contextualSpacing w:val="0"/>
        <w:rPr>
          <w:color w:val="000000"/>
        </w:rPr>
      </w:pPr>
      <w:r w:rsidRPr="00B8658B">
        <w:rPr>
          <w:color w:val="000000"/>
        </w:rPr>
        <w:t>Shaffer</w:t>
      </w:r>
      <w:r w:rsidRPr="00B8658B">
        <w:rPr>
          <w:color w:val="000000"/>
          <w:spacing w:val="-1"/>
        </w:rPr>
        <w:t xml:space="preserve"> </w:t>
      </w:r>
      <w:r w:rsidRPr="00B8658B">
        <w:rPr>
          <w:color w:val="000000"/>
        </w:rPr>
        <w:t>gonioscopic grade</w:t>
      </w:r>
      <w:r w:rsidRPr="00B8658B">
        <w:rPr>
          <w:color w:val="000000"/>
          <w:spacing w:val="-1"/>
        </w:rPr>
        <w:t xml:space="preserve"> </w:t>
      </w:r>
      <w:r w:rsidRPr="00B8658B">
        <w:rPr>
          <w:color w:val="000000"/>
        </w:rPr>
        <w:t>of</w:t>
      </w:r>
      <w:r w:rsidRPr="00B8658B">
        <w:rPr>
          <w:color w:val="000000"/>
          <w:spacing w:val="-1"/>
        </w:rPr>
        <w:t xml:space="preserve"> </w:t>
      </w:r>
      <w:r w:rsidRPr="00B8658B">
        <w:rPr>
          <w:color w:val="000000"/>
        </w:rPr>
        <w:t>≥</w:t>
      </w:r>
      <w:r w:rsidRPr="00B8658B">
        <w:rPr>
          <w:color w:val="000000"/>
          <w:spacing w:val="-1"/>
        </w:rPr>
        <w:t xml:space="preserve"> </w:t>
      </w:r>
      <w:r w:rsidRPr="00B8658B">
        <w:rPr>
          <w:color w:val="000000"/>
        </w:rPr>
        <w:t>3</w:t>
      </w:r>
      <w:r w:rsidRPr="00B8658B">
        <w:rPr>
          <w:color w:val="000000"/>
          <w:spacing w:val="-1"/>
        </w:rPr>
        <w:t xml:space="preserve"> </w:t>
      </w:r>
      <w:r w:rsidRPr="00B8658B">
        <w:rPr>
          <w:color w:val="000000"/>
        </w:rPr>
        <w:t>(in</w:t>
      </w:r>
      <w:r w:rsidRPr="00B8658B">
        <w:rPr>
          <w:color w:val="000000"/>
          <w:spacing w:val="-1"/>
        </w:rPr>
        <w:t xml:space="preserve"> </w:t>
      </w:r>
      <w:r w:rsidRPr="00B8658B">
        <w:rPr>
          <w:color w:val="000000"/>
        </w:rPr>
        <w:t>at</w:t>
      </w:r>
      <w:r w:rsidRPr="00B8658B">
        <w:rPr>
          <w:color w:val="000000"/>
          <w:spacing w:val="-1"/>
        </w:rPr>
        <w:t xml:space="preserve"> </w:t>
      </w:r>
      <w:r w:rsidRPr="00B8658B">
        <w:rPr>
          <w:color w:val="000000"/>
        </w:rPr>
        <w:t>least</w:t>
      </w:r>
      <w:r w:rsidRPr="00B8658B">
        <w:rPr>
          <w:color w:val="000000"/>
          <w:spacing w:val="-1"/>
        </w:rPr>
        <w:t xml:space="preserve"> </w:t>
      </w:r>
      <w:r w:rsidRPr="00B8658B">
        <w:rPr>
          <w:color w:val="000000"/>
        </w:rPr>
        <w:t>3</w:t>
      </w:r>
      <w:r w:rsidRPr="00B8658B">
        <w:rPr>
          <w:color w:val="000000"/>
          <w:spacing w:val="-1"/>
        </w:rPr>
        <w:t xml:space="preserve"> </w:t>
      </w:r>
      <w:r w:rsidRPr="00B8658B">
        <w:rPr>
          <w:color w:val="000000"/>
        </w:rPr>
        <w:t>quadrants) in</w:t>
      </w:r>
      <w:r w:rsidRPr="00B8658B">
        <w:rPr>
          <w:color w:val="000000"/>
          <w:spacing w:val="-1"/>
        </w:rPr>
        <w:t xml:space="preserve"> </w:t>
      </w:r>
      <w:r w:rsidRPr="00B8658B">
        <w:rPr>
          <w:color w:val="000000"/>
        </w:rPr>
        <w:t>both</w:t>
      </w:r>
      <w:r w:rsidRPr="00B8658B">
        <w:rPr>
          <w:color w:val="000000"/>
          <w:spacing w:val="-1"/>
        </w:rPr>
        <w:t xml:space="preserve"> </w:t>
      </w:r>
      <w:r w:rsidRPr="00B8658B">
        <w:rPr>
          <w:color w:val="000000"/>
          <w:spacing w:val="-2"/>
        </w:rPr>
        <w:t>eyes.</w:t>
      </w:r>
    </w:p>
    <w:p w14:paraId="08E4FD61" w14:textId="77777777" w:rsidR="00A923F4" w:rsidRPr="00B8658B" w:rsidRDefault="00A923F4" w:rsidP="00A923F4">
      <w:pPr>
        <w:pStyle w:val="ListParagraph"/>
        <w:widowControl w:val="0"/>
        <w:numPr>
          <w:ilvl w:val="0"/>
          <w:numId w:val="1"/>
        </w:numPr>
        <w:tabs>
          <w:tab w:val="left" w:pos="941"/>
        </w:tabs>
        <w:autoSpaceDE w:val="0"/>
        <w:autoSpaceDN w:val="0"/>
        <w:spacing w:before="125" w:line="480" w:lineRule="auto"/>
        <w:ind w:right="217"/>
        <w:contextualSpacing w:val="0"/>
        <w:jc w:val="both"/>
        <w:rPr>
          <w:color w:val="000000"/>
        </w:rPr>
      </w:pPr>
      <w:r w:rsidRPr="00B8658B">
        <w:rPr>
          <w:color w:val="000000"/>
        </w:rPr>
        <w:t>Female patients were required to be 1-year postmenopausal, surgically</w:t>
      </w:r>
      <w:r w:rsidRPr="00B8658B">
        <w:rPr>
          <w:color w:val="000000"/>
          <w:spacing w:val="-4"/>
        </w:rPr>
        <w:t xml:space="preserve"> </w:t>
      </w:r>
      <w:r w:rsidRPr="00B8658B">
        <w:rPr>
          <w:color w:val="000000"/>
        </w:rPr>
        <w:t>sterilized, or have a negative urine pregnancy test at screening. Women of childbearing potential were to use an acceptable form of contraception throughout the study. Acceptable methods included the use of at least one of the following: intrauterine (intrauterine device), hormonal (oral, injection, patch, implant, ring), barrier with spermicide (condom, diaphragm), or abstinence.</w:t>
      </w:r>
    </w:p>
    <w:p w14:paraId="53D92497" w14:textId="77777777" w:rsidR="00A923F4" w:rsidRPr="00B8658B" w:rsidRDefault="00A923F4" w:rsidP="00A923F4">
      <w:pPr>
        <w:widowControl w:val="0"/>
        <w:tabs>
          <w:tab w:val="left" w:pos="941"/>
        </w:tabs>
        <w:autoSpaceDE w:val="0"/>
        <w:autoSpaceDN w:val="0"/>
        <w:spacing w:before="128" w:line="480" w:lineRule="auto"/>
        <w:ind w:right="215"/>
        <w:rPr>
          <w:rFonts w:ascii="Arial" w:hAnsi="Arial" w:cs="Arial"/>
          <w:color w:val="000000"/>
        </w:rPr>
      </w:pPr>
      <w:r w:rsidRPr="00B8658B">
        <w:rPr>
          <w:rFonts w:ascii="Arial" w:hAnsi="Arial" w:cs="Arial"/>
          <w:color w:val="000000"/>
        </w:rPr>
        <w:t>All patients were required to provide signed written consent before participation in any study-related procedures.</w:t>
      </w:r>
    </w:p>
    <w:p w14:paraId="4C5D9117" w14:textId="77777777" w:rsidR="00A923F4" w:rsidRPr="00B8658B" w:rsidRDefault="00A923F4" w:rsidP="00A923F4">
      <w:pPr>
        <w:rPr>
          <w:rFonts w:ascii="Arial" w:hAnsi="Arial" w:cs="Arial"/>
          <w:b/>
          <w:bCs/>
          <w:color w:val="000000"/>
        </w:rPr>
      </w:pPr>
      <w:r w:rsidRPr="00B8658B">
        <w:rPr>
          <w:rFonts w:ascii="Arial" w:hAnsi="Arial" w:cs="Arial"/>
          <w:color w:val="000000"/>
        </w:rPr>
        <w:br/>
      </w:r>
      <w:r w:rsidRPr="00B8658B">
        <w:rPr>
          <w:rFonts w:ascii="Arial" w:hAnsi="Arial" w:cs="Arial"/>
          <w:b/>
          <w:bCs/>
          <w:color w:val="000000"/>
        </w:rPr>
        <w:t>Exclusion criteria</w:t>
      </w:r>
    </w:p>
    <w:p w14:paraId="3C941033" w14:textId="77777777" w:rsidR="00A923F4" w:rsidRPr="00B8658B" w:rsidRDefault="00A923F4" w:rsidP="00A923F4">
      <w:pPr>
        <w:spacing w:line="480" w:lineRule="auto"/>
        <w:rPr>
          <w:rFonts w:ascii="Arial" w:hAnsi="Arial" w:cs="Arial"/>
          <w:color w:val="000000"/>
        </w:rPr>
      </w:pPr>
      <w:r w:rsidRPr="00B8658B">
        <w:rPr>
          <w:rFonts w:ascii="Arial" w:hAnsi="Arial" w:cs="Arial"/>
          <w:color w:val="000000"/>
        </w:rPr>
        <w:t xml:space="preserve">Any of the following was regarded as a criterion for exclusion from the study: </w:t>
      </w:r>
      <w:r w:rsidRPr="00B8658B">
        <w:rPr>
          <w:rFonts w:ascii="Arial" w:hAnsi="Arial" w:cs="Arial"/>
          <w:color w:val="000000"/>
          <w:u w:val="single"/>
        </w:rPr>
        <w:t>In the study eye:</w:t>
      </w:r>
    </w:p>
    <w:p w14:paraId="173E3D23"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A mean deviation of &lt; -20 dB on VF examination.</w:t>
      </w:r>
    </w:p>
    <w:p w14:paraId="49BC1B91"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A mean IOP &gt; 28 mm Hg at baseline.</w:t>
      </w:r>
    </w:p>
    <w:p w14:paraId="507A57D3"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Presence of a scotoma within 5° of fixation on VF examination.</w:t>
      </w:r>
    </w:p>
    <w:p w14:paraId="008824CE"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Aphakia.</w:t>
      </w:r>
    </w:p>
    <w:p w14:paraId="01F89C93"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 xml:space="preserve">Use of any antiglaucoma medication in addition to latanoprost 0.005% </w:t>
      </w:r>
      <w:r w:rsidRPr="00B8658B">
        <w:rPr>
          <w:rFonts w:ascii="Arial" w:hAnsi="Arial" w:cs="Arial"/>
          <w:color w:val="000000"/>
        </w:rPr>
        <w:lastRenderedPageBreak/>
        <w:t>ophthalmic solution within 2 weeks before screening and any antiglaucoma medication (other than latanoprost) during the study period other than the randomized study medication.</w:t>
      </w:r>
    </w:p>
    <w:p w14:paraId="399B6D8C"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bookmarkStart w:id="1" w:name="9.3.2._Exclusion_Criteria"/>
      <w:bookmarkStart w:id="2" w:name="_bookmark15"/>
      <w:bookmarkEnd w:id="1"/>
      <w:bookmarkEnd w:id="2"/>
      <w:r w:rsidRPr="00B8658B">
        <w:rPr>
          <w:rFonts w:ascii="Arial" w:hAnsi="Arial" w:cs="Arial"/>
          <w:color w:val="000000"/>
        </w:rPr>
        <w:t>Use of any topical ophthalmic steroid within 2 weeks before baseline. A short course of oral steroids was acceptable if the course was completed &gt; 2 weeks before screening. Inhaled and intranasal steroids were acceptable.</w:t>
      </w:r>
    </w:p>
    <w:p w14:paraId="1AC67767"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Use of topical nonsteroidal anti-inflammatory drug within 2 weeks before baseline.</w:t>
      </w:r>
    </w:p>
    <w:p w14:paraId="4ADF65FC"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Use of any ophthalmic medications during the study period (nonpreserved artificial tears were allowed).</w:t>
      </w:r>
    </w:p>
    <w:p w14:paraId="77585DE5"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Ocular surgery or laser treatment of any kind in the study eye within 3 months before baseline.</w:t>
      </w:r>
    </w:p>
    <w:p w14:paraId="141702DF"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History of ocular allergy/inflammation and/or severe blepharitis and/or uveitis. Seasonal allergic conjunctivitis was acceptable (as long as the patient was not expected to experience seasonal flare-up during the study period). Mild blepharitis/blepharoconjunctivitis, typically associated with prostaglandin usage, on the lid was acceptable.</w:t>
      </w:r>
    </w:p>
    <w:p w14:paraId="51D5CF0C"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History of ocular trauma or ocular infection within 3 months of screening.</w:t>
      </w:r>
    </w:p>
    <w:p w14:paraId="1274D561"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History of herpes simplex keratitis.</w:t>
      </w:r>
    </w:p>
    <w:p w14:paraId="272AB1CC"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Current proliferative diabetic retinopathy or age-related macular degeneration, unless deemed not clinically significant by the investigator.</w:t>
      </w:r>
    </w:p>
    <w:p w14:paraId="2BF3A47F"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mc:AlternateContent>
          <mc:Choice Requires="wps">
            <w:drawing>
              <wp:anchor distT="0" distB="0" distL="114300" distR="114300" simplePos="0" relativeHeight="251660288" behindDoc="1" locked="0" layoutInCell="1" allowOverlap="1" wp14:anchorId="1522CF90" wp14:editId="7381735E">
                <wp:simplePos x="0" y="0"/>
                <wp:positionH relativeFrom="page">
                  <wp:posOffset>2298700</wp:posOffset>
                </wp:positionH>
                <wp:positionV relativeFrom="paragraph">
                  <wp:posOffset>375285</wp:posOffset>
                </wp:positionV>
                <wp:extent cx="77470" cy="88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1128C" id="Rectangle 9" o:spid="_x0000_s1026" style="position:absolute;margin-left:181pt;margin-top:29.55pt;width:6.1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" fillcolor="black" stroked="f">
                <w10:wrap anchorx="page"/>
              </v:rect>
            </w:pict>
          </mc:Fallback>
        </mc:AlternateContent>
      </w:r>
      <w:r w:rsidRPr="00B8658B">
        <w:rPr>
          <w:rFonts w:ascii="Arial" w:hAnsi="Arial" w:cs="Arial"/>
          <w:color w:val="000000"/>
        </w:rPr>
        <mc:AlternateContent>
          <mc:Choice Requires="wps">
            <w:drawing>
              <wp:anchor distT="0" distB="0" distL="114300" distR="114300" simplePos="0" relativeHeight="251659264" behindDoc="1" locked="0" layoutInCell="1" allowOverlap="1" wp14:anchorId="4833D5DC" wp14:editId="07A02461">
                <wp:simplePos x="0" y="0"/>
                <wp:positionH relativeFrom="page">
                  <wp:posOffset>2298700</wp:posOffset>
                </wp:positionH>
                <wp:positionV relativeFrom="paragraph">
                  <wp:posOffset>375285</wp:posOffset>
                </wp:positionV>
                <wp:extent cx="77470" cy="8890"/>
                <wp:effectExtent l="0" t="0" r="0" b="381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DC4A" id="Rectangle 24" o:spid="_x0000_s1026" style="position:absolute;margin-left:181pt;margin-top:29.55pt;width:6.1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" fillcolor="black" stroked="f">
                <v:path arrowok="t"/>
                <w10:wrap anchorx="page"/>
              </v:rect>
            </w:pict>
          </mc:Fallback>
        </mc:AlternateContent>
      </w:r>
      <w:r w:rsidRPr="00B8658B">
        <w:rPr>
          <w:rFonts w:ascii="Arial" w:hAnsi="Arial" w:cs="Arial"/>
          <w:color w:val="000000"/>
        </w:rPr>
        <w:t>Severe dry eye (e.g., clinically relevant superficial punctate keratitis, epithelial erosions of the cornea, and/or use of dry eye medication [including artificial tears] with a frequency exceeding 8 instillations per day).</w:t>
      </w:r>
    </w:p>
    <w:p w14:paraId="3CFA5741"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 xml:space="preserve">Contact lens wear during the study period. Contact lens wear in an untreated </w:t>
      </w:r>
      <w:r w:rsidRPr="00B8658B">
        <w:rPr>
          <w:rFonts w:ascii="Arial" w:hAnsi="Arial" w:cs="Arial"/>
          <w:color w:val="000000"/>
        </w:rPr>
        <w:lastRenderedPageBreak/>
        <w:t>contralateral eye was allowed.</w:t>
      </w:r>
    </w:p>
    <w:p w14:paraId="6AF23E83"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Any secondary glaucoma or OHT (e.g., congenital glaucoma, closed-angle glaucoma, uveitic glaucoma, or pseudoexfoliation syndrome).</w:t>
      </w:r>
    </w:p>
    <w:p w14:paraId="6A5528FD"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Any severe glaucoma defined by cupping (cup-to-disc ratio ≥ 0.8).</w:t>
      </w:r>
    </w:p>
    <w:p w14:paraId="6012666C"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Any nonlaser glaucoma surgery.</w:t>
      </w:r>
    </w:p>
    <w:p w14:paraId="3CF02862" w14:textId="77777777" w:rsidR="00A923F4" w:rsidRPr="00B8658B" w:rsidRDefault="00A923F4" w:rsidP="00A923F4">
      <w:pPr>
        <w:widowControl w:val="0"/>
        <w:numPr>
          <w:ilvl w:val="0"/>
          <w:numId w:val="2"/>
        </w:numPr>
        <w:autoSpaceDE w:val="0"/>
        <w:autoSpaceDN w:val="0"/>
        <w:spacing w:line="480" w:lineRule="auto"/>
        <w:jc w:val="both"/>
        <w:rPr>
          <w:rFonts w:ascii="Arial" w:hAnsi="Arial" w:cs="Arial"/>
          <w:color w:val="000000"/>
        </w:rPr>
      </w:pPr>
      <w:r w:rsidRPr="00B8658B">
        <w:rPr>
          <w:rFonts w:ascii="Arial" w:hAnsi="Arial" w:cs="Arial"/>
          <w:color w:val="000000"/>
        </w:rPr>
        <w:t xml:space="preserve">Any abnormality preventing accurate assessment (e.g., resulting in unreliable applanation </w:t>
      </w:r>
      <w:bookmarkStart w:id="3" w:name="9.3.3._Removal_of_Subjects_from_Therapy_"/>
      <w:bookmarkEnd w:id="3"/>
      <w:r w:rsidRPr="00B8658B">
        <w:rPr>
          <w:rFonts w:ascii="Arial" w:hAnsi="Arial" w:cs="Arial"/>
          <w:color w:val="000000"/>
        </w:rPr>
        <w:t>tonometry or VF examination).</w:t>
      </w:r>
    </w:p>
    <w:p w14:paraId="644A07B3" w14:textId="77777777" w:rsidR="00A923F4" w:rsidRPr="00B8658B" w:rsidRDefault="00A923F4" w:rsidP="00A923F4">
      <w:pPr>
        <w:spacing w:line="480" w:lineRule="auto"/>
        <w:rPr>
          <w:rFonts w:ascii="Arial" w:hAnsi="Arial" w:cs="Arial"/>
          <w:color w:val="000000"/>
        </w:rPr>
      </w:pPr>
      <w:r w:rsidRPr="00B8658B">
        <w:rPr>
          <w:rFonts w:ascii="Arial" w:hAnsi="Arial" w:cs="Arial"/>
          <w:color w:val="000000"/>
          <w:u w:val="single"/>
        </w:rPr>
        <w:t>General:</w:t>
      </w:r>
    </w:p>
    <w:p w14:paraId="07163E8A"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Pregnancy or lactation.</w:t>
      </w:r>
    </w:p>
    <w:p w14:paraId="7B69E5CF"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Uncontrolled asthma (defined as asthma that did not respond to the maximum guideline-directed therapy).</w:t>
      </w:r>
    </w:p>
    <w:p w14:paraId="28A22073"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Allergy to BAK.</w:t>
      </w:r>
    </w:p>
    <w:p w14:paraId="6EC3A521"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History of moderate or severe renal or hepatic impairment.</w:t>
      </w:r>
    </w:p>
    <w:p w14:paraId="62A2DC85" w14:textId="77777777" w:rsidR="00A923F4" w:rsidRPr="00B8658B" w:rsidRDefault="00A923F4" w:rsidP="00A923F4">
      <w:pPr>
        <w:widowControl w:val="0"/>
        <w:numPr>
          <w:ilvl w:val="0"/>
          <w:numId w:val="2"/>
        </w:numPr>
        <w:autoSpaceDE w:val="0"/>
        <w:autoSpaceDN w:val="0"/>
        <w:spacing w:line="480" w:lineRule="auto"/>
        <w:rPr>
          <w:rFonts w:ascii="Arial" w:hAnsi="Arial" w:cs="Arial"/>
          <w:color w:val="000000"/>
        </w:rPr>
      </w:pPr>
      <w:r w:rsidRPr="00B8658B">
        <w:rPr>
          <w:rFonts w:ascii="Arial" w:hAnsi="Arial" w:cs="Arial"/>
          <w:color w:val="000000"/>
        </w:rPr>
        <w:t>Participation in any study of an investigational product within 30 days before screening or at any time during the study period.</w:t>
      </w:r>
    </w:p>
    <w:p w14:paraId="1CF2CC23" w14:textId="77777777" w:rsidR="00A923F4" w:rsidRPr="00B8658B" w:rsidRDefault="00A923F4" w:rsidP="00A923F4">
      <w:pPr>
        <w:rPr>
          <w:rFonts w:ascii="Arial" w:hAnsi="Arial" w:cs="Arial"/>
          <w:color w:val="000000"/>
        </w:rPr>
        <w:sectPr w:rsidR="00A923F4" w:rsidRPr="00B8658B" w:rsidSect="005917EF">
          <w:footerReference w:type="default" r:id="rId7"/>
          <w:pgSz w:w="11906" w:h="16838"/>
          <w:pgMar w:top="1440" w:right="1440" w:bottom="1440" w:left="1440" w:header="708" w:footer="708" w:gutter="0"/>
          <w:cols w:space="708"/>
          <w:docGrid w:linePitch="360"/>
        </w:sectPr>
      </w:pPr>
      <w:r w:rsidRPr="00B8658B">
        <w:rPr>
          <w:rFonts w:ascii="Arial" w:hAnsi="Arial" w:cs="Arial"/>
          <w:color w:val="000000"/>
        </w:rPr>
        <w:br w:type="page"/>
      </w:r>
    </w:p>
    <w:p w14:paraId="298E0AD2" w14:textId="19B5E912" w:rsidR="00A923F4" w:rsidRPr="00B8658B" w:rsidRDefault="00A923F4" w:rsidP="00A923F4">
      <w:pPr>
        <w:rPr>
          <w:rFonts w:ascii="Arial" w:hAnsi="Arial"/>
          <w:color w:val="000000"/>
        </w:rPr>
      </w:pPr>
      <w:r w:rsidRPr="00B8658B">
        <w:rPr>
          <w:rFonts w:ascii="Arial" w:hAnsi="Arial" w:cs="Arial"/>
          <w:b/>
          <w:bCs/>
          <w:color w:val="000000"/>
        </w:rPr>
        <w:lastRenderedPageBreak/>
        <w:t xml:space="preserve">Supplementary Table </w:t>
      </w:r>
      <w:r w:rsidR="001D7623" w:rsidRPr="00B8658B">
        <w:rPr>
          <w:rFonts w:ascii="Arial" w:hAnsi="Arial" w:cs="Arial"/>
          <w:b/>
          <w:bCs/>
          <w:color w:val="000000"/>
        </w:rPr>
        <w:t>1</w:t>
      </w:r>
      <w:r w:rsidRPr="00B8658B">
        <w:rPr>
          <w:rFonts w:ascii="Arial" w:hAnsi="Arial"/>
          <w:color w:val="000000"/>
        </w:rPr>
        <w:t>: Overall Summary of TEAEs (Safety Population).</w:t>
      </w:r>
    </w:p>
    <w:p w14:paraId="4941E54B" w14:textId="77777777" w:rsidR="00A923F4" w:rsidRPr="00B8658B" w:rsidRDefault="00A923F4" w:rsidP="00A923F4">
      <w:pPr>
        <w:rPr>
          <w:color w:val="000000"/>
        </w:rPr>
      </w:pPr>
    </w:p>
    <w:tbl>
      <w:tblPr>
        <w:tblW w:w="9077" w:type="dxa"/>
        <w:tblLayout w:type="fixed"/>
        <w:tblLook w:val="04A0" w:firstRow="1" w:lastRow="0" w:firstColumn="1" w:lastColumn="0" w:noHBand="0" w:noVBand="1"/>
      </w:tblPr>
      <w:tblGrid>
        <w:gridCol w:w="6232"/>
        <w:gridCol w:w="1427"/>
        <w:gridCol w:w="1418"/>
      </w:tblGrid>
      <w:tr w:rsidR="00A923F4" w:rsidRPr="00B8658B" w14:paraId="015DC01A" w14:textId="77777777" w:rsidTr="00F3252D">
        <w:trPr>
          <w:trHeight w:val="320"/>
        </w:trPr>
        <w:tc>
          <w:tcPr>
            <w:tcW w:w="623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0064145" w14:textId="77777777" w:rsidR="00A923F4" w:rsidRPr="00B8658B" w:rsidRDefault="00A923F4" w:rsidP="00F3252D">
            <w:pPr>
              <w:rPr>
                <w:rFonts w:ascii="Arial" w:hAnsi="Arial" w:cs="Arial"/>
                <w:b/>
                <w:bCs/>
                <w:color w:val="000000"/>
              </w:rPr>
            </w:pPr>
            <w:r w:rsidRPr="00B8658B">
              <w:rPr>
                <w:rFonts w:ascii="Arial" w:hAnsi="Arial" w:cs="Arial"/>
                <w:b/>
                <w:bCs/>
                <w:color w:val="000000"/>
              </w:rPr>
              <w:t>Type of TEAE</w:t>
            </w:r>
          </w:p>
        </w:tc>
        <w:tc>
          <w:tcPr>
            <w:tcW w:w="2845" w:type="dxa"/>
            <w:gridSpan w:val="2"/>
            <w:tcBorders>
              <w:top w:val="single" w:sz="4" w:space="0" w:color="auto"/>
              <w:left w:val="single" w:sz="4" w:space="0" w:color="auto"/>
              <w:bottom w:val="nil"/>
              <w:right w:val="single" w:sz="4" w:space="0" w:color="auto"/>
            </w:tcBorders>
            <w:shd w:val="clear" w:color="auto" w:fill="auto"/>
            <w:noWrap/>
            <w:vAlign w:val="center"/>
            <w:hideMark/>
          </w:tcPr>
          <w:p w14:paraId="0B02B170" w14:textId="77777777" w:rsidR="00A923F4" w:rsidRPr="00B8658B" w:rsidRDefault="00A923F4" w:rsidP="00F3252D">
            <w:pPr>
              <w:jc w:val="center"/>
              <w:rPr>
                <w:rFonts w:ascii="Arial" w:hAnsi="Arial" w:cs="Arial"/>
                <w:color w:val="000000"/>
              </w:rPr>
            </w:pPr>
            <w:r w:rsidRPr="00B8658B">
              <w:rPr>
                <w:rFonts w:ascii="Arial" w:hAnsi="Arial" w:cs="Arial"/>
                <w:color w:val="000000"/>
              </w:rPr>
              <w:t>No. (%) of patients</w:t>
            </w:r>
          </w:p>
        </w:tc>
      </w:tr>
      <w:tr w:rsidR="00A923F4" w:rsidRPr="00B8658B" w14:paraId="7CDCCB73" w14:textId="77777777" w:rsidTr="00F3252D">
        <w:trPr>
          <w:trHeight w:val="320"/>
        </w:trPr>
        <w:tc>
          <w:tcPr>
            <w:tcW w:w="6232" w:type="dxa"/>
            <w:vMerge/>
            <w:tcBorders>
              <w:top w:val="single" w:sz="4" w:space="0" w:color="auto"/>
              <w:left w:val="single" w:sz="4" w:space="0" w:color="auto"/>
              <w:bottom w:val="single" w:sz="4" w:space="0" w:color="000000"/>
              <w:right w:val="single" w:sz="4" w:space="0" w:color="auto"/>
            </w:tcBorders>
            <w:vAlign w:val="center"/>
            <w:hideMark/>
          </w:tcPr>
          <w:p w14:paraId="049F5F3D" w14:textId="77777777" w:rsidR="00A923F4" w:rsidRPr="00B8658B" w:rsidRDefault="00A923F4" w:rsidP="00F3252D">
            <w:pPr>
              <w:rPr>
                <w:rFonts w:ascii="Arial" w:hAnsi="Arial" w:cs="Arial"/>
                <w:b/>
                <w:bCs/>
                <w:color w:val="000000"/>
              </w:rPr>
            </w:pPr>
          </w:p>
        </w:tc>
        <w:tc>
          <w:tcPr>
            <w:tcW w:w="1427" w:type="dxa"/>
            <w:tcBorders>
              <w:top w:val="single" w:sz="4" w:space="0" w:color="auto"/>
              <w:left w:val="single" w:sz="4" w:space="0" w:color="auto"/>
              <w:bottom w:val="nil"/>
              <w:right w:val="nil"/>
            </w:tcBorders>
            <w:shd w:val="clear" w:color="auto" w:fill="auto"/>
            <w:noWrap/>
            <w:vAlign w:val="bottom"/>
            <w:hideMark/>
          </w:tcPr>
          <w:p w14:paraId="71155482" w14:textId="77777777" w:rsidR="00A923F4" w:rsidRPr="00B8658B" w:rsidRDefault="00A923F4" w:rsidP="00F3252D">
            <w:pPr>
              <w:jc w:val="center"/>
              <w:rPr>
                <w:rFonts w:ascii="Arial" w:hAnsi="Arial" w:cs="Arial"/>
                <w:b/>
                <w:bCs/>
                <w:color w:val="000000"/>
              </w:rPr>
            </w:pPr>
            <w:r w:rsidRPr="00B8658B">
              <w:rPr>
                <w:rFonts w:ascii="Arial" w:hAnsi="Arial" w:cs="Arial"/>
                <w:b/>
                <w:bCs/>
                <w:color w:val="000000"/>
              </w:rPr>
              <w:t>T2345</w:t>
            </w:r>
          </w:p>
        </w:tc>
        <w:tc>
          <w:tcPr>
            <w:tcW w:w="1418" w:type="dxa"/>
            <w:tcBorders>
              <w:top w:val="single" w:sz="4" w:space="0" w:color="auto"/>
              <w:left w:val="nil"/>
              <w:bottom w:val="nil"/>
              <w:right w:val="single" w:sz="4" w:space="0" w:color="auto"/>
            </w:tcBorders>
            <w:shd w:val="clear" w:color="auto" w:fill="auto"/>
            <w:noWrap/>
            <w:vAlign w:val="bottom"/>
            <w:hideMark/>
          </w:tcPr>
          <w:p w14:paraId="5A57FEF4" w14:textId="77777777" w:rsidR="00A923F4" w:rsidRPr="00B8658B" w:rsidRDefault="00A923F4" w:rsidP="00F3252D">
            <w:pPr>
              <w:jc w:val="center"/>
              <w:rPr>
                <w:rFonts w:ascii="Arial" w:hAnsi="Arial" w:cs="Arial"/>
                <w:b/>
                <w:bCs/>
                <w:color w:val="000000"/>
              </w:rPr>
            </w:pPr>
            <w:r w:rsidRPr="00B8658B">
              <w:rPr>
                <w:rFonts w:ascii="Arial" w:hAnsi="Arial" w:cs="Arial"/>
                <w:b/>
                <w:bCs/>
                <w:color w:val="000000"/>
              </w:rPr>
              <w:t>BPL</w:t>
            </w:r>
          </w:p>
        </w:tc>
      </w:tr>
      <w:tr w:rsidR="00A923F4" w:rsidRPr="00B8658B" w14:paraId="5F1D90E2" w14:textId="77777777" w:rsidTr="00F3252D">
        <w:trPr>
          <w:trHeight w:val="320"/>
        </w:trPr>
        <w:tc>
          <w:tcPr>
            <w:tcW w:w="6232" w:type="dxa"/>
            <w:vMerge/>
            <w:tcBorders>
              <w:top w:val="single" w:sz="4" w:space="0" w:color="auto"/>
              <w:left w:val="single" w:sz="4" w:space="0" w:color="auto"/>
              <w:bottom w:val="single" w:sz="4" w:space="0" w:color="000000"/>
              <w:right w:val="single" w:sz="4" w:space="0" w:color="auto"/>
            </w:tcBorders>
            <w:vAlign w:val="center"/>
            <w:hideMark/>
          </w:tcPr>
          <w:p w14:paraId="3D7601CC" w14:textId="77777777" w:rsidR="00A923F4" w:rsidRPr="00B8658B" w:rsidRDefault="00A923F4" w:rsidP="00F3252D">
            <w:pPr>
              <w:rPr>
                <w:rFonts w:ascii="Arial" w:hAnsi="Arial" w:cs="Arial"/>
                <w:b/>
                <w:bCs/>
                <w:color w:val="000000"/>
              </w:rPr>
            </w:pPr>
          </w:p>
        </w:tc>
        <w:tc>
          <w:tcPr>
            <w:tcW w:w="1427" w:type="dxa"/>
            <w:tcBorders>
              <w:top w:val="nil"/>
              <w:left w:val="single" w:sz="4" w:space="0" w:color="auto"/>
              <w:bottom w:val="single" w:sz="4" w:space="0" w:color="auto"/>
              <w:right w:val="nil"/>
            </w:tcBorders>
            <w:shd w:val="clear" w:color="auto" w:fill="auto"/>
            <w:noWrap/>
            <w:vAlign w:val="bottom"/>
            <w:hideMark/>
          </w:tcPr>
          <w:p w14:paraId="732FD53C" w14:textId="77777777" w:rsidR="00A923F4" w:rsidRPr="00B8658B" w:rsidRDefault="00A923F4" w:rsidP="00F3252D">
            <w:pPr>
              <w:jc w:val="center"/>
              <w:rPr>
                <w:rFonts w:ascii="Arial" w:hAnsi="Arial" w:cs="Arial"/>
                <w:b/>
                <w:bCs/>
                <w:color w:val="000000"/>
              </w:rPr>
            </w:pPr>
            <w:r w:rsidRPr="00B8658B">
              <w:rPr>
                <w:rFonts w:ascii="Arial" w:hAnsi="Arial" w:cs="Arial"/>
                <w:b/>
                <w:bCs/>
                <w:color w:val="000000"/>
              </w:rPr>
              <w:t>(N = 165)</w:t>
            </w:r>
          </w:p>
        </w:tc>
        <w:tc>
          <w:tcPr>
            <w:tcW w:w="1418" w:type="dxa"/>
            <w:tcBorders>
              <w:top w:val="nil"/>
              <w:left w:val="nil"/>
              <w:bottom w:val="single" w:sz="4" w:space="0" w:color="auto"/>
              <w:right w:val="single" w:sz="4" w:space="0" w:color="auto"/>
            </w:tcBorders>
            <w:shd w:val="clear" w:color="auto" w:fill="auto"/>
            <w:noWrap/>
            <w:vAlign w:val="bottom"/>
            <w:hideMark/>
          </w:tcPr>
          <w:p w14:paraId="0D144EBE" w14:textId="77777777" w:rsidR="00A923F4" w:rsidRPr="00B8658B" w:rsidRDefault="00A923F4" w:rsidP="00F3252D">
            <w:pPr>
              <w:jc w:val="center"/>
              <w:rPr>
                <w:rFonts w:ascii="Arial" w:hAnsi="Arial" w:cs="Arial"/>
                <w:b/>
                <w:bCs/>
                <w:color w:val="000000"/>
              </w:rPr>
            </w:pPr>
            <w:r w:rsidRPr="00B8658B">
              <w:rPr>
                <w:rFonts w:ascii="Arial" w:hAnsi="Arial" w:cs="Arial"/>
                <w:b/>
                <w:bCs/>
                <w:color w:val="000000"/>
              </w:rPr>
              <w:t>(N = 169)</w:t>
            </w:r>
          </w:p>
        </w:tc>
      </w:tr>
      <w:tr w:rsidR="00A923F4" w:rsidRPr="00B8658B" w14:paraId="2F8EE00C"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0C4C2158" w14:textId="77777777" w:rsidR="00A923F4" w:rsidRPr="00B8658B" w:rsidRDefault="00A923F4" w:rsidP="00F3252D">
            <w:pPr>
              <w:rPr>
                <w:rFonts w:ascii="Arial" w:hAnsi="Arial" w:cs="Arial"/>
                <w:color w:val="000000"/>
              </w:rPr>
            </w:pPr>
            <w:r w:rsidRPr="00B8658B">
              <w:rPr>
                <w:rFonts w:ascii="Arial" w:hAnsi="Arial" w:cs="Arial"/>
                <w:color w:val="000000"/>
              </w:rPr>
              <w:t>Any TEAEs</w:t>
            </w:r>
          </w:p>
        </w:tc>
        <w:tc>
          <w:tcPr>
            <w:tcW w:w="1427" w:type="dxa"/>
            <w:tcBorders>
              <w:top w:val="nil"/>
              <w:left w:val="nil"/>
              <w:bottom w:val="single" w:sz="4" w:space="0" w:color="auto"/>
              <w:right w:val="single" w:sz="4" w:space="0" w:color="auto"/>
            </w:tcBorders>
            <w:shd w:val="clear" w:color="auto" w:fill="auto"/>
            <w:noWrap/>
            <w:vAlign w:val="bottom"/>
            <w:hideMark/>
          </w:tcPr>
          <w:p w14:paraId="5FA7EE61" w14:textId="77777777" w:rsidR="00A923F4" w:rsidRPr="00B8658B" w:rsidRDefault="00A923F4" w:rsidP="00F3252D">
            <w:pPr>
              <w:jc w:val="center"/>
              <w:rPr>
                <w:rFonts w:ascii="Arial" w:hAnsi="Arial" w:cs="Arial"/>
                <w:color w:val="000000"/>
              </w:rPr>
            </w:pPr>
            <w:r w:rsidRPr="00B8658B">
              <w:rPr>
                <w:rFonts w:ascii="Arial" w:hAnsi="Arial" w:cs="Arial"/>
                <w:color w:val="000000"/>
              </w:rPr>
              <w:t>42 (25.5)</w:t>
            </w:r>
          </w:p>
        </w:tc>
        <w:tc>
          <w:tcPr>
            <w:tcW w:w="1418" w:type="dxa"/>
            <w:tcBorders>
              <w:top w:val="nil"/>
              <w:left w:val="nil"/>
              <w:bottom w:val="single" w:sz="4" w:space="0" w:color="auto"/>
              <w:right w:val="single" w:sz="4" w:space="0" w:color="auto"/>
            </w:tcBorders>
            <w:shd w:val="clear" w:color="auto" w:fill="auto"/>
            <w:noWrap/>
            <w:vAlign w:val="bottom"/>
            <w:hideMark/>
          </w:tcPr>
          <w:p w14:paraId="4870EF08" w14:textId="77777777" w:rsidR="00A923F4" w:rsidRPr="00B8658B" w:rsidRDefault="00A923F4" w:rsidP="00F3252D">
            <w:pPr>
              <w:jc w:val="center"/>
              <w:rPr>
                <w:rFonts w:ascii="Arial" w:hAnsi="Arial" w:cs="Arial"/>
                <w:color w:val="000000"/>
              </w:rPr>
            </w:pPr>
            <w:r w:rsidRPr="00B8658B">
              <w:rPr>
                <w:rFonts w:ascii="Arial" w:hAnsi="Arial" w:cs="Arial"/>
                <w:color w:val="000000"/>
              </w:rPr>
              <w:t>52 (30.8)</w:t>
            </w:r>
          </w:p>
        </w:tc>
      </w:tr>
      <w:tr w:rsidR="00A923F4" w:rsidRPr="00B8658B" w14:paraId="49E2301B"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1735F38B" w14:textId="77777777" w:rsidR="00A923F4" w:rsidRPr="00B8658B" w:rsidRDefault="00A923F4" w:rsidP="00F3252D">
            <w:pPr>
              <w:rPr>
                <w:rFonts w:ascii="Arial" w:hAnsi="Arial" w:cs="Arial"/>
                <w:color w:val="000000"/>
              </w:rPr>
            </w:pPr>
            <w:r w:rsidRPr="00B8658B">
              <w:rPr>
                <w:rFonts w:ascii="Arial" w:hAnsi="Arial" w:cs="Arial"/>
                <w:color w:val="000000"/>
              </w:rPr>
              <w:t>Any ocular TEAEs*</w:t>
            </w:r>
          </w:p>
        </w:tc>
        <w:tc>
          <w:tcPr>
            <w:tcW w:w="1427" w:type="dxa"/>
            <w:tcBorders>
              <w:top w:val="nil"/>
              <w:left w:val="nil"/>
              <w:bottom w:val="single" w:sz="4" w:space="0" w:color="auto"/>
              <w:right w:val="single" w:sz="4" w:space="0" w:color="auto"/>
            </w:tcBorders>
            <w:shd w:val="clear" w:color="auto" w:fill="auto"/>
            <w:noWrap/>
            <w:vAlign w:val="bottom"/>
            <w:hideMark/>
          </w:tcPr>
          <w:p w14:paraId="0BCCE468" w14:textId="77777777" w:rsidR="00A923F4" w:rsidRPr="00B8658B" w:rsidRDefault="00A923F4" w:rsidP="00F3252D">
            <w:pPr>
              <w:jc w:val="center"/>
              <w:rPr>
                <w:rFonts w:ascii="Arial" w:hAnsi="Arial" w:cs="Arial"/>
                <w:color w:val="000000"/>
              </w:rPr>
            </w:pPr>
            <w:r w:rsidRPr="00B8658B">
              <w:rPr>
                <w:rFonts w:ascii="Arial" w:hAnsi="Arial" w:cs="Arial"/>
                <w:color w:val="000000"/>
              </w:rPr>
              <w:t>23 (13.9)</w:t>
            </w:r>
          </w:p>
        </w:tc>
        <w:tc>
          <w:tcPr>
            <w:tcW w:w="1418" w:type="dxa"/>
            <w:tcBorders>
              <w:top w:val="nil"/>
              <w:left w:val="nil"/>
              <w:bottom w:val="single" w:sz="4" w:space="0" w:color="auto"/>
              <w:right w:val="single" w:sz="4" w:space="0" w:color="auto"/>
            </w:tcBorders>
            <w:shd w:val="clear" w:color="auto" w:fill="auto"/>
            <w:noWrap/>
            <w:vAlign w:val="bottom"/>
            <w:hideMark/>
          </w:tcPr>
          <w:p w14:paraId="4E631324" w14:textId="77777777" w:rsidR="00A923F4" w:rsidRPr="00B8658B" w:rsidRDefault="00A923F4" w:rsidP="00F3252D">
            <w:pPr>
              <w:jc w:val="center"/>
              <w:rPr>
                <w:rFonts w:ascii="Arial" w:hAnsi="Arial" w:cs="Arial"/>
                <w:color w:val="000000"/>
              </w:rPr>
            </w:pPr>
            <w:r w:rsidRPr="00B8658B">
              <w:rPr>
                <w:rFonts w:ascii="Arial" w:hAnsi="Arial" w:cs="Arial"/>
                <w:color w:val="000000"/>
              </w:rPr>
              <w:t>38 (22.5)</w:t>
            </w:r>
          </w:p>
        </w:tc>
      </w:tr>
      <w:tr w:rsidR="00A923F4" w:rsidRPr="00B8658B" w14:paraId="2F893ABD"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055C6875" w14:textId="77777777" w:rsidR="00A923F4" w:rsidRPr="00B8658B" w:rsidRDefault="00A923F4" w:rsidP="00F3252D">
            <w:pPr>
              <w:rPr>
                <w:rFonts w:ascii="Arial" w:hAnsi="Arial" w:cs="Arial"/>
                <w:color w:val="000000"/>
              </w:rPr>
            </w:pPr>
            <w:r w:rsidRPr="00B8658B">
              <w:rPr>
                <w:rFonts w:ascii="Arial" w:hAnsi="Arial" w:cs="Arial"/>
                <w:color w:val="000000"/>
              </w:rPr>
              <w:t>Maximum intensity</w:t>
            </w:r>
          </w:p>
        </w:tc>
        <w:tc>
          <w:tcPr>
            <w:tcW w:w="1427" w:type="dxa"/>
            <w:tcBorders>
              <w:top w:val="nil"/>
              <w:left w:val="nil"/>
              <w:bottom w:val="single" w:sz="4" w:space="0" w:color="auto"/>
              <w:right w:val="single" w:sz="4" w:space="0" w:color="auto"/>
            </w:tcBorders>
            <w:shd w:val="clear" w:color="auto" w:fill="auto"/>
            <w:noWrap/>
            <w:vAlign w:val="bottom"/>
            <w:hideMark/>
          </w:tcPr>
          <w:p w14:paraId="45201284" w14:textId="77777777" w:rsidR="00A923F4" w:rsidRPr="00B8658B" w:rsidRDefault="00A923F4" w:rsidP="00F3252D">
            <w:pPr>
              <w:jc w:val="center"/>
              <w:rPr>
                <w:rFonts w:ascii="Arial" w:hAnsi="Arial" w:cs="Arial"/>
                <w:color w:val="000000"/>
              </w:rPr>
            </w:pPr>
            <w:r w:rsidRPr="00B8658B">
              <w:rPr>
                <w:rFonts w:ascii="Arial" w:hAnsi="Arial" w:cs="Arial"/>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732CC3" w14:textId="77777777" w:rsidR="00A923F4" w:rsidRPr="00B8658B" w:rsidRDefault="00A923F4" w:rsidP="00F3252D">
            <w:pPr>
              <w:jc w:val="center"/>
              <w:rPr>
                <w:rFonts w:ascii="Arial" w:hAnsi="Arial" w:cs="Arial"/>
                <w:color w:val="000000"/>
              </w:rPr>
            </w:pPr>
            <w:r w:rsidRPr="00B8658B">
              <w:rPr>
                <w:rFonts w:ascii="Arial" w:hAnsi="Arial" w:cs="Arial"/>
                <w:color w:val="000000"/>
              </w:rPr>
              <w:t> </w:t>
            </w:r>
          </w:p>
        </w:tc>
      </w:tr>
      <w:tr w:rsidR="00A923F4" w:rsidRPr="00B8658B" w14:paraId="4D9C4A00"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3E9F2EEA" w14:textId="77777777" w:rsidR="00A923F4" w:rsidRPr="00B8658B" w:rsidRDefault="00A923F4" w:rsidP="00F3252D">
            <w:pPr>
              <w:rPr>
                <w:rFonts w:ascii="Arial" w:hAnsi="Arial" w:cs="Arial"/>
                <w:color w:val="000000"/>
              </w:rPr>
            </w:pPr>
            <w:r w:rsidRPr="00B8658B">
              <w:rPr>
                <w:rFonts w:ascii="Arial" w:hAnsi="Arial" w:cs="Arial"/>
                <w:color w:val="000000"/>
              </w:rPr>
              <w:t xml:space="preserve"> Mild</w:t>
            </w:r>
          </w:p>
        </w:tc>
        <w:tc>
          <w:tcPr>
            <w:tcW w:w="1427" w:type="dxa"/>
            <w:tcBorders>
              <w:top w:val="nil"/>
              <w:left w:val="nil"/>
              <w:bottom w:val="single" w:sz="4" w:space="0" w:color="auto"/>
              <w:right w:val="single" w:sz="4" w:space="0" w:color="auto"/>
            </w:tcBorders>
            <w:shd w:val="clear" w:color="auto" w:fill="auto"/>
            <w:noWrap/>
            <w:vAlign w:val="bottom"/>
            <w:hideMark/>
          </w:tcPr>
          <w:p w14:paraId="7BD7A111" w14:textId="77777777" w:rsidR="00A923F4" w:rsidRPr="00B8658B" w:rsidRDefault="00A923F4" w:rsidP="00F3252D">
            <w:pPr>
              <w:jc w:val="center"/>
              <w:rPr>
                <w:rFonts w:ascii="Arial" w:hAnsi="Arial" w:cs="Arial"/>
                <w:color w:val="000000"/>
              </w:rPr>
            </w:pPr>
            <w:r w:rsidRPr="00B8658B">
              <w:rPr>
                <w:rFonts w:ascii="Arial" w:hAnsi="Arial" w:cs="Arial"/>
                <w:color w:val="000000"/>
              </w:rPr>
              <w:t>28 (17.0)</w:t>
            </w:r>
          </w:p>
        </w:tc>
        <w:tc>
          <w:tcPr>
            <w:tcW w:w="1418" w:type="dxa"/>
            <w:tcBorders>
              <w:top w:val="nil"/>
              <w:left w:val="nil"/>
              <w:bottom w:val="single" w:sz="4" w:space="0" w:color="auto"/>
              <w:right w:val="single" w:sz="4" w:space="0" w:color="auto"/>
            </w:tcBorders>
            <w:shd w:val="clear" w:color="auto" w:fill="auto"/>
            <w:noWrap/>
            <w:vAlign w:val="bottom"/>
            <w:hideMark/>
          </w:tcPr>
          <w:p w14:paraId="1A4B161E" w14:textId="77777777" w:rsidR="00A923F4" w:rsidRPr="00B8658B" w:rsidRDefault="00A923F4" w:rsidP="00F3252D">
            <w:pPr>
              <w:jc w:val="center"/>
              <w:rPr>
                <w:rFonts w:ascii="Arial" w:hAnsi="Arial" w:cs="Arial"/>
                <w:color w:val="000000"/>
              </w:rPr>
            </w:pPr>
            <w:r w:rsidRPr="00B8658B">
              <w:rPr>
                <w:rFonts w:ascii="Arial" w:hAnsi="Arial" w:cs="Arial"/>
                <w:color w:val="000000"/>
              </w:rPr>
              <w:t>33 (19.5)</w:t>
            </w:r>
          </w:p>
        </w:tc>
      </w:tr>
      <w:tr w:rsidR="00A923F4" w:rsidRPr="00B8658B" w14:paraId="6B310523"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7FCFB850" w14:textId="77777777" w:rsidR="00A923F4" w:rsidRPr="00B8658B" w:rsidRDefault="00A923F4" w:rsidP="00F3252D">
            <w:pPr>
              <w:rPr>
                <w:rFonts w:ascii="Arial" w:hAnsi="Arial" w:cs="Arial"/>
                <w:color w:val="000000"/>
              </w:rPr>
            </w:pPr>
            <w:r w:rsidRPr="00B8658B">
              <w:rPr>
                <w:rFonts w:ascii="Arial" w:hAnsi="Arial" w:cs="Arial"/>
                <w:color w:val="000000"/>
              </w:rPr>
              <w:t xml:space="preserve"> Moderate</w:t>
            </w:r>
          </w:p>
        </w:tc>
        <w:tc>
          <w:tcPr>
            <w:tcW w:w="1427" w:type="dxa"/>
            <w:tcBorders>
              <w:top w:val="nil"/>
              <w:left w:val="nil"/>
              <w:bottom w:val="single" w:sz="4" w:space="0" w:color="auto"/>
              <w:right w:val="single" w:sz="4" w:space="0" w:color="auto"/>
            </w:tcBorders>
            <w:shd w:val="clear" w:color="auto" w:fill="auto"/>
            <w:noWrap/>
            <w:vAlign w:val="bottom"/>
            <w:hideMark/>
          </w:tcPr>
          <w:p w14:paraId="5EDEDEDB" w14:textId="77777777" w:rsidR="00A923F4" w:rsidRPr="00B8658B" w:rsidRDefault="00A923F4" w:rsidP="00F3252D">
            <w:pPr>
              <w:jc w:val="center"/>
              <w:rPr>
                <w:rFonts w:ascii="Arial" w:hAnsi="Arial" w:cs="Arial"/>
                <w:color w:val="000000"/>
              </w:rPr>
            </w:pPr>
            <w:r w:rsidRPr="00B8658B">
              <w:rPr>
                <w:rFonts w:ascii="Arial" w:hAnsi="Arial" w:cs="Arial"/>
                <w:color w:val="000000"/>
              </w:rPr>
              <w:t>13 (7.9)</w:t>
            </w:r>
          </w:p>
        </w:tc>
        <w:tc>
          <w:tcPr>
            <w:tcW w:w="1418" w:type="dxa"/>
            <w:tcBorders>
              <w:top w:val="nil"/>
              <w:left w:val="nil"/>
              <w:bottom w:val="single" w:sz="4" w:space="0" w:color="auto"/>
              <w:right w:val="single" w:sz="4" w:space="0" w:color="auto"/>
            </w:tcBorders>
            <w:shd w:val="clear" w:color="auto" w:fill="auto"/>
            <w:noWrap/>
            <w:vAlign w:val="bottom"/>
            <w:hideMark/>
          </w:tcPr>
          <w:p w14:paraId="271852E6" w14:textId="77777777" w:rsidR="00A923F4" w:rsidRPr="00B8658B" w:rsidRDefault="00A923F4" w:rsidP="00F3252D">
            <w:pPr>
              <w:jc w:val="center"/>
              <w:rPr>
                <w:rFonts w:ascii="Arial" w:hAnsi="Arial" w:cs="Arial"/>
                <w:color w:val="000000"/>
              </w:rPr>
            </w:pPr>
            <w:r w:rsidRPr="00B8658B">
              <w:rPr>
                <w:rFonts w:ascii="Arial" w:hAnsi="Arial" w:cs="Arial"/>
                <w:color w:val="000000"/>
              </w:rPr>
              <w:t>16 (9.5)</w:t>
            </w:r>
          </w:p>
        </w:tc>
      </w:tr>
      <w:tr w:rsidR="00A923F4" w:rsidRPr="00B8658B" w14:paraId="3A3DDC74"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529F09C6" w14:textId="77777777" w:rsidR="00A923F4" w:rsidRPr="00B8658B" w:rsidRDefault="00A923F4" w:rsidP="00F3252D">
            <w:pPr>
              <w:rPr>
                <w:rFonts w:ascii="Arial" w:hAnsi="Arial" w:cs="Arial"/>
                <w:color w:val="000000"/>
              </w:rPr>
            </w:pPr>
            <w:r w:rsidRPr="00B8658B">
              <w:rPr>
                <w:rFonts w:ascii="Arial" w:hAnsi="Arial" w:cs="Arial"/>
                <w:color w:val="000000"/>
              </w:rPr>
              <w:t xml:space="preserve"> Severe</w:t>
            </w:r>
          </w:p>
        </w:tc>
        <w:tc>
          <w:tcPr>
            <w:tcW w:w="1427" w:type="dxa"/>
            <w:tcBorders>
              <w:top w:val="nil"/>
              <w:left w:val="nil"/>
              <w:bottom w:val="single" w:sz="4" w:space="0" w:color="auto"/>
              <w:right w:val="single" w:sz="4" w:space="0" w:color="auto"/>
            </w:tcBorders>
            <w:shd w:val="clear" w:color="auto" w:fill="auto"/>
            <w:noWrap/>
            <w:vAlign w:val="bottom"/>
            <w:hideMark/>
          </w:tcPr>
          <w:p w14:paraId="3A46C6B9"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418" w:type="dxa"/>
            <w:tcBorders>
              <w:top w:val="nil"/>
              <w:left w:val="nil"/>
              <w:bottom w:val="single" w:sz="4" w:space="0" w:color="auto"/>
              <w:right w:val="single" w:sz="4" w:space="0" w:color="auto"/>
            </w:tcBorders>
            <w:shd w:val="clear" w:color="auto" w:fill="auto"/>
            <w:noWrap/>
            <w:vAlign w:val="bottom"/>
            <w:hideMark/>
          </w:tcPr>
          <w:p w14:paraId="48428039" w14:textId="77777777" w:rsidR="00A923F4" w:rsidRPr="00B8658B" w:rsidRDefault="00A923F4" w:rsidP="00F3252D">
            <w:pPr>
              <w:jc w:val="center"/>
              <w:rPr>
                <w:rFonts w:ascii="Arial" w:hAnsi="Arial" w:cs="Arial"/>
                <w:color w:val="000000"/>
              </w:rPr>
            </w:pPr>
            <w:r w:rsidRPr="00B8658B">
              <w:rPr>
                <w:rFonts w:ascii="Arial" w:hAnsi="Arial" w:cs="Arial"/>
                <w:color w:val="000000"/>
              </w:rPr>
              <w:t>3 (1.8)</w:t>
            </w:r>
          </w:p>
        </w:tc>
      </w:tr>
      <w:tr w:rsidR="00A923F4" w:rsidRPr="00B8658B" w14:paraId="3F783D17"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723F2E7F" w14:textId="77777777" w:rsidR="00A923F4" w:rsidRPr="00B8658B" w:rsidRDefault="00A923F4" w:rsidP="00F3252D">
            <w:pPr>
              <w:rPr>
                <w:rFonts w:ascii="Arial" w:hAnsi="Arial" w:cs="Arial"/>
                <w:color w:val="000000"/>
              </w:rPr>
            </w:pPr>
            <w:r w:rsidRPr="00B8658B">
              <w:rPr>
                <w:rFonts w:ascii="Arial" w:hAnsi="Arial" w:cs="Arial"/>
                <w:color w:val="000000"/>
              </w:rPr>
              <w:t>Maximum relationship to study drug</w:t>
            </w:r>
          </w:p>
        </w:tc>
        <w:tc>
          <w:tcPr>
            <w:tcW w:w="1427" w:type="dxa"/>
            <w:tcBorders>
              <w:top w:val="nil"/>
              <w:left w:val="nil"/>
              <w:bottom w:val="single" w:sz="4" w:space="0" w:color="auto"/>
              <w:right w:val="single" w:sz="4" w:space="0" w:color="auto"/>
            </w:tcBorders>
            <w:shd w:val="clear" w:color="auto" w:fill="auto"/>
            <w:noWrap/>
            <w:vAlign w:val="bottom"/>
            <w:hideMark/>
          </w:tcPr>
          <w:p w14:paraId="7CE7AE9A" w14:textId="77777777" w:rsidR="00A923F4" w:rsidRPr="00B8658B" w:rsidRDefault="00A923F4" w:rsidP="00F3252D">
            <w:pPr>
              <w:jc w:val="center"/>
              <w:rPr>
                <w:rFonts w:ascii="Arial" w:hAnsi="Arial" w:cs="Arial"/>
                <w:color w:val="000000"/>
              </w:rPr>
            </w:pPr>
            <w:r w:rsidRPr="00B8658B">
              <w:rPr>
                <w:rFonts w:ascii="Arial" w:hAnsi="Arial" w:cs="Arial"/>
                <w:color w:val="000000"/>
              </w:rPr>
              <w:t> </w:t>
            </w:r>
          </w:p>
        </w:tc>
        <w:tc>
          <w:tcPr>
            <w:tcW w:w="1418" w:type="dxa"/>
            <w:tcBorders>
              <w:top w:val="nil"/>
              <w:left w:val="nil"/>
              <w:bottom w:val="single" w:sz="4" w:space="0" w:color="auto"/>
              <w:right w:val="single" w:sz="4" w:space="0" w:color="auto"/>
            </w:tcBorders>
            <w:shd w:val="clear" w:color="auto" w:fill="auto"/>
            <w:noWrap/>
            <w:vAlign w:val="bottom"/>
            <w:hideMark/>
          </w:tcPr>
          <w:p w14:paraId="5F223C82" w14:textId="77777777" w:rsidR="00A923F4" w:rsidRPr="00B8658B" w:rsidRDefault="00A923F4" w:rsidP="00F3252D">
            <w:pPr>
              <w:jc w:val="center"/>
              <w:rPr>
                <w:rFonts w:ascii="Arial" w:hAnsi="Arial" w:cs="Arial"/>
                <w:color w:val="000000"/>
              </w:rPr>
            </w:pPr>
            <w:r w:rsidRPr="00B8658B">
              <w:rPr>
                <w:rFonts w:ascii="Arial" w:hAnsi="Arial" w:cs="Arial"/>
                <w:color w:val="000000"/>
              </w:rPr>
              <w:t> </w:t>
            </w:r>
          </w:p>
        </w:tc>
      </w:tr>
      <w:tr w:rsidR="00A923F4" w:rsidRPr="00B8658B" w14:paraId="384FDFA9"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02CC6A7C" w14:textId="77777777" w:rsidR="00A923F4" w:rsidRPr="00B8658B" w:rsidRDefault="00A923F4" w:rsidP="00F3252D">
            <w:pPr>
              <w:rPr>
                <w:rFonts w:ascii="Arial" w:hAnsi="Arial" w:cs="Arial"/>
                <w:color w:val="000000"/>
              </w:rPr>
            </w:pPr>
            <w:r w:rsidRPr="00B8658B">
              <w:rPr>
                <w:rFonts w:ascii="Arial" w:hAnsi="Arial" w:cs="Arial"/>
                <w:color w:val="000000"/>
              </w:rPr>
              <w:t xml:space="preserve"> Not suspected</w:t>
            </w:r>
          </w:p>
        </w:tc>
        <w:tc>
          <w:tcPr>
            <w:tcW w:w="1427" w:type="dxa"/>
            <w:tcBorders>
              <w:top w:val="nil"/>
              <w:left w:val="nil"/>
              <w:bottom w:val="single" w:sz="4" w:space="0" w:color="auto"/>
              <w:right w:val="single" w:sz="4" w:space="0" w:color="auto"/>
            </w:tcBorders>
            <w:shd w:val="clear" w:color="auto" w:fill="auto"/>
            <w:noWrap/>
            <w:vAlign w:val="bottom"/>
            <w:hideMark/>
          </w:tcPr>
          <w:p w14:paraId="771DC354" w14:textId="77777777" w:rsidR="00A923F4" w:rsidRPr="00B8658B" w:rsidRDefault="00A923F4" w:rsidP="00F3252D">
            <w:pPr>
              <w:jc w:val="center"/>
              <w:rPr>
                <w:rFonts w:ascii="Arial" w:hAnsi="Arial" w:cs="Arial"/>
                <w:color w:val="000000"/>
              </w:rPr>
            </w:pPr>
            <w:r w:rsidRPr="00B8658B">
              <w:rPr>
                <w:rFonts w:ascii="Arial" w:hAnsi="Arial" w:cs="Arial"/>
                <w:color w:val="000000"/>
              </w:rPr>
              <w:t>33 (20.0)</w:t>
            </w:r>
          </w:p>
        </w:tc>
        <w:tc>
          <w:tcPr>
            <w:tcW w:w="1418" w:type="dxa"/>
            <w:tcBorders>
              <w:top w:val="nil"/>
              <w:left w:val="nil"/>
              <w:bottom w:val="single" w:sz="4" w:space="0" w:color="auto"/>
              <w:right w:val="single" w:sz="4" w:space="0" w:color="auto"/>
            </w:tcBorders>
            <w:shd w:val="clear" w:color="auto" w:fill="auto"/>
            <w:noWrap/>
            <w:vAlign w:val="bottom"/>
            <w:hideMark/>
          </w:tcPr>
          <w:p w14:paraId="4BDB54C5" w14:textId="77777777" w:rsidR="00A923F4" w:rsidRPr="00B8658B" w:rsidRDefault="00A923F4" w:rsidP="00F3252D">
            <w:pPr>
              <w:jc w:val="center"/>
              <w:rPr>
                <w:rFonts w:ascii="Arial" w:hAnsi="Arial" w:cs="Arial"/>
                <w:color w:val="000000"/>
              </w:rPr>
            </w:pPr>
            <w:r w:rsidRPr="00B8658B">
              <w:rPr>
                <w:rFonts w:ascii="Arial" w:hAnsi="Arial" w:cs="Arial"/>
                <w:color w:val="000000"/>
              </w:rPr>
              <w:t>32 (18.9)</w:t>
            </w:r>
          </w:p>
        </w:tc>
      </w:tr>
      <w:tr w:rsidR="00A923F4" w:rsidRPr="00B8658B" w14:paraId="53A49E06"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6B4424EB" w14:textId="77777777" w:rsidR="00A923F4" w:rsidRPr="00B8658B" w:rsidRDefault="00A923F4" w:rsidP="00F3252D">
            <w:pPr>
              <w:rPr>
                <w:rFonts w:ascii="Arial" w:hAnsi="Arial" w:cs="Arial"/>
                <w:color w:val="000000"/>
              </w:rPr>
            </w:pPr>
            <w:r w:rsidRPr="00B8658B">
              <w:rPr>
                <w:rFonts w:ascii="Arial" w:hAnsi="Arial" w:cs="Arial"/>
                <w:color w:val="000000"/>
              </w:rPr>
              <w:t xml:space="preserve"> Suspected</w:t>
            </w:r>
          </w:p>
        </w:tc>
        <w:tc>
          <w:tcPr>
            <w:tcW w:w="1427" w:type="dxa"/>
            <w:tcBorders>
              <w:top w:val="nil"/>
              <w:left w:val="nil"/>
              <w:bottom w:val="single" w:sz="4" w:space="0" w:color="auto"/>
              <w:right w:val="single" w:sz="4" w:space="0" w:color="auto"/>
            </w:tcBorders>
            <w:shd w:val="clear" w:color="auto" w:fill="auto"/>
            <w:noWrap/>
            <w:vAlign w:val="bottom"/>
            <w:hideMark/>
          </w:tcPr>
          <w:p w14:paraId="30493300" w14:textId="77777777" w:rsidR="00A923F4" w:rsidRPr="00B8658B" w:rsidRDefault="00A923F4" w:rsidP="00F3252D">
            <w:pPr>
              <w:jc w:val="center"/>
              <w:rPr>
                <w:rFonts w:ascii="Arial" w:hAnsi="Arial" w:cs="Arial"/>
                <w:color w:val="000000"/>
              </w:rPr>
            </w:pPr>
            <w:r w:rsidRPr="00B8658B">
              <w:rPr>
                <w:rFonts w:ascii="Arial" w:hAnsi="Arial" w:cs="Arial"/>
                <w:color w:val="000000"/>
              </w:rPr>
              <w:t>9 (5.5)</w:t>
            </w:r>
          </w:p>
        </w:tc>
        <w:tc>
          <w:tcPr>
            <w:tcW w:w="1418" w:type="dxa"/>
            <w:tcBorders>
              <w:top w:val="nil"/>
              <w:left w:val="nil"/>
              <w:bottom w:val="single" w:sz="4" w:space="0" w:color="auto"/>
              <w:right w:val="single" w:sz="4" w:space="0" w:color="auto"/>
            </w:tcBorders>
            <w:shd w:val="clear" w:color="auto" w:fill="auto"/>
            <w:noWrap/>
            <w:vAlign w:val="bottom"/>
            <w:hideMark/>
          </w:tcPr>
          <w:p w14:paraId="03364292" w14:textId="77777777" w:rsidR="00A923F4" w:rsidRPr="00B8658B" w:rsidRDefault="00A923F4" w:rsidP="00F3252D">
            <w:pPr>
              <w:jc w:val="center"/>
              <w:rPr>
                <w:rFonts w:ascii="Arial" w:hAnsi="Arial" w:cs="Arial"/>
                <w:color w:val="000000"/>
              </w:rPr>
            </w:pPr>
            <w:r w:rsidRPr="00B8658B">
              <w:rPr>
                <w:rFonts w:ascii="Arial" w:hAnsi="Arial" w:cs="Arial"/>
                <w:color w:val="000000"/>
              </w:rPr>
              <w:t>20 (11.8)</w:t>
            </w:r>
          </w:p>
        </w:tc>
      </w:tr>
      <w:tr w:rsidR="00A923F4" w:rsidRPr="00B8658B" w14:paraId="2C05C627"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6D4F34DB" w14:textId="77777777" w:rsidR="00A923F4" w:rsidRPr="00B8658B" w:rsidRDefault="00A923F4" w:rsidP="00F3252D">
            <w:pPr>
              <w:rPr>
                <w:rFonts w:ascii="Arial" w:hAnsi="Arial" w:cs="Arial"/>
                <w:color w:val="000000"/>
              </w:rPr>
            </w:pPr>
            <w:r w:rsidRPr="00B8658B">
              <w:rPr>
                <w:rFonts w:ascii="Arial" w:hAnsi="Arial" w:cs="Arial"/>
                <w:color w:val="000000"/>
              </w:rPr>
              <w:t>Any TEAEs leading to interruption of study medication</w:t>
            </w:r>
          </w:p>
        </w:tc>
        <w:tc>
          <w:tcPr>
            <w:tcW w:w="1427" w:type="dxa"/>
            <w:tcBorders>
              <w:top w:val="nil"/>
              <w:left w:val="nil"/>
              <w:bottom w:val="single" w:sz="4" w:space="0" w:color="auto"/>
              <w:right w:val="single" w:sz="4" w:space="0" w:color="auto"/>
            </w:tcBorders>
            <w:shd w:val="clear" w:color="auto" w:fill="auto"/>
            <w:noWrap/>
            <w:vAlign w:val="bottom"/>
            <w:hideMark/>
          </w:tcPr>
          <w:p w14:paraId="12AB9CE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418" w:type="dxa"/>
            <w:tcBorders>
              <w:top w:val="nil"/>
              <w:left w:val="nil"/>
              <w:bottom w:val="single" w:sz="4" w:space="0" w:color="auto"/>
              <w:right w:val="single" w:sz="4" w:space="0" w:color="auto"/>
            </w:tcBorders>
            <w:shd w:val="clear" w:color="auto" w:fill="auto"/>
            <w:noWrap/>
            <w:vAlign w:val="bottom"/>
            <w:hideMark/>
          </w:tcPr>
          <w:p w14:paraId="5CAE7685"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7E1247E9"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748F86FA" w14:textId="77777777" w:rsidR="00A923F4" w:rsidRPr="00B8658B" w:rsidRDefault="00A923F4" w:rsidP="00F3252D">
            <w:pPr>
              <w:rPr>
                <w:rFonts w:ascii="Arial" w:hAnsi="Arial" w:cs="Arial"/>
                <w:color w:val="000000"/>
              </w:rPr>
            </w:pPr>
            <w:r w:rsidRPr="00B8658B">
              <w:rPr>
                <w:rFonts w:ascii="Arial" w:hAnsi="Arial" w:cs="Arial"/>
                <w:color w:val="000000"/>
              </w:rPr>
              <w:t>Any TEAEs leading to permanent discontinuation of study medication</w:t>
            </w:r>
          </w:p>
        </w:tc>
        <w:tc>
          <w:tcPr>
            <w:tcW w:w="1427" w:type="dxa"/>
            <w:tcBorders>
              <w:top w:val="nil"/>
              <w:left w:val="nil"/>
              <w:bottom w:val="single" w:sz="4" w:space="0" w:color="auto"/>
              <w:right w:val="single" w:sz="4" w:space="0" w:color="auto"/>
            </w:tcBorders>
            <w:shd w:val="clear" w:color="auto" w:fill="auto"/>
            <w:noWrap/>
            <w:vAlign w:val="bottom"/>
            <w:hideMark/>
          </w:tcPr>
          <w:p w14:paraId="413A2998"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418" w:type="dxa"/>
            <w:tcBorders>
              <w:top w:val="nil"/>
              <w:left w:val="nil"/>
              <w:bottom w:val="single" w:sz="4" w:space="0" w:color="auto"/>
              <w:right w:val="single" w:sz="4" w:space="0" w:color="auto"/>
            </w:tcBorders>
            <w:shd w:val="clear" w:color="auto" w:fill="auto"/>
            <w:noWrap/>
            <w:vAlign w:val="bottom"/>
            <w:hideMark/>
          </w:tcPr>
          <w:p w14:paraId="6F5A80F6" w14:textId="77777777" w:rsidR="00A923F4" w:rsidRPr="00B8658B" w:rsidRDefault="00A923F4" w:rsidP="00F3252D">
            <w:pPr>
              <w:jc w:val="center"/>
              <w:rPr>
                <w:rFonts w:ascii="Arial" w:hAnsi="Arial" w:cs="Arial"/>
                <w:color w:val="000000"/>
              </w:rPr>
            </w:pPr>
            <w:r w:rsidRPr="00B8658B">
              <w:rPr>
                <w:rFonts w:ascii="Arial" w:hAnsi="Arial" w:cs="Arial"/>
                <w:color w:val="000000"/>
              </w:rPr>
              <w:t>3 (1.8)</w:t>
            </w:r>
          </w:p>
        </w:tc>
      </w:tr>
      <w:tr w:rsidR="00A923F4" w:rsidRPr="00B8658B" w14:paraId="1584598D"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1E5DC13D" w14:textId="77777777" w:rsidR="00A923F4" w:rsidRPr="00B8658B" w:rsidRDefault="00A923F4" w:rsidP="00F3252D">
            <w:pPr>
              <w:rPr>
                <w:rFonts w:ascii="Arial" w:hAnsi="Arial" w:cs="Arial"/>
                <w:color w:val="000000"/>
              </w:rPr>
            </w:pPr>
            <w:r w:rsidRPr="00B8658B">
              <w:rPr>
                <w:rFonts w:ascii="Arial" w:hAnsi="Arial" w:cs="Arial"/>
                <w:color w:val="000000"/>
              </w:rPr>
              <w:t>Any SAEs</w:t>
            </w:r>
          </w:p>
        </w:tc>
        <w:tc>
          <w:tcPr>
            <w:tcW w:w="1427" w:type="dxa"/>
            <w:tcBorders>
              <w:top w:val="nil"/>
              <w:left w:val="nil"/>
              <w:bottom w:val="single" w:sz="4" w:space="0" w:color="auto"/>
              <w:right w:val="single" w:sz="4" w:space="0" w:color="auto"/>
            </w:tcBorders>
            <w:shd w:val="clear" w:color="auto" w:fill="auto"/>
            <w:noWrap/>
            <w:vAlign w:val="bottom"/>
            <w:hideMark/>
          </w:tcPr>
          <w:p w14:paraId="0DCB03E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418" w:type="dxa"/>
            <w:tcBorders>
              <w:top w:val="nil"/>
              <w:left w:val="nil"/>
              <w:bottom w:val="single" w:sz="4" w:space="0" w:color="auto"/>
              <w:right w:val="single" w:sz="4" w:space="0" w:color="auto"/>
            </w:tcBorders>
            <w:shd w:val="clear" w:color="auto" w:fill="auto"/>
            <w:noWrap/>
            <w:vAlign w:val="bottom"/>
            <w:hideMark/>
          </w:tcPr>
          <w:p w14:paraId="40624881" w14:textId="77777777" w:rsidR="00A923F4" w:rsidRPr="00B8658B" w:rsidRDefault="00A923F4" w:rsidP="00F3252D">
            <w:pPr>
              <w:jc w:val="center"/>
              <w:rPr>
                <w:rFonts w:ascii="Arial" w:hAnsi="Arial" w:cs="Arial"/>
                <w:color w:val="000000"/>
              </w:rPr>
            </w:pPr>
            <w:r w:rsidRPr="00B8658B">
              <w:rPr>
                <w:rFonts w:ascii="Arial" w:hAnsi="Arial" w:cs="Arial"/>
                <w:color w:val="000000"/>
              </w:rPr>
              <w:t>4 (2.4)</w:t>
            </w:r>
          </w:p>
        </w:tc>
      </w:tr>
      <w:tr w:rsidR="00A923F4" w:rsidRPr="00B8658B" w14:paraId="7CA17BAC"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116C4427" w14:textId="77777777" w:rsidR="00A923F4" w:rsidRPr="00B8658B" w:rsidRDefault="00A923F4" w:rsidP="00F3252D">
            <w:pPr>
              <w:rPr>
                <w:rFonts w:ascii="Arial" w:hAnsi="Arial" w:cs="Arial"/>
                <w:color w:val="000000"/>
              </w:rPr>
            </w:pPr>
            <w:r w:rsidRPr="00B8658B">
              <w:rPr>
                <w:rFonts w:ascii="Arial" w:hAnsi="Arial" w:cs="Arial"/>
                <w:color w:val="000000"/>
              </w:rPr>
              <w:t>Death</w:t>
            </w:r>
          </w:p>
        </w:tc>
        <w:tc>
          <w:tcPr>
            <w:tcW w:w="1427" w:type="dxa"/>
            <w:tcBorders>
              <w:top w:val="nil"/>
              <w:left w:val="nil"/>
              <w:bottom w:val="single" w:sz="4" w:space="0" w:color="auto"/>
              <w:right w:val="single" w:sz="4" w:space="0" w:color="auto"/>
            </w:tcBorders>
            <w:shd w:val="clear" w:color="auto" w:fill="auto"/>
            <w:noWrap/>
            <w:vAlign w:val="bottom"/>
            <w:hideMark/>
          </w:tcPr>
          <w:p w14:paraId="017F3C0D" w14:textId="77777777" w:rsidR="00A923F4" w:rsidRPr="00B8658B" w:rsidRDefault="00A923F4" w:rsidP="00F3252D">
            <w:pPr>
              <w:jc w:val="center"/>
              <w:rPr>
                <w:rFonts w:ascii="Arial" w:hAnsi="Arial" w:cs="Arial"/>
                <w:color w:val="000000"/>
              </w:rPr>
            </w:pPr>
            <w:r w:rsidRPr="00B8658B">
              <w:rPr>
                <w:rFonts w:ascii="Arial" w:hAnsi="Arial" w:cs="Arial"/>
                <w:color w:val="000000"/>
              </w:rPr>
              <w:t>0</w:t>
            </w:r>
          </w:p>
        </w:tc>
        <w:tc>
          <w:tcPr>
            <w:tcW w:w="1418" w:type="dxa"/>
            <w:tcBorders>
              <w:top w:val="nil"/>
              <w:left w:val="nil"/>
              <w:bottom w:val="single" w:sz="4" w:space="0" w:color="auto"/>
              <w:right w:val="single" w:sz="4" w:space="0" w:color="auto"/>
            </w:tcBorders>
            <w:shd w:val="clear" w:color="auto" w:fill="auto"/>
            <w:noWrap/>
            <w:vAlign w:val="bottom"/>
            <w:hideMark/>
          </w:tcPr>
          <w:p w14:paraId="092F74D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1F309404" w14:textId="77777777" w:rsidTr="00F3252D">
        <w:trPr>
          <w:trHeight w:val="340"/>
        </w:trPr>
        <w:tc>
          <w:tcPr>
            <w:tcW w:w="6232" w:type="dxa"/>
            <w:tcBorders>
              <w:top w:val="nil"/>
              <w:left w:val="single" w:sz="4" w:space="0" w:color="auto"/>
              <w:bottom w:val="single" w:sz="4" w:space="0" w:color="auto"/>
              <w:right w:val="single" w:sz="4" w:space="0" w:color="auto"/>
            </w:tcBorders>
            <w:shd w:val="clear" w:color="auto" w:fill="auto"/>
            <w:vAlign w:val="bottom"/>
            <w:hideMark/>
          </w:tcPr>
          <w:p w14:paraId="5A126397" w14:textId="77777777" w:rsidR="00A923F4" w:rsidRPr="00B8658B" w:rsidRDefault="00A923F4" w:rsidP="00F3252D">
            <w:pPr>
              <w:rPr>
                <w:rFonts w:ascii="Arial" w:hAnsi="Arial" w:cs="Arial"/>
                <w:color w:val="000000"/>
              </w:rPr>
            </w:pPr>
            <w:r w:rsidRPr="00B8658B">
              <w:rPr>
                <w:rFonts w:ascii="Arial" w:hAnsi="Arial" w:cs="Arial"/>
                <w:color w:val="000000"/>
              </w:rPr>
              <w:t>Any TEAEs in the study eye</w:t>
            </w:r>
          </w:p>
        </w:tc>
        <w:tc>
          <w:tcPr>
            <w:tcW w:w="1427" w:type="dxa"/>
            <w:tcBorders>
              <w:top w:val="nil"/>
              <w:left w:val="nil"/>
              <w:bottom w:val="single" w:sz="4" w:space="0" w:color="auto"/>
              <w:right w:val="single" w:sz="4" w:space="0" w:color="auto"/>
            </w:tcBorders>
            <w:shd w:val="clear" w:color="auto" w:fill="auto"/>
            <w:noWrap/>
            <w:vAlign w:val="bottom"/>
            <w:hideMark/>
          </w:tcPr>
          <w:p w14:paraId="0E8381E2" w14:textId="77777777" w:rsidR="00A923F4" w:rsidRPr="00B8658B" w:rsidRDefault="00A923F4" w:rsidP="00F3252D">
            <w:pPr>
              <w:jc w:val="center"/>
              <w:rPr>
                <w:rFonts w:ascii="Arial" w:hAnsi="Arial" w:cs="Arial"/>
                <w:color w:val="000000"/>
              </w:rPr>
            </w:pPr>
            <w:r w:rsidRPr="00B8658B">
              <w:rPr>
                <w:rFonts w:ascii="Arial" w:hAnsi="Arial" w:cs="Arial"/>
                <w:color w:val="000000"/>
              </w:rPr>
              <w:t>19 (11.5)</w:t>
            </w:r>
          </w:p>
        </w:tc>
        <w:tc>
          <w:tcPr>
            <w:tcW w:w="1418" w:type="dxa"/>
            <w:tcBorders>
              <w:top w:val="nil"/>
              <w:left w:val="nil"/>
              <w:bottom w:val="single" w:sz="4" w:space="0" w:color="auto"/>
              <w:right w:val="single" w:sz="4" w:space="0" w:color="auto"/>
            </w:tcBorders>
            <w:shd w:val="clear" w:color="auto" w:fill="auto"/>
            <w:noWrap/>
            <w:vAlign w:val="bottom"/>
            <w:hideMark/>
          </w:tcPr>
          <w:p w14:paraId="661A6F66" w14:textId="77777777" w:rsidR="00A923F4" w:rsidRPr="00B8658B" w:rsidRDefault="00A923F4" w:rsidP="00F3252D">
            <w:pPr>
              <w:jc w:val="center"/>
              <w:rPr>
                <w:rFonts w:ascii="Arial" w:hAnsi="Arial" w:cs="Arial"/>
                <w:color w:val="000000"/>
              </w:rPr>
            </w:pPr>
            <w:r w:rsidRPr="00B8658B">
              <w:rPr>
                <w:rFonts w:ascii="Arial" w:hAnsi="Arial" w:cs="Arial"/>
                <w:color w:val="000000"/>
              </w:rPr>
              <w:t>31 (18.3)</w:t>
            </w:r>
          </w:p>
        </w:tc>
      </w:tr>
    </w:tbl>
    <w:p w14:paraId="25AB2FE0" w14:textId="77777777" w:rsidR="00A923F4" w:rsidRPr="00B8658B" w:rsidRDefault="00A923F4" w:rsidP="00A923F4">
      <w:pPr>
        <w:rPr>
          <w:rFonts w:ascii="Arial" w:hAnsi="Arial"/>
          <w:color w:val="000000"/>
          <w:sz w:val="18"/>
          <w:szCs w:val="18"/>
        </w:rPr>
      </w:pPr>
      <w:r w:rsidRPr="00B8658B">
        <w:rPr>
          <w:rFonts w:ascii="Helvetica Neue" w:eastAsiaTheme="minorHAnsi" w:hAnsi="Helvetica Neue" w:cs="Helvetica Neue"/>
          <w:color w:val="000000"/>
          <w:sz w:val="22"/>
          <w:szCs w:val="22"/>
          <w:lang w:eastAsia="en-US"/>
        </w:rPr>
        <w:t>*</w:t>
      </w:r>
      <w:r w:rsidRPr="00B8658B">
        <w:rPr>
          <w:rFonts w:ascii="Arial" w:hAnsi="Arial"/>
          <w:color w:val="000000"/>
          <w:sz w:val="18"/>
          <w:szCs w:val="18"/>
        </w:rPr>
        <w:t>This analysis includes ocular TEAEs reported in the study eye, treated fellow eye, and untreated fellow eye.</w:t>
      </w:r>
    </w:p>
    <w:p w14:paraId="335876B9" w14:textId="77777777" w:rsidR="00A923F4" w:rsidRPr="00B8658B" w:rsidRDefault="00A923F4" w:rsidP="00A923F4">
      <w:pPr>
        <w:rPr>
          <w:color w:val="000000"/>
          <w:sz w:val="18"/>
          <w:szCs w:val="18"/>
        </w:rPr>
      </w:pPr>
      <w:r w:rsidRPr="00B8658B">
        <w:rPr>
          <w:rFonts w:ascii="Arial" w:hAnsi="Arial" w:cs="Arial"/>
          <w:color w:val="000000"/>
          <w:sz w:val="18"/>
          <w:szCs w:val="18"/>
        </w:rPr>
        <w:t xml:space="preserve">Abbreviations: </w:t>
      </w:r>
      <w:r w:rsidRPr="00B8658B">
        <w:rPr>
          <w:rFonts w:ascii="Arial" w:hAnsi="Arial"/>
          <w:color w:val="000000"/>
          <w:sz w:val="18"/>
          <w:szCs w:val="18"/>
        </w:rPr>
        <w:t>SAE, serious adverse event; TEAE, treatment-emergent adverse event. This analysis includes ocular TEAEs reported in the study eye, treated fellow eye, and untreated fellow eye.</w:t>
      </w:r>
    </w:p>
    <w:p w14:paraId="63CF6295" w14:textId="77777777" w:rsidR="00A923F4" w:rsidRPr="00B8658B" w:rsidRDefault="00A923F4" w:rsidP="00A923F4">
      <w:pPr>
        <w:rPr>
          <w:rFonts w:ascii="Arial" w:hAnsi="Arial"/>
          <w:color w:val="000000"/>
        </w:rPr>
      </w:pPr>
    </w:p>
    <w:p w14:paraId="2605E3FE" w14:textId="77777777" w:rsidR="00A923F4" w:rsidRPr="00B8658B" w:rsidRDefault="00A923F4" w:rsidP="00A923F4">
      <w:pPr>
        <w:rPr>
          <w:rFonts w:ascii="Arial" w:hAnsi="Arial"/>
          <w:color w:val="000000"/>
        </w:rPr>
      </w:pPr>
    </w:p>
    <w:p w14:paraId="4B085666" w14:textId="77777777" w:rsidR="00A923F4" w:rsidRPr="00B8658B" w:rsidRDefault="00A923F4" w:rsidP="00A923F4">
      <w:pPr>
        <w:rPr>
          <w:rFonts w:ascii="Arial" w:hAnsi="Arial" w:cs="Arial"/>
          <w:b/>
          <w:bCs/>
          <w:color w:val="000000"/>
        </w:rPr>
      </w:pPr>
      <w:r w:rsidRPr="00B8658B">
        <w:rPr>
          <w:rFonts w:ascii="Arial" w:hAnsi="Arial" w:cs="Arial"/>
          <w:b/>
          <w:bCs/>
          <w:color w:val="000000"/>
        </w:rPr>
        <w:br w:type="page"/>
      </w:r>
    </w:p>
    <w:p w14:paraId="19E759B4" w14:textId="111D5687" w:rsidR="00A923F4" w:rsidRPr="00B8658B" w:rsidRDefault="00A923F4" w:rsidP="00A923F4">
      <w:pPr>
        <w:rPr>
          <w:rFonts w:ascii="Arial" w:hAnsi="Arial" w:cs="Arial"/>
          <w:color w:val="000000"/>
        </w:rPr>
      </w:pPr>
      <w:r w:rsidRPr="00B8658B">
        <w:rPr>
          <w:rFonts w:ascii="Arial" w:hAnsi="Arial" w:cs="Arial"/>
          <w:b/>
          <w:bCs/>
          <w:color w:val="000000"/>
        </w:rPr>
        <w:lastRenderedPageBreak/>
        <w:t>Supplementary Table</w:t>
      </w:r>
      <w:r w:rsidRPr="00B8658B">
        <w:rPr>
          <w:rFonts w:ascii="Arial" w:hAnsi="Arial" w:cs="Arial"/>
          <w:color w:val="000000"/>
        </w:rPr>
        <w:t xml:space="preserve"> </w:t>
      </w:r>
      <w:r w:rsidR="001D7623" w:rsidRPr="00B8658B">
        <w:rPr>
          <w:rFonts w:ascii="Arial" w:hAnsi="Arial" w:cs="Arial"/>
          <w:b/>
          <w:bCs/>
          <w:color w:val="000000"/>
        </w:rPr>
        <w:t>2</w:t>
      </w:r>
      <w:r w:rsidRPr="00B8658B">
        <w:rPr>
          <w:rFonts w:ascii="Arial" w:hAnsi="Arial" w:cs="Arial"/>
          <w:color w:val="000000"/>
        </w:rPr>
        <w:t>: Ocular TEAEs in the safety population.</w:t>
      </w:r>
    </w:p>
    <w:tbl>
      <w:tblPr>
        <w:tblW w:w="7546" w:type="dxa"/>
        <w:tblLook w:val="04A0" w:firstRow="1" w:lastRow="0" w:firstColumn="1" w:lastColumn="0" w:noHBand="0" w:noVBand="1"/>
      </w:tblPr>
      <w:tblGrid>
        <w:gridCol w:w="3886"/>
        <w:gridCol w:w="1880"/>
        <w:gridCol w:w="1780"/>
      </w:tblGrid>
      <w:tr w:rsidR="00A923F4" w:rsidRPr="00B8658B" w14:paraId="6905C93B" w14:textId="77777777" w:rsidTr="00F3252D">
        <w:trPr>
          <w:trHeight w:val="320"/>
        </w:trPr>
        <w:tc>
          <w:tcPr>
            <w:tcW w:w="3886" w:type="dxa"/>
            <w:tcBorders>
              <w:top w:val="nil"/>
              <w:left w:val="nil"/>
              <w:bottom w:val="nil"/>
              <w:right w:val="nil"/>
            </w:tcBorders>
            <w:shd w:val="clear" w:color="auto" w:fill="auto"/>
            <w:noWrap/>
            <w:vAlign w:val="bottom"/>
            <w:hideMark/>
          </w:tcPr>
          <w:p w14:paraId="5B690F47" w14:textId="77777777" w:rsidR="00A923F4" w:rsidRPr="00B8658B" w:rsidRDefault="00A923F4" w:rsidP="00F3252D">
            <w:pPr>
              <w:rPr>
                <w:rFonts w:ascii="Arial" w:hAnsi="Arial" w:cs="Arial"/>
                <w:color w:val="000000"/>
              </w:rPr>
            </w:pPr>
          </w:p>
        </w:tc>
        <w:tc>
          <w:tcPr>
            <w:tcW w:w="1880" w:type="dxa"/>
            <w:tcBorders>
              <w:top w:val="single" w:sz="4" w:space="0" w:color="auto"/>
              <w:left w:val="single" w:sz="4" w:space="0" w:color="auto"/>
              <w:bottom w:val="nil"/>
              <w:right w:val="single" w:sz="4" w:space="0" w:color="auto"/>
            </w:tcBorders>
            <w:shd w:val="clear" w:color="auto" w:fill="auto"/>
            <w:noWrap/>
            <w:vAlign w:val="center"/>
            <w:hideMark/>
          </w:tcPr>
          <w:p w14:paraId="687BFC2B" w14:textId="77777777" w:rsidR="00A923F4" w:rsidRPr="00B8658B" w:rsidRDefault="00A923F4" w:rsidP="00F3252D">
            <w:pPr>
              <w:jc w:val="center"/>
              <w:rPr>
                <w:rFonts w:ascii="Arial" w:hAnsi="Arial" w:cs="Arial"/>
                <w:b/>
                <w:bCs/>
                <w:color w:val="000000"/>
              </w:rPr>
            </w:pPr>
            <w:r w:rsidRPr="00B8658B">
              <w:rPr>
                <w:rFonts w:ascii="Arial" w:hAnsi="Arial" w:cs="Arial"/>
                <w:b/>
                <w:bCs/>
                <w:color w:val="000000"/>
              </w:rPr>
              <w:t>T2345</w:t>
            </w:r>
          </w:p>
        </w:tc>
        <w:tc>
          <w:tcPr>
            <w:tcW w:w="1780" w:type="dxa"/>
            <w:tcBorders>
              <w:top w:val="single" w:sz="4" w:space="0" w:color="auto"/>
              <w:left w:val="nil"/>
              <w:bottom w:val="nil"/>
              <w:right w:val="single" w:sz="4" w:space="0" w:color="auto"/>
            </w:tcBorders>
            <w:shd w:val="clear" w:color="auto" w:fill="auto"/>
            <w:noWrap/>
            <w:vAlign w:val="center"/>
            <w:hideMark/>
          </w:tcPr>
          <w:p w14:paraId="7785F49B" w14:textId="77777777" w:rsidR="00A923F4" w:rsidRPr="00B8658B" w:rsidRDefault="00A923F4" w:rsidP="00F3252D">
            <w:pPr>
              <w:jc w:val="center"/>
              <w:rPr>
                <w:rFonts w:ascii="Arial" w:hAnsi="Arial" w:cs="Arial"/>
                <w:b/>
                <w:bCs/>
                <w:color w:val="000000"/>
              </w:rPr>
            </w:pPr>
            <w:r w:rsidRPr="00B8658B">
              <w:rPr>
                <w:b/>
                <w:bCs/>
                <w:color w:val="000000"/>
              </w:rPr>
              <w:t xml:space="preserve"> </w:t>
            </w:r>
            <w:r w:rsidRPr="00B8658B">
              <w:rPr>
                <w:rFonts w:ascii="Arial" w:hAnsi="Arial" w:cs="Arial"/>
                <w:b/>
                <w:bCs/>
                <w:color w:val="000000"/>
              </w:rPr>
              <w:t>BPL</w:t>
            </w:r>
          </w:p>
        </w:tc>
      </w:tr>
      <w:tr w:rsidR="00A923F4" w:rsidRPr="00B8658B" w14:paraId="3D63100E" w14:textId="77777777" w:rsidTr="00F3252D">
        <w:trPr>
          <w:trHeight w:val="320"/>
        </w:trPr>
        <w:tc>
          <w:tcPr>
            <w:tcW w:w="3886" w:type="dxa"/>
            <w:tcBorders>
              <w:top w:val="nil"/>
              <w:left w:val="nil"/>
              <w:bottom w:val="single" w:sz="4" w:space="0" w:color="auto"/>
              <w:right w:val="nil"/>
            </w:tcBorders>
            <w:shd w:val="clear" w:color="auto" w:fill="auto"/>
            <w:noWrap/>
            <w:vAlign w:val="bottom"/>
            <w:hideMark/>
          </w:tcPr>
          <w:p w14:paraId="1E05BE11" w14:textId="77777777" w:rsidR="00A923F4" w:rsidRPr="00B8658B" w:rsidRDefault="00A923F4" w:rsidP="00F3252D">
            <w:pPr>
              <w:rPr>
                <w:rFonts w:ascii="Arial" w:hAnsi="Arial" w:cs="Arial"/>
                <w:color w:val="000000"/>
              </w:rPr>
            </w:pPr>
          </w:p>
        </w:tc>
        <w:tc>
          <w:tcPr>
            <w:tcW w:w="1880" w:type="dxa"/>
            <w:tcBorders>
              <w:top w:val="nil"/>
              <w:left w:val="single" w:sz="4" w:space="0" w:color="auto"/>
              <w:bottom w:val="single" w:sz="4" w:space="0" w:color="auto"/>
              <w:right w:val="single" w:sz="4" w:space="0" w:color="auto"/>
            </w:tcBorders>
            <w:shd w:val="clear" w:color="auto" w:fill="auto"/>
            <w:noWrap/>
            <w:vAlign w:val="center"/>
            <w:hideMark/>
          </w:tcPr>
          <w:p w14:paraId="5D595FA6" w14:textId="77777777" w:rsidR="00A923F4" w:rsidRPr="00B8658B" w:rsidRDefault="00A923F4" w:rsidP="00F3252D">
            <w:pPr>
              <w:jc w:val="center"/>
              <w:rPr>
                <w:rFonts w:ascii="Arial" w:hAnsi="Arial" w:cs="Arial"/>
                <w:color w:val="000000"/>
              </w:rPr>
            </w:pPr>
            <w:r w:rsidRPr="00B8658B">
              <w:rPr>
                <w:rFonts w:ascii="Arial" w:hAnsi="Arial" w:cs="Arial"/>
                <w:color w:val="000000"/>
              </w:rPr>
              <w:t>(n=165)</w:t>
            </w:r>
          </w:p>
        </w:tc>
        <w:tc>
          <w:tcPr>
            <w:tcW w:w="1780" w:type="dxa"/>
            <w:tcBorders>
              <w:top w:val="nil"/>
              <w:left w:val="nil"/>
              <w:bottom w:val="single" w:sz="4" w:space="0" w:color="auto"/>
              <w:right w:val="single" w:sz="4" w:space="0" w:color="auto"/>
            </w:tcBorders>
            <w:shd w:val="clear" w:color="auto" w:fill="auto"/>
            <w:noWrap/>
            <w:vAlign w:val="center"/>
            <w:hideMark/>
          </w:tcPr>
          <w:p w14:paraId="48B75C77" w14:textId="77777777" w:rsidR="00A923F4" w:rsidRPr="00B8658B" w:rsidRDefault="00A923F4" w:rsidP="00F3252D">
            <w:pPr>
              <w:jc w:val="center"/>
              <w:rPr>
                <w:rFonts w:ascii="Arial" w:hAnsi="Arial" w:cs="Arial"/>
                <w:color w:val="000000"/>
              </w:rPr>
            </w:pPr>
            <w:r w:rsidRPr="00B8658B">
              <w:rPr>
                <w:rFonts w:ascii="Arial" w:hAnsi="Arial" w:cs="Arial"/>
                <w:color w:val="000000"/>
              </w:rPr>
              <w:t>(n=169)</w:t>
            </w:r>
          </w:p>
        </w:tc>
      </w:tr>
      <w:tr w:rsidR="00A923F4" w:rsidRPr="00B8658B" w14:paraId="6B05FB39" w14:textId="77777777" w:rsidTr="00F3252D">
        <w:trPr>
          <w:trHeight w:val="1020"/>
        </w:trPr>
        <w:tc>
          <w:tcPr>
            <w:tcW w:w="38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BC639" w14:textId="77777777" w:rsidR="00A923F4" w:rsidRPr="00B8658B" w:rsidRDefault="00A923F4" w:rsidP="00F3252D">
            <w:pPr>
              <w:rPr>
                <w:rFonts w:ascii="Arial" w:hAnsi="Arial" w:cs="Arial"/>
                <w:color w:val="000000"/>
              </w:rPr>
            </w:pPr>
            <w:r w:rsidRPr="00B8658B">
              <w:rPr>
                <w:rFonts w:ascii="Arial" w:hAnsi="Arial" w:cs="Arial"/>
                <w:color w:val="000000"/>
              </w:rPr>
              <w:t>Total ocular TEAEs recorded</w:t>
            </w:r>
          </w:p>
        </w:tc>
        <w:tc>
          <w:tcPr>
            <w:tcW w:w="1880" w:type="dxa"/>
            <w:tcBorders>
              <w:top w:val="nil"/>
              <w:left w:val="nil"/>
              <w:bottom w:val="single" w:sz="4" w:space="0" w:color="auto"/>
              <w:right w:val="single" w:sz="4" w:space="0" w:color="auto"/>
            </w:tcBorders>
            <w:shd w:val="clear" w:color="auto" w:fill="auto"/>
            <w:vAlign w:val="center"/>
            <w:hideMark/>
          </w:tcPr>
          <w:p w14:paraId="6DA04A14" w14:textId="77777777" w:rsidR="00A923F4" w:rsidRPr="00B8658B" w:rsidRDefault="00A923F4" w:rsidP="00F3252D">
            <w:pPr>
              <w:jc w:val="center"/>
              <w:rPr>
                <w:rFonts w:ascii="Arial" w:hAnsi="Arial" w:cs="Arial"/>
                <w:color w:val="000000"/>
              </w:rPr>
            </w:pPr>
            <w:r w:rsidRPr="00B8658B">
              <w:rPr>
                <w:rFonts w:ascii="Arial" w:hAnsi="Arial" w:cs="Arial"/>
                <w:color w:val="000000"/>
              </w:rPr>
              <w:t>34 in 23 patients (13.9%)</w:t>
            </w:r>
          </w:p>
        </w:tc>
        <w:tc>
          <w:tcPr>
            <w:tcW w:w="1780" w:type="dxa"/>
            <w:tcBorders>
              <w:top w:val="nil"/>
              <w:left w:val="nil"/>
              <w:bottom w:val="single" w:sz="4" w:space="0" w:color="auto"/>
              <w:right w:val="single" w:sz="4" w:space="0" w:color="auto"/>
            </w:tcBorders>
            <w:shd w:val="clear" w:color="auto" w:fill="auto"/>
            <w:vAlign w:val="center"/>
            <w:hideMark/>
          </w:tcPr>
          <w:p w14:paraId="3946C525" w14:textId="77777777" w:rsidR="00A923F4" w:rsidRPr="00B8658B" w:rsidRDefault="00A923F4" w:rsidP="00F3252D">
            <w:pPr>
              <w:jc w:val="center"/>
              <w:rPr>
                <w:rFonts w:ascii="Arial" w:hAnsi="Arial" w:cs="Arial"/>
                <w:color w:val="000000"/>
              </w:rPr>
            </w:pPr>
            <w:r w:rsidRPr="00B8658B">
              <w:rPr>
                <w:rFonts w:ascii="Arial" w:hAnsi="Arial" w:cs="Arial"/>
                <w:color w:val="000000"/>
              </w:rPr>
              <w:t>56 in 38 patients (22.5%)</w:t>
            </w:r>
          </w:p>
        </w:tc>
      </w:tr>
      <w:tr w:rsidR="00A923F4" w:rsidRPr="00B8658B" w14:paraId="48C0DDD5"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F83B14A" w14:textId="77777777" w:rsidR="00A923F4" w:rsidRPr="00B8658B" w:rsidRDefault="00A923F4" w:rsidP="00F3252D">
            <w:pPr>
              <w:rPr>
                <w:rFonts w:ascii="Arial" w:hAnsi="Arial" w:cs="Arial"/>
                <w:color w:val="000000"/>
              </w:rPr>
            </w:pPr>
          </w:p>
        </w:tc>
        <w:tc>
          <w:tcPr>
            <w:tcW w:w="1880" w:type="dxa"/>
            <w:tcBorders>
              <w:top w:val="nil"/>
              <w:left w:val="nil"/>
              <w:bottom w:val="single" w:sz="4" w:space="0" w:color="auto"/>
              <w:right w:val="single" w:sz="4" w:space="0" w:color="auto"/>
            </w:tcBorders>
            <w:shd w:val="clear" w:color="auto" w:fill="auto"/>
            <w:noWrap/>
            <w:vAlign w:val="center"/>
            <w:hideMark/>
          </w:tcPr>
          <w:p w14:paraId="5A356030" w14:textId="77777777" w:rsidR="00A923F4" w:rsidRPr="00B8658B" w:rsidRDefault="00A923F4" w:rsidP="00F3252D">
            <w:pPr>
              <w:jc w:val="center"/>
              <w:rPr>
                <w:rFonts w:ascii="Arial" w:hAnsi="Arial" w:cs="Arial"/>
                <w:color w:val="000000"/>
              </w:rPr>
            </w:pPr>
            <w:r w:rsidRPr="00B8658B">
              <w:rPr>
                <w:rFonts w:ascii="Arial" w:hAnsi="Arial" w:cs="Arial"/>
                <w:color w:val="000000"/>
              </w:rPr>
              <w:t>n (%)</w:t>
            </w:r>
          </w:p>
        </w:tc>
        <w:tc>
          <w:tcPr>
            <w:tcW w:w="1780" w:type="dxa"/>
            <w:tcBorders>
              <w:top w:val="nil"/>
              <w:left w:val="nil"/>
              <w:bottom w:val="single" w:sz="4" w:space="0" w:color="auto"/>
              <w:right w:val="single" w:sz="4" w:space="0" w:color="auto"/>
            </w:tcBorders>
            <w:shd w:val="clear" w:color="auto" w:fill="auto"/>
            <w:noWrap/>
            <w:vAlign w:val="center"/>
            <w:hideMark/>
          </w:tcPr>
          <w:p w14:paraId="4CB7F863" w14:textId="77777777" w:rsidR="00A923F4" w:rsidRPr="00B8658B" w:rsidRDefault="00A923F4" w:rsidP="00F3252D">
            <w:pPr>
              <w:jc w:val="center"/>
              <w:rPr>
                <w:rFonts w:ascii="Arial" w:hAnsi="Arial" w:cs="Arial"/>
                <w:color w:val="000000"/>
              </w:rPr>
            </w:pPr>
            <w:r w:rsidRPr="00B8658B">
              <w:rPr>
                <w:rFonts w:ascii="Arial" w:hAnsi="Arial" w:cs="Arial"/>
                <w:color w:val="000000"/>
              </w:rPr>
              <w:t>n (%)</w:t>
            </w:r>
          </w:p>
        </w:tc>
      </w:tr>
      <w:tr w:rsidR="00A923F4" w:rsidRPr="00B8658B" w14:paraId="6392A65C"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2A0B157D" w14:textId="77777777" w:rsidR="00A923F4" w:rsidRPr="00B8658B" w:rsidRDefault="00A923F4" w:rsidP="00F3252D">
            <w:pPr>
              <w:rPr>
                <w:rFonts w:ascii="Arial" w:hAnsi="Arial" w:cs="Arial"/>
                <w:color w:val="000000"/>
              </w:rPr>
            </w:pPr>
            <w:r w:rsidRPr="00B8658B">
              <w:rPr>
                <w:rFonts w:ascii="Arial" w:hAnsi="Arial" w:cs="Arial"/>
                <w:color w:val="000000"/>
              </w:rPr>
              <w:t>Instillation site pain</w:t>
            </w:r>
          </w:p>
        </w:tc>
        <w:tc>
          <w:tcPr>
            <w:tcW w:w="1880" w:type="dxa"/>
            <w:tcBorders>
              <w:top w:val="nil"/>
              <w:left w:val="nil"/>
              <w:bottom w:val="single" w:sz="4" w:space="0" w:color="auto"/>
              <w:right w:val="single" w:sz="4" w:space="0" w:color="auto"/>
            </w:tcBorders>
            <w:shd w:val="clear" w:color="auto" w:fill="auto"/>
            <w:noWrap/>
            <w:vAlign w:val="center"/>
            <w:hideMark/>
          </w:tcPr>
          <w:p w14:paraId="06441F7A" w14:textId="77777777" w:rsidR="00A923F4" w:rsidRPr="00B8658B" w:rsidRDefault="00A923F4" w:rsidP="00F3252D">
            <w:pPr>
              <w:jc w:val="center"/>
              <w:rPr>
                <w:rFonts w:ascii="Arial" w:hAnsi="Arial" w:cs="Arial"/>
                <w:color w:val="000000"/>
              </w:rPr>
            </w:pPr>
            <w:r w:rsidRPr="00B8658B">
              <w:rPr>
                <w:rFonts w:ascii="Arial" w:hAnsi="Arial" w:cs="Arial"/>
                <w:color w:val="000000"/>
              </w:rPr>
              <w:t>3 (1.8)</w:t>
            </w:r>
          </w:p>
        </w:tc>
        <w:tc>
          <w:tcPr>
            <w:tcW w:w="1780" w:type="dxa"/>
            <w:tcBorders>
              <w:top w:val="nil"/>
              <w:left w:val="nil"/>
              <w:bottom w:val="single" w:sz="4" w:space="0" w:color="auto"/>
              <w:right w:val="single" w:sz="4" w:space="0" w:color="auto"/>
            </w:tcBorders>
            <w:shd w:val="clear" w:color="auto" w:fill="auto"/>
            <w:noWrap/>
            <w:vAlign w:val="center"/>
            <w:hideMark/>
          </w:tcPr>
          <w:p w14:paraId="7E782E3C" w14:textId="77777777" w:rsidR="00A923F4" w:rsidRPr="00B8658B" w:rsidRDefault="00A923F4" w:rsidP="00F3252D">
            <w:pPr>
              <w:jc w:val="center"/>
              <w:rPr>
                <w:rFonts w:ascii="Arial" w:hAnsi="Arial" w:cs="Arial"/>
                <w:color w:val="000000"/>
              </w:rPr>
            </w:pPr>
            <w:r w:rsidRPr="00B8658B">
              <w:rPr>
                <w:rFonts w:ascii="Arial" w:hAnsi="Arial" w:cs="Arial"/>
                <w:color w:val="000000"/>
              </w:rPr>
              <w:t>8 (4.7)</w:t>
            </w:r>
          </w:p>
        </w:tc>
      </w:tr>
      <w:tr w:rsidR="00A923F4" w:rsidRPr="00B8658B" w14:paraId="3E7875B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C050D4A" w14:textId="77777777" w:rsidR="00A923F4" w:rsidRPr="00B8658B" w:rsidRDefault="00A923F4" w:rsidP="00F3252D">
            <w:pPr>
              <w:rPr>
                <w:rFonts w:ascii="Arial" w:hAnsi="Arial" w:cs="Arial"/>
                <w:color w:val="000000"/>
              </w:rPr>
            </w:pPr>
            <w:r w:rsidRPr="00B8658B">
              <w:rPr>
                <w:rFonts w:ascii="Arial" w:hAnsi="Arial" w:cs="Arial"/>
                <w:color w:val="000000"/>
              </w:rPr>
              <w:t>Conjunctival hyperemia</w:t>
            </w:r>
          </w:p>
        </w:tc>
        <w:tc>
          <w:tcPr>
            <w:tcW w:w="1880" w:type="dxa"/>
            <w:tcBorders>
              <w:top w:val="nil"/>
              <w:left w:val="nil"/>
              <w:bottom w:val="single" w:sz="4" w:space="0" w:color="auto"/>
              <w:right w:val="single" w:sz="4" w:space="0" w:color="auto"/>
            </w:tcBorders>
            <w:shd w:val="clear" w:color="auto" w:fill="auto"/>
            <w:noWrap/>
            <w:vAlign w:val="center"/>
            <w:hideMark/>
          </w:tcPr>
          <w:p w14:paraId="38DB78A5" w14:textId="77777777" w:rsidR="00A923F4" w:rsidRPr="00B8658B" w:rsidRDefault="00A923F4" w:rsidP="00F3252D">
            <w:pPr>
              <w:jc w:val="center"/>
              <w:rPr>
                <w:rFonts w:ascii="Arial" w:hAnsi="Arial" w:cs="Arial"/>
                <w:color w:val="000000"/>
              </w:rPr>
            </w:pPr>
            <w:r w:rsidRPr="00B8658B">
              <w:rPr>
                <w:rFonts w:ascii="Arial" w:hAnsi="Arial" w:cs="Arial"/>
                <w:color w:val="000000"/>
              </w:rPr>
              <w:t>3 (1.8)</w:t>
            </w:r>
          </w:p>
        </w:tc>
        <w:tc>
          <w:tcPr>
            <w:tcW w:w="1780" w:type="dxa"/>
            <w:tcBorders>
              <w:top w:val="nil"/>
              <w:left w:val="nil"/>
              <w:bottom w:val="single" w:sz="4" w:space="0" w:color="auto"/>
              <w:right w:val="single" w:sz="4" w:space="0" w:color="auto"/>
            </w:tcBorders>
            <w:shd w:val="clear" w:color="auto" w:fill="auto"/>
            <w:noWrap/>
            <w:vAlign w:val="center"/>
            <w:hideMark/>
          </w:tcPr>
          <w:p w14:paraId="56B02496" w14:textId="77777777" w:rsidR="00A923F4" w:rsidRPr="00B8658B" w:rsidRDefault="00A923F4" w:rsidP="00F3252D">
            <w:pPr>
              <w:jc w:val="center"/>
              <w:rPr>
                <w:rFonts w:ascii="Arial" w:hAnsi="Arial" w:cs="Arial"/>
                <w:color w:val="000000"/>
              </w:rPr>
            </w:pPr>
            <w:r w:rsidRPr="00B8658B">
              <w:rPr>
                <w:rFonts w:ascii="Arial" w:hAnsi="Arial" w:cs="Arial"/>
                <w:color w:val="000000"/>
              </w:rPr>
              <w:t>4 (2.4)</w:t>
            </w:r>
          </w:p>
        </w:tc>
      </w:tr>
      <w:tr w:rsidR="00A923F4" w:rsidRPr="00B8658B" w14:paraId="62324624"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2E49DF67" w14:textId="77777777" w:rsidR="00A923F4" w:rsidRPr="00B8658B" w:rsidRDefault="00A923F4" w:rsidP="00F3252D">
            <w:pPr>
              <w:rPr>
                <w:rFonts w:ascii="Arial" w:hAnsi="Arial" w:cs="Arial"/>
                <w:color w:val="000000"/>
              </w:rPr>
            </w:pPr>
            <w:r w:rsidRPr="00B8658B">
              <w:rPr>
                <w:rFonts w:ascii="Arial" w:hAnsi="Arial" w:cs="Arial"/>
                <w:color w:val="000000"/>
              </w:rPr>
              <w:t>Blepharitis</w:t>
            </w:r>
          </w:p>
        </w:tc>
        <w:tc>
          <w:tcPr>
            <w:tcW w:w="1880" w:type="dxa"/>
            <w:tcBorders>
              <w:top w:val="nil"/>
              <w:left w:val="nil"/>
              <w:bottom w:val="single" w:sz="4" w:space="0" w:color="auto"/>
              <w:right w:val="single" w:sz="4" w:space="0" w:color="auto"/>
            </w:tcBorders>
            <w:shd w:val="clear" w:color="auto" w:fill="auto"/>
            <w:noWrap/>
            <w:vAlign w:val="center"/>
            <w:hideMark/>
          </w:tcPr>
          <w:p w14:paraId="630C430A"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c>
          <w:tcPr>
            <w:tcW w:w="1780" w:type="dxa"/>
            <w:tcBorders>
              <w:top w:val="nil"/>
              <w:left w:val="nil"/>
              <w:bottom w:val="single" w:sz="4" w:space="0" w:color="auto"/>
              <w:right w:val="single" w:sz="4" w:space="0" w:color="auto"/>
            </w:tcBorders>
            <w:shd w:val="clear" w:color="auto" w:fill="auto"/>
            <w:noWrap/>
            <w:vAlign w:val="center"/>
            <w:hideMark/>
          </w:tcPr>
          <w:p w14:paraId="6874C18E" w14:textId="77777777" w:rsidR="00A923F4" w:rsidRPr="00B8658B" w:rsidRDefault="00A923F4" w:rsidP="00F3252D">
            <w:pPr>
              <w:jc w:val="center"/>
              <w:rPr>
                <w:rFonts w:ascii="Arial" w:hAnsi="Arial" w:cs="Arial"/>
                <w:color w:val="000000"/>
              </w:rPr>
            </w:pPr>
            <w:r w:rsidRPr="00B8658B">
              <w:rPr>
                <w:rFonts w:ascii="Arial" w:hAnsi="Arial" w:cs="Arial"/>
                <w:color w:val="000000"/>
              </w:rPr>
              <w:t>5 (3.0)</w:t>
            </w:r>
          </w:p>
        </w:tc>
      </w:tr>
      <w:tr w:rsidR="00A923F4" w:rsidRPr="00B8658B" w14:paraId="694DC7B1"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3DB9BFF3" w14:textId="77777777" w:rsidR="00A923F4" w:rsidRPr="00B8658B" w:rsidRDefault="00A923F4" w:rsidP="00F3252D">
            <w:pPr>
              <w:rPr>
                <w:rFonts w:ascii="Arial" w:hAnsi="Arial" w:cs="Arial"/>
                <w:color w:val="000000"/>
              </w:rPr>
            </w:pPr>
            <w:r w:rsidRPr="00B8658B">
              <w:rPr>
                <w:rFonts w:ascii="Arial" w:hAnsi="Arial" w:cs="Arial"/>
                <w:color w:val="000000"/>
              </w:rPr>
              <w:t>Instillation site pruritus</w:t>
            </w:r>
          </w:p>
        </w:tc>
        <w:tc>
          <w:tcPr>
            <w:tcW w:w="1880" w:type="dxa"/>
            <w:tcBorders>
              <w:top w:val="nil"/>
              <w:left w:val="nil"/>
              <w:bottom w:val="single" w:sz="4" w:space="0" w:color="auto"/>
              <w:right w:val="single" w:sz="4" w:space="0" w:color="auto"/>
            </w:tcBorders>
            <w:shd w:val="clear" w:color="auto" w:fill="auto"/>
            <w:noWrap/>
            <w:vAlign w:val="center"/>
            <w:hideMark/>
          </w:tcPr>
          <w:p w14:paraId="1A05A432"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c>
          <w:tcPr>
            <w:tcW w:w="1780" w:type="dxa"/>
            <w:tcBorders>
              <w:top w:val="nil"/>
              <w:left w:val="nil"/>
              <w:bottom w:val="single" w:sz="4" w:space="0" w:color="auto"/>
              <w:right w:val="single" w:sz="4" w:space="0" w:color="auto"/>
            </w:tcBorders>
            <w:shd w:val="clear" w:color="auto" w:fill="auto"/>
            <w:noWrap/>
            <w:vAlign w:val="center"/>
            <w:hideMark/>
          </w:tcPr>
          <w:p w14:paraId="6578E09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48957427"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7F2B747" w14:textId="77777777" w:rsidR="00A923F4" w:rsidRPr="00B8658B" w:rsidRDefault="00A923F4" w:rsidP="00F3252D">
            <w:pPr>
              <w:rPr>
                <w:rFonts w:ascii="Arial" w:hAnsi="Arial" w:cs="Arial"/>
                <w:color w:val="000000"/>
              </w:rPr>
            </w:pPr>
            <w:r w:rsidRPr="00B8658B">
              <w:rPr>
                <w:rFonts w:ascii="Arial" w:hAnsi="Arial" w:cs="Arial"/>
                <w:color w:val="000000"/>
              </w:rPr>
              <w:t>Punctate keratitis</w:t>
            </w:r>
          </w:p>
        </w:tc>
        <w:tc>
          <w:tcPr>
            <w:tcW w:w="1880" w:type="dxa"/>
            <w:tcBorders>
              <w:top w:val="nil"/>
              <w:left w:val="nil"/>
              <w:bottom w:val="single" w:sz="4" w:space="0" w:color="auto"/>
              <w:right w:val="single" w:sz="4" w:space="0" w:color="auto"/>
            </w:tcBorders>
            <w:shd w:val="clear" w:color="auto" w:fill="auto"/>
            <w:noWrap/>
            <w:vAlign w:val="center"/>
            <w:hideMark/>
          </w:tcPr>
          <w:p w14:paraId="656E00CC"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4821826D" w14:textId="77777777" w:rsidR="00A923F4" w:rsidRPr="00B8658B" w:rsidRDefault="00A923F4" w:rsidP="00F3252D">
            <w:pPr>
              <w:jc w:val="center"/>
              <w:rPr>
                <w:rFonts w:ascii="Arial" w:hAnsi="Arial" w:cs="Arial"/>
                <w:color w:val="000000"/>
              </w:rPr>
            </w:pPr>
            <w:r w:rsidRPr="00B8658B">
              <w:rPr>
                <w:rFonts w:ascii="Arial" w:hAnsi="Arial" w:cs="Arial"/>
                <w:color w:val="000000"/>
              </w:rPr>
              <w:t>5 (3.0)</w:t>
            </w:r>
          </w:p>
        </w:tc>
      </w:tr>
      <w:tr w:rsidR="00A923F4" w:rsidRPr="00B8658B" w14:paraId="1993C0E8"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2895CCDE" w14:textId="77777777" w:rsidR="00A923F4" w:rsidRPr="00B8658B" w:rsidRDefault="00A923F4" w:rsidP="00F3252D">
            <w:pPr>
              <w:rPr>
                <w:rFonts w:ascii="Arial" w:hAnsi="Arial" w:cs="Arial"/>
                <w:color w:val="000000"/>
              </w:rPr>
            </w:pPr>
            <w:r w:rsidRPr="00B8658B">
              <w:rPr>
                <w:rFonts w:ascii="Arial" w:hAnsi="Arial" w:cs="Arial"/>
                <w:color w:val="000000"/>
              </w:rPr>
              <w:t>Instillation site abnormal sensation</w:t>
            </w:r>
          </w:p>
        </w:tc>
        <w:tc>
          <w:tcPr>
            <w:tcW w:w="1880" w:type="dxa"/>
            <w:tcBorders>
              <w:top w:val="nil"/>
              <w:left w:val="nil"/>
              <w:bottom w:val="single" w:sz="4" w:space="0" w:color="auto"/>
              <w:right w:val="single" w:sz="4" w:space="0" w:color="auto"/>
            </w:tcBorders>
            <w:shd w:val="clear" w:color="auto" w:fill="auto"/>
            <w:noWrap/>
            <w:vAlign w:val="center"/>
            <w:hideMark/>
          </w:tcPr>
          <w:p w14:paraId="15E12C2E"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7A6897C8"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7F65916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45C3176" w14:textId="77777777" w:rsidR="00A923F4" w:rsidRPr="00B8658B" w:rsidRDefault="00A923F4" w:rsidP="00F3252D">
            <w:pPr>
              <w:rPr>
                <w:rFonts w:ascii="Arial" w:hAnsi="Arial" w:cs="Arial"/>
                <w:color w:val="000000"/>
              </w:rPr>
            </w:pPr>
            <w:r w:rsidRPr="00B8658B">
              <w:rPr>
                <w:rFonts w:ascii="Arial" w:hAnsi="Arial" w:cs="Arial"/>
                <w:color w:val="000000"/>
              </w:rPr>
              <w:t>Vitreous detachment</w:t>
            </w:r>
          </w:p>
        </w:tc>
        <w:tc>
          <w:tcPr>
            <w:tcW w:w="1880" w:type="dxa"/>
            <w:tcBorders>
              <w:top w:val="nil"/>
              <w:left w:val="nil"/>
              <w:bottom w:val="single" w:sz="4" w:space="0" w:color="auto"/>
              <w:right w:val="single" w:sz="4" w:space="0" w:color="auto"/>
            </w:tcBorders>
            <w:shd w:val="clear" w:color="auto" w:fill="auto"/>
            <w:noWrap/>
            <w:vAlign w:val="center"/>
            <w:hideMark/>
          </w:tcPr>
          <w:p w14:paraId="6FE26A02"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5C09CF61"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13349806"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68916F4" w14:textId="77777777" w:rsidR="00A923F4" w:rsidRPr="00B8658B" w:rsidRDefault="00A923F4" w:rsidP="00F3252D">
            <w:pPr>
              <w:rPr>
                <w:rFonts w:ascii="Arial" w:hAnsi="Arial" w:cs="Arial"/>
                <w:color w:val="000000"/>
              </w:rPr>
            </w:pPr>
            <w:r w:rsidRPr="00B8658B">
              <w:rPr>
                <w:rFonts w:ascii="Arial" w:hAnsi="Arial" w:cs="Arial"/>
                <w:color w:val="000000"/>
              </w:rPr>
              <w:t>Conjunctival disorder</w:t>
            </w:r>
          </w:p>
        </w:tc>
        <w:tc>
          <w:tcPr>
            <w:tcW w:w="1880" w:type="dxa"/>
            <w:tcBorders>
              <w:top w:val="nil"/>
              <w:left w:val="nil"/>
              <w:bottom w:val="single" w:sz="4" w:space="0" w:color="auto"/>
              <w:right w:val="single" w:sz="4" w:space="0" w:color="auto"/>
            </w:tcBorders>
            <w:shd w:val="clear" w:color="auto" w:fill="auto"/>
            <w:noWrap/>
            <w:vAlign w:val="center"/>
            <w:hideMark/>
          </w:tcPr>
          <w:p w14:paraId="0442815C"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06695D7F"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3E69A272"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3B8CB36" w14:textId="77777777" w:rsidR="00A923F4" w:rsidRPr="00B8658B" w:rsidRDefault="00A923F4" w:rsidP="00F3252D">
            <w:pPr>
              <w:rPr>
                <w:rFonts w:ascii="Arial" w:hAnsi="Arial" w:cs="Arial"/>
                <w:color w:val="000000"/>
              </w:rPr>
            </w:pPr>
            <w:r w:rsidRPr="00B8658B">
              <w:rPr>
                <w:rFonts w:ascii="Arial" w:hAnsi="Arial" w:cs="Arial"/>
                <w:color w:val="000000"/>
              </w:rPr>
              <w:t>Dry eye</w:t>
            </w:r>
          </w:p>
        </w:tc>
        <w:tc>
          <w:tcPr>
            <w:tcW w:w="1880" w:type="dxa"/>
            <w:tcBorders>
              <w:top w:val="nil"/>
              <w:left w:val="nil"/>
              <w:bottom w:val="single" w:sz="4" w:space="0" w:color="auto"/>
              <w:right w:val="single" w:sz="4" w:space="0" w:color="auto"/>
            </w:tcBorders>
            <w:shd w:val="clear" w:color="auto" w:fill="auto"/>
            <w:noWrap/>
            <w:vAlign w:val="center"/>
            <w:hideMark/>
          </w:tcPr>
          <w:p w14:paraId="4358B6D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3D6A9F2F"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158820C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589B71E" w14:textId="77777777" w:rsidR="00A923F4" w:rsidRPr="00B8658B" w:rsidRDefault="00A923F4" w:rsidP="00F3252D">
            <w:pPr>
              <w:rPr>
                <w:rFonts w:ascii="Arial" w:hAnsi="Arial" w:cs="Arial"/>
                <w:color w:val="000000"/>
              </w:rPr>
            </w:pPr>
            <w:r w:rsidRPr="00B8658B">
              <w:rPr>
                <w:rFonts w:ascii="Arial" w:hAnsi="Arial" w:cs="Arial"/>
                <w:color w:val="000000"/>
              </w:rPr>
              <w:t>Eye pruritus</w:t>
            </w:r>
          </w:p>
        </w:tc>
        <w:tc>
          <w:tcPr>
            <w:tcW w:w="1880" w:type="dxa"/>
            <w:tcBorders>
              <w:top w:val="nil"/>
              <w:left w:val="nil"/>
              <w:bottom w:val="single" w:sz="4" w:space="0" w:color="auto"/>
              <w:right w:val="single" w:sz="4" w:space="0" w:color="auto"/>
            </w:tcBorders>
            <w:shd w:val="clear" w:color="auto" w:fill="auto"/>
            <w:noWrap/>
            <w:vAlign w:val="center"/>
            <w:hideMark/>
          </w:tcPr>
          <w:p w14:paraId="3F42F395"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0687745F"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1807475A"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225F2C78" w14:textId="77777777" w:rsidR="00A923F4" w:rsidRPr="00B8658B" w:rsidRDefault="00A923F4" w:rsidP="00F3252D">
            <w:pPr>
              <w:rPr>
                <w:rFonts w:ascii="Arial" w:hAnsi="Arial" w:cs="Arial"/>
                <w:color w:val="000000"/>
              </w:rPr>
            </w:pPr>
            <w:r w:rsidRPr="00B8658B">
              <w:rPr>
                <w:rFonts w:ascii="Arial" w:hAnsi="Arial" w:cs="Arial"/>
                <w:color w:val="000000"/>
              </w:rPr>
              <w:t xml:space="preserve">Abnormal visual field tests </w:t>
            </w:r>
          </w:p>
        </w:tc>
        <w:tc>
          <w:tcPr>
            <w:tcW w:w="1880" w:type="dxa"/>
            <w:tcBorders>
              <w:top w:val="nil"/>
              <w:left w:val="nil"/>
              <w:bottom w:val="single" w:sz="4" w:space="0" w:color="auto"/>
              <w:right w:val="single" w:sz="4" w:space="0" w:color="auto"/>
            </w:tcBorders>
            <w:shd w:val="clear" w:color="auto" w:fill="auto"/>
            <w:noWrap/>
            <w:vAlign w:val="center"/>
            <w:hideMark/>
          </w:tcPr>
          <w:p w14:paraId="3839C2D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1AF3DA38"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257F4DF8"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A48F33A" w14:textId="77777777" w:rsidR="00A923F4" w:rsidRPr="00B8658B" w:rsidRDefault="00A923F4" w:rsidP="00F3252D">
            <w:pPr>
              <w:rPr>
                <w:rFonts w:ascii="Arial" w:hAnsi="Arial" w:cs="Arial"/>
                <w:color w:val="000000"/>
              </w:rPr>
            </w:pPr>
            <w:r w:rsidRPr="00B8658B">
              <w:rPr>
                <w:rFonts w:ascii="Arial" w:hAnsi="Arial" w:cs="Arial"/>
                <w:color w:val="000000"/>
              </w:rPr>
              <w:t>Chalazion</w:t>
            </w:r>
          </w:p>
        </w:tc>
        <w:tc>
          <w:tcPr>
            <w:tcW w:w="1880" w:type="dxa"/>
            <w:tcBorders>
              <w:top w:val="nil"/>
              <w:left w:val="nil"/>
              <w:bottom w:val="single" w:sz="4" w:space="0" w:color="auto"/>
              <w:right w:val="single" w:sz="4" w:space="0" w:color="auto"/>
            </w:tcBorders>
            <w:shd w:val="clear" w:color="auto" w:fill="auto"/>
            <w:noWrap/>
            <w:vAlign w:val="center"/>
            <w:hideMark/>
          </w:tcPr>
          <w:p w14:paraId="0BA7E65E"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433D660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24F1C22B"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FDEE482" w14:textId="77777777" w:rsidR="00A923F4" w:rsidRPr="00B8658B" w:rsidRDefault="00A923F4" w:rsidP="00F3252D">
            <w:pPr>
              <w:rPr>
                <w:rFonts w:ascii="Arial" w:hAnsi="Arial" w:cs="Arial"/>
                <w:color w:val="000000"/>
              </w:rPr>
            </w:pPr>
            <w:r w:rsidRPr="00B8658B">
              <w:rPr>
                <w:rFonts w:ascii="Arial" w:hAnsi="Arial" w:cs="Arial"/>
                <w:color w:val="000000"/>
              </w:rPr>
              <w:t>Conjunctival edema</w:t>
            </w:r>
          </w:p>
        </w:tc>
        <w:tc>
          <w:tcPr>
            <w:tcW w:w="1880" w:type="dxa"/>
            <w:tcBorders>
              <w:top w:val="nil"/>
              <w:left w:val="nil"/>
              <w:bottom w:val="single" w:sz="4" w:space="0" w:color="auto"/>
              <w:right w:val="single" w:sz="4" w:space="0" w:color="auto"/>
            </w:tcBorders>
            <w:shd w:val="clear" w:color="auto" w:fill="auto"/>
            <w:noWrap/>
            <w:vAlign w:val="center"/>
            <w:hideMark/>
          </w:tcPr>
          <w:p w14:paraId="44F118A8"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704BBF2B"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766B197B"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9B2B4AD" w14:textId="77777777" w:rsidR="00A923F4" w:rsidRPr="00B8658B" w:rsidRDefault="00A923F4" w:rsidP="00F3252D">
            <w:pPr>
              <w:rPr>
                <w:rFonts w:ascii="Arial" w:hAnsi="Arial" w:cs="Arial"/>
                <w:color w:val="000000"/>
              </w:rPr>
            </w:pPr>
            <w:r w:rsidRPr="00B8658B">
              <w:rPr>
                <w:rFonts w:ascii="Arial" w:hAnsi="Arial" w:cs="Arial"/>
                <w:color w:val="000000"/>
              </w:rPr>
              <w:t>Conjunctival follicles</w:t>
            </w:r>
          </w:p>
        </w:tc>
        <w:tc>
          <w:tcPr>
            <w:tcW w:w="1880" w:type="dxa"/>
            <w:tcBorders>
              <w:top w:val="nil"/>
              <w:left w:val="nil"/>
              <w:bottom w:val="single" w:sz="4" w:space="0" w:color="auto"/>
              <w:right w:val="single" w:sz="4" w:space="0" w:color="auto"/>
            </w:tcBorders>
            <w:shd w:val="clear" w:color="auto" w:fill="auto"/>
            <w:noWrap/>
            <w:vAlign w:val="center"/>
            <w:hideMark/>
          </w:tcPr>
          <w:p w14:paraId="07CA2E8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72670D0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1218E534"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5BD8B62" w14:textId="77777777" w:rsidR="00A923F4" w:rsidRPr="00B8658B" w:rsidRDefault="00A923F4" w:rsidP="00F3252D">
            <w:pPr>
              <w:rPr>
                <w:rFonts w:ascii="Arial" w:hAnsi="Arial" w:cs="Arial"/>
                <w:color w:val="000000"/>
              </w:rPr>
            </w:pPr>
            <w:r w:rsidRPr="00B8658B">
              <w:rPr>
                <w:rFonts w:ascii="Arial" w:hAnsi="Arial" w:cs="Arial"/>
                <w:color w:val="000000"/>
              </w:rPr>
              <w:t>Conjunctivitis</w:t>
            </w:r>
          </w:p>
        </w:tc>
        <w:tc>
          <w:tcPr>
            <w:tcW w:w="1880" w:type="dxa"/>
            <w:tcBorders>
              <w:top w:val="nil"/>
              <w:left w:val="nil"/>
              <w:bottom w:val="single" w:sz="4" w:space="0" w:color="auto"/>
              <w:right w:val="single" w:sz="4" w:space="0" w:color="auto"/>
            </w:tcBorders>
            <w:shd w:val="clear" w:color="auto" w:fill="auto"/>
            <w:noWrap/>
            <w:vAlign w:val="center"/>
            <w:hideMark/>
          </w:tcPr>
          <w:p w14:paraId="5398E04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2AE0EE0B"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67E358A4"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01DC11F" w14:textId="77777777" w:rsidR="00A923F4" w:rsidRPr="00B8658B" w:rsidRDefault="00A923F4" w:rsidP="00F3252D">
            <w:pPr>
              <w:rPr>
                <w:rFonts w:ascii="Arial" w:hAnsi="Arial" w:cs="Arial"/>
                <w:color w:val="000000"/>
              </w:rPr>
            </w:pPr>
            <w:r w:rsidRPr="00B8658B">
              <w:rPr>
                <w:rFonts w:ascii="Arial" w:hAnsi="Arial" w:cs="Arial"/>
                <w:color w:val="000000"/>
              </w:rPr>
              <w:t>Corneal disorder</w:t>
            </w:r>
          </w:p>
        </w:tc>
        <w:tc>
          <w:tcPr>
            <w:tcW w:w="1880" w:type="dxa"/>
            <w:tcBorders>
              <w:top w:val="nil"/>
              <w:left w:val="nil"/>
              <w:bottom w:val="single" w:sz="4" w:space="0" w:color="auto"/>
              <w:right w:val="single" w:sz="4" w:space="0" w:color="auto"/>
            </w:tcBorders>
            <w:shd w:val="clear" w:color="auto" w:fill="auto"/>
            <w:noWrap/>
            <w:vAlign w:val="center"/>
            <w:hideMark/>
          </w:tcPr>
          <w:p w14:paraId="7086BC2B"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7BEDABC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308EA7D6"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7CC6EB6" w14:textId="77777777" w:rsidR="00A923F4" w:rsidRPr="00B8658B" w:rsidRDefault="00A923F4" w:rsidP="00F3252D">
            <w:pPr>
              <w:rPr>
                <w:rFonts w:ascii="Arial" w:hAnsi="Arial" w:cs="Arial"/>
                <w:color w:val="000000"/>
              </w:rPr>
            </w:pPr>
            <w:r w:rsidRPr="00B8658B">
              <w:rPr>
                <w:rFonts w:ascii="Arial" w:hAnsi="Arial" w:cs="Arial"/>
                <w:color w:val="000000"/>
              </w:rPr>
              <w:t>Ectropion</w:t>
            </w:r>
          </w:p>
        </w:tc>
        <w:tc>
          <w:tcPr>
            <w:tcW w:w="1880" w:type="dxa"/>
            <w:tcBorders>
              <w:top w:val="nil"/>
              <w:left w:val="nil"/>
              <w:bottom w:val="single" w:sz="4" w:space="0" w:color="auto"/>
              <w:right w:val="single" w:sz="4" w:space="0" w:color="auto"/>
            </w:tcBorders>
            <w:shd w:val="clear" w:color="auto" w:fill="auto"/>
            <w:noWrap/>
            <w:vAlign w:val="center"/>
            <w:hideMark/>
          </w:tcPr>
          <w:p w14:paraId="18BFFB82"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18207755"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151E0664"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BC979CE" w14:textId="77777777" w:rsidR="00A923F4" w:rsidRPr="00B8658B" w:rsidRDefault="00A923F4" w:rsidP="00F3252D">
            <w:pPr>
              <w:rPr>
                <w:rFonts w:ascii="Arial" w:hAnsi="Arial" w:cs="Arial"/>
                <w:color w:val="000000"/>
              </w:rPr>
            </w:pPr>
            <w:r w:rsidRPr="00B8658B">
              <w:rPr>
                <w:rFonts w:ascii="Arial" w:hAnsi="Arial" w:cs="Arial"/>
                <w:color w:val="000000"/>
              </w:rPr>
              <w:t>Eye allergy</w:t>
            </w:r>
          </w:p>
        </w:tc>
        <w:tc>
          <w:tcPr>
            <w:tcW w:w="1880" w:type="dxa"/>
            <w:tcBorders>
              <w:top w:val="nil"/>
              <w:left w:val="nil"/>
              <w:bottom w:val="single" w:sz="4" w:space="0" w:color="auto"/>
              <w:right w:val="single" w:sz="4" w:space="0" w:color="auto"/>
            </w:tcBorders>
            <w:shd w:val="clear" w:color="auto" w:fill="auto"/>
            <w:noWrap/>
            <w:vAlign w:val="center"/>
            <w:hideMark/>
          </w:tcPr>
          <w:p w14:paraId="2B52D57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23D3F300"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07BAA5F9"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3BE7F76E" w14:textId="77777777" w:rsidR="00A923F4" w:rsidRPr="00B8658B" w:rsidRDefault="00A923F4" w:rsidP="00F3252D">
            <w:pPr>
              <w:rPr>
                <w:rFonts w:ascii="Arial" w:hAnsi="Arial" w:cs="Arial"/>
                <w:color w:val="000000"/>
              </w:rPr>
            </w:pPr>
            <w:r w:rsidRPr="00B8658B">
              <w:rPr>
                <w:rFonts w:ascii="Arial" w:hAnsi="Arial" w:cs="Arial"/>
                <w:color w:val="000000"/>
              </w:rPr>
              <w:t>Eye color change</w:t>
            </w:r>
          </w:p>
        </w:tc>
        <w:tc>
          <w:tcPr>
            <w:tcW w:w="1880" w:type="dxa"/>
            <w:tcBorders>
              <w:top w:val="nil"/>
              <w:left w:val="nil"/>
              <w:bottom w:val="single" w:sz="4" w:space="0" w:color="auto"/>
              <w:right w:val="single" w:sz="4" w:space="0" w:color="auto"/>
            </w:tcBorders>
            <w:shd w:val="clear" w:color="auto" w:fill="auto"/>
            <w:noWrap/>
            <w:vAlign w:val="center"/>
            <w:hideMark/>
          </w:tcPr>
          <w:p w14:paraId="4D0C0D4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62664039"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7D58F501"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E7DFE14" w14:textId="77777777" w:rsidR="00A923F4" w:rsidRPr="00B8658B" w:rsidRDefault="00A923F4" w:rsidP="00F3252D">
            <w:pPr>
              <w:rPr>
                <w:rFonts w:ascii="Arial" w:hAnsi="Arial" w:cs="Arial"/>
                <w:color w:val="000000"/>
              </w:rPr>
            </w:pPr>
            <w:r w:rsidRPr="00B8658B">
              <w:rPr>
                <w:rFonts w:ascii="Arial" w:hAnsi="Arial" w:cs="Arial"/>
                <w:color w:val="000000"/>
              </w:rPr>
              <w:t>Foreign body sensation in eyes</w:t>
            </w:r>
          </w:p>
        </w:tc>
        <w:tc>
          <w:tcPr>
            <w:tcW w:w="1880" w:type="dxa"/>
            <w:tcBorders>
              <w:top w:val="nil"/>
              <w:left w:val="nil"/>
              <w:bottom w:val="single" w:sz="4" w:space="0" w:color="auto"/>
              <w:right w:val="single" w:sz="4" w:space="0" w:color="auto"/>
            </w:tcBorders>
            <w:shd w:val="clear" w:color="auto" w:fill="auto"/>
            <w:noWrap/>
            <w:vAlign w:val="center"/>
            <w:hideMark/>
          </w:tcPr>
          <w:p w14:paraId="6288F6B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3B6DC630"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2B19D886"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8BC11D6" w14:textId="77777777" w:rsidR="00A923F4" w:rsidRPr="00B8658B" w:rsidRDefault="00A923F4" w:rsidP="00F3252D">
            <w:pPr>
              <w:rPr>
                <w:rFonts w:ascii="Arial" w:hAnsi="Arial" w:cs="Arial"/>
                <w:color w:val="000000"/>
              </w:rPr>
            </w:pPr>
            <w:r w:rsidRPr="00B8658B">
              <w:rPr>
                <w:rFonts w:ascii="Arial" w:hAnsi="Arial" w:cs="Arial"/>
                <w:color w:val="000000"/>
              </w:rPr>
              <w:t>Instillation site foreign body sensations</w:t>
            </w:r>
          </w:p>
        </w:tc>
        <w:tc>
          <w:tcPr>
            <w:tcW w:w="1880" w:type="dxa"/>
            <w:tcBorders>
              <w:top w:val="nil"/>
              <w:left w:val="nil"/>
              <w:bottom w:val="single" w:sz="4" w:space="0" w:color="auto"/>
              <w:right w:val="single" w:sz="4" w:space="0" w:color="auto"/>
            </w:tcBorders>
            <w:shd w:val="clear" w:color="auto" w:fill="auto"/>
            <w:noWrap/>
            <w:vAlign w:val="center"/>
            <w:hideMark/>
          </w:tcPr>
          <w:p w14:paraId="42051CE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5933964C"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266807C2"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9944A46" w14:textId="77777777" w:rsidR="00A923F4" w:rsidRPr="00B8658B" w:rsidRDefault="00A923F4" w:rsidP="00F3252D">
            <w:pPr>
              <w:rPr>
                <w:rFonts w:ascii="Arial" w:hAnsi="Arial" w:cs="Arial"/>
                <w:color w:val="000000"/>
              </w:rPr>
            </w:pPr>
            <w:r w:rsidRPr="00B8658B">
              <w:rPr>
                <w:rFonts w:ascii="Arial" w:hAnsi="Arial" w:cs="Arial"/>
                <w:color w:val="000000"/>
              </w:rPr>
              <w:t>Instillation site lacrimation</w:t>
            </w:r>
          </w:p>
        </w:tc>
        <w:tc>
          <w:tcPr>
            <w:tcW w:w="1880" w:type="dxa"/>
            <w:tcBorders>
              <w:top w:val="nil"/>
              <w:left w:val="nil"/>
              <w:bottom w:val="single" w:sz="4" w:space="0" w:color="auto"/>
              <w:right w:val="single" w:sz="4" w:space="0" w:color="auto"/>
            </w:tcBorders>
            <w:shd w:val="clear" w:color="auto" w:fill="auto"/>
            <w:noWrap/>
            <w:vAlign w:val="center"/>
            <w:hideMark/>
          </w:tcPr>
          <w:p w14:paraId="68F21EBE"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2B924B85"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442CD92D"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FFE5A2A" w14:textId="77777777" w:rsidR="00A923F4" w:rsidRPr="00B8658B" w:rsidRDefault="00A923F4" w:rsidP="00F3252D">
            <w:pPr>
              <w:rPr>
                <w:rFonts w:ascii="Arial" w:hAnsi="Arial" w:cs="Arial"/>
                <w:color w:val="000000"/>
              </w:rPr>
            </w:pPr>
            <w:r w:rsidRPr="00B8658B">
              <w:rPr>
                <w:rFonts w:ascii="Arial" w:hAnsi="Arial" w:cs="Arial"/>
                <w:color w:val="000000"/>
              </w:rPr>
              <w:t>Lacrimation increased</w:t>
            </w:r>
          </w:p>
        </w:tc>
        <w:tc>
          <w:tcPr>
            <w:tcW w:w="1880" w:type="dxa"/>
            <w:tcBorders>
              <w:top w:val="nil"/>
              <w:left w:val="nil"/>
              <w:bottom w:val="single" w:sz="4" w:space="0" w:color="auto"/>
              <w:right w:val="single" w:sz="4" w:space="0" w:color="auto"/>
            </w:tcBorders>
            <w:shd w:val="clear" w:color="auto" w:fill="auto"/>
            <w:noWrap/>
            <w:vAlign w:val="center"/>
            <w:hideMark/>
          </w:tcPr>
          <w:p w14:paraId="5BD6026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3C272114"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3BB675DF"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794762F" w14:textId="77777777" w:rsidR="00A923F4" w:rsidRPr="00B8658B" w:rsidRDefault="00A923F4" w:rsidP="00F3252D">
            <w:pPr>
              <w:rPr>
                <w:rFonts w:ascii="Arial" w:hAnsi="Arial" w:cs="Arial"/>
                <w:color w:val="000000"/>
              </w:rPr>
            </w:pPr>
            <w:r w:rsidRPr="00B8658B">
              <w:rPr>
                <w:rFonts w:ascii="Arial" w:hAnsi="Arial" w:cs="Arial"/>
                <w:color w:val="000000"/>
              </w:rPr>
              <w:t>Meibomianitis</w:t>
            </w:r>
          </w:p>
        </w:tc>
        <w:tc>
          <w:tcPr>
            <w:tcW w:w="1880" w:type="dxa"/>
            <w:tcBorders>
              <w:top w:val="nil"/>
              <w:left w:val="nil"/>
              <w:bottom w:val="single" w:sz="4" w:space="0" w:color="auto"/>
              <w:right w:val="single" w:sz="4" w:space="0" w:color="auto"/>
            </w:tcBorders>
            <w:shd w:val="clear" w:color="auto" w:fill="auto"/>
            <w:noWrap/>
            <w:vAlign w:val="center"/>
            <w:hideMark/>
          </w:tcPr>
          <w:p w14:paraId="65868C9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75CC5A70"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3E28011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1D4B72A" w14:textId="77777777" w:rsidR="00A923F4" w:rsidRPr="00B8658B" w:rsidRDefault="00A923F4" w:rsidP="00F3252D">
            <w:pPr>
              <w:rPr>
                <w:rFonts w:ascii="Arial" w:hAnsi="Arial" w:cs="Arial"/>
                <w:color w:val="000000"/>
              </w:rPr>
            </w:pPr>
            <w:r w:rsidRPr="00B8658B">
              <w:rPr>
                <w:rFonts w:ascii="Arial" w:hAnsi="Arial" w:cs="Arial"/>
                <w:color w:val="000000"/>
              </w:rPr>
              <w:t>Ocular hyperemia</w:t>
            </w:r>
          </w:p>
        </w:tc>
        <w:tc>
          <w:tcPr>
            <w:tcW w:w="1880" w:type="dxa"/>
            <w:tcBorders>
              <w:top w:val="nil"/>
              <w:left w:val="nil"/>
              <w:bottom w:val="single" w:sz="4" w:space="0" w:color="auto"/>
              <w:right w:val="single" w:sz="4" w:space="0" w:color="auto"/>
            </w:tcBorders>
            <w:shd w:val="clear" w:color="auto" w:fill="auto"/>
            <w:noWrap/>
            <w:vAlign w:val="center"/>
            <w:hideMark/>
          </w:tcPr>
          <w:p w14:paraId="3883A73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2DB2C478"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6872495C"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FBFA75B" w14:textId="77777777" w:rsidR="00A923F4" w:rsidRPr="00B8658B" w:rsidRDefault="00A923F4" w:rsidP="00F3252D">
            <w:pPr>
              <w:rPr>
                <w:rFonts w:ascii="Arial" w:hAnsi="Arial" w:cs="Arial"/>
                <w:color w:val="000000"/>
              </w:rPr>
            </w:pPr>
            <w:r w:rsidRPr="00B8658B">
              <w:rPr>
                <w:rFonts w:ascii="Arial" w:hAnsi="Arial" w:cs="Arial"/>
                <w:color w:val="000000"/>
              </w:rPr>
              <w:t>Vision blurred</w:t>
            </w:r>
          </w:p>
        </w:tc>
        <w:tc>
          <w:tcPr>
            <w:tcW w:w="1880" w:type="dxa"/>
            <w:tcBorders>
              <w:top w:val="nil"/>
              <w:left w:val="nil"/>
              <w:bottom w:val="single" w:sz="4" w:space="0" w:color="auto"/>
              <w:right w:val="single" w:sz="4" w:space="0" w:color="auto"/>
            </w:tcBorders>
            <w:shd w:val="clear" w:color="auto" w:fill="auto"/>
            <w:noWrap/>
            <w:vAlign w:val="center"/>
            <w:hideMark/>
          </w:tcPr>
          <w:p w14:paraId="1683FE2A"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60BA5C42"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757DB7AC"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3753228" w14:textId="77777777" w:rsidR="00A923F4" w:rsidRPr="00B8658B" w:rsidRDefault="00A923F4" w:rsidP="00F3252D">
            <w:pPr>
              <w:rPr>
                <w:rFonts w:ascii="Arial" w:hAnsi="Arial" w:cs="Arial"/>
                <w:color w:val="000000"/>
              </w:rPr>
            </w:pPr>
            <w:r w:rsidRPr="00B8658B">
              <w:rPr>
                <w:rFonts w:ascii="Arial" w:hAnsi="Arial" w:cs="Arial"/>
                <w:color w:val="000000"/>
              </w:rPr>
              <w:t>Vital dye staining cornea present</w:t>
            </w:r>
          </w:p>
        </w:tc>
        <w:tc>
          <w:tcPr>
            <w:tcW w:w="1880" w:type="dxa"/>
            <w:tcBorders>
              <w:top w:val="nil"/>
              <w:left w:val="nil"/>
              <w:bottom w:val="single" w:sz="4" w:space="0" w:color="auto"/>
              <w:right w:val="single" w:sz="4" w:space="0" w:color="auto"/>
            </w:tcBorders>
            <w:shd w:val="clear" w:color="auto" w:fill="auto"/>
            <w:noWrap/>
            <w:vAlign w:val="center"/>
            <w:hideMark/>
          </w:tcPr>
          <w:p w14:paraId="4211D2F1"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c>
          <w:tcPr>
            <w:tcW w:w="1780" w:type="dxa"/>
            <w:tcBorders>
              <w:top w:val="nil"/>
              <w:left w:val="nil"/>
              <w:bottom w:val="single" w:sz="4" w:space="0" w:color="auto"/>
              <w:right w:val="single" w:sz="4" w:space="0" w:color="auto"/>
            </w:tcBorders>
            <w:shd w:val="clear" w:color="auto" w:fill="auto"/>
            <w:noWrap/>
            <w:vAlign w:val="center"/>
            <w:hideMark/>
          </w:tcPr>
          <w:p w14:paraId="40D63A0C"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r>
      <w:tr w:rsidR="00A923F4" w:rsidRPr="00B8658B" w14:paraId="48D79B83"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2FC2F1A" w14:textId="77777777" w:rsidR="00A923F4" w:rsidRPr="00B8658B" w:rsidRDefault="00A923F4" w:rsidP="00F3252D">
            <w:pPr>
              <w:rPr>
                <w:rFonts w:ascii="Arial" w:hAnsi="Arial" w:cs="Arial"/>
                <w:color w:val="000000"/>
              </w:rPr>
            </w:pPr>
            <w:r w:rsidRPr="00B8658B">
              <w:rPr>
                <w:rFonts w:ascii="Arial" w:hAnsi="Arial" w:cs="Arial"/>
                <w:color w:val="000000"/>
              </w:rPr>
              <w:t>Conjunctival cyst</w:t>
            </w:r>
          </w:p>
        </w:tc>
        <w:tc>
          <w:tcPr>
            <w:tcW w:w="1880" w:type="dxa"/>
            <w:tcBorders>
              <w:top w:val="nil"/>
              <w:left w:val="nil"/>
              <w:bottom w:val="single" w:sz="4" w:space="0" w:color="auto"/>
              <w:right w:val="single" w:sz="4" w:space="0" w:color="auto"/>
            </w:tcBorders>
            <w:shd w:val="clear" w:color="auto" w:fill="auto"/>
            <w:noWrap/>
            <w:vAlign w:val="center"/>
            <w:hideMark/>
          </w:tcPr>
          <w:p w14:paraId="4FA7EEC2"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787F5B1F"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3BCAFF61"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275D61F" w14:textId="77777777" w:rsidR="00A923F4" w:rsidRPr="00B8658B" w:rsidRDefault="00A923F4" w:rsidP="00F3252D">
            <w:pPr>
              <w:rPr>
                <w:rFonts w:ascii="Arial" w:hAnsi="Arial" w:cs="Arial"/>
                <w:color w:val="000000"/>
              </w:rPr>
            </w:pPr>
            <w:r w:rsidRPr="00B8658B">
              <w:rPr>
                <w:rFonts w:ascii="Arial" w:hAnsi="Arial" w:cs="Arial"/>
                <w:color w:val="000000"/>
              </w:rPr>
              <w:t>Conjunctival hemorrhage</w:t>
            </w:r>
          </w:p>
        </w:tc>
        <w:tc>
          <w:tcPr>
            <w:tcW w:w="1880" w:type="dxa"/>
            <w:tcBorders>
              <w:top w:val="nil"/>
              <w:left w:val="nil"/>
              <w:bottom w:val="single" w:sz="4" w:space="0" w:color="auto"/>
              <w:right w:val="single" w:sz="4" w:space="0" w:color="auto"/>
            </w:tcBorders>
            <w:shd w:val="clear" w:color="auto" w:fill="auto"/>
            <w:noWrap/>
            <w:vAlign w:val="center"/>
            <w:hideMark/>
          </w:tcPr>
          <w:p w14:paraId="4DA41B75"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2BBE3A30"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49A4DA2D"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5B41210" w14:textId="77777777" w:rsidR="00A923F4" w:rsidRPr="00B8658B" w:rsidRDefault="00A923F4" w:rsidP="00F3252D">
            <w:pPr>
              <w:rPr>
                <w:rFonts w:ascii="Arial" w:hAnsi="Arial" w:cs="Arial"/>
                <w:color w:val="000000"/>
              </w:rPr>
            </w:pPr>
            <w:r w:rsidRPr="00B8658B">
              <w:rPr>
                <w:rFonts w:ascii="Arial" w:hAnsi="Arial" w:cs="Arial"/>
                <w:color w:val="000000"/>
              </w:rPr>
              <w:t xml:space="preserve">Allergic conjunctivitis </w:t>
            </w:r>
          </w:p>
        </w:tc>
        <w:tc>
          <w:tcPr>
            <w:tcW w:w="1880" w:type="dxa"/>
            <w:tcBorders>
              <w:top w:val="nil"/>
              <w:left w:val="nil"/>
              <w:bottom w:val="single" w:sz="4" w:space="0" w:color="auto"/>
              <w:right w:val="single" w:sz="4" w:space="0" w:color="auto"/>
            </w:tcBorders>
            <w:shd w:val="clear" w:color="auto" w:fill="auto"/>
            <w:noWrap/>
            <w:vAlign w:val="center"/>
            <w:hideMark/>
          </w:tcPr>
          <w:p w14:paraId="1825EA40"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0198453D"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3042BBD4"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452BFD9" w14:textId="77777777" w:rsidR="00A923F4" w:rsidRPr="00B8658B" w:rsidRDefault="00A923F4" w:rsidP="00F3252D">
            <w:pPr>
              <w:rPr>
                <w:rFonts w:ascii="Arial" w:hAnsi="Arial" w:cs="Arial"/>
                <w:color w:val="000000"/>
              </w:rPr>
            </w:pPr>
            <w:r w:rsidRPr="00B8658B">
              <w:rPr>
                <w:rFonts w:ascii="Arial" w:hAnsi="Arial" w:cs="Arial"/>
                <w:color w:val="000000"/>
              </w:rPr>
              <w:t>Instillation site complication</w:t>
            </w:r>
          </w:p>
        </w:tc>
        <w:tc>
          <w:tcPr>
            <w:tcW w:w="1880" w:type="dxa"/>
            <w:tcBorders>
              <w:top w:val="nil"/>
              <w:left w:val="nil"/>
              <w:bottom w:val="single" w:sz="4" w:space="0" w:color="auto"/>
              <w:right w:val="single" w:sz="4" w:space="0" w:color="auto"/>
            </w:tcBorders>
            <w:shd w:val="clear" w:color="auto" w:fill="auto"/>
            <w:noWrap/>
            <w:vAlign w:val="center"/>
            <w:hideMark/>
          </w:tcPr>
          <w:p w14:paraId="0596C26D"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03AD73DE" w14:textId="77777777" w:rsidR="00A923F4" w:rsidRPr="00B8658B" w:rsidRDefault="00A923F4" w:rsidP="00F3252D">
            <w:pPr>
              <w:jc w:val="center"/>
              <w:rPr>
                <w:rFonts w:ascii="Arial" w:hAnsi="Arial" w:cs="Arial"/>
                <w:color w:val="000000"/>
              </w:rPr>
            </w:pPr>
            <w:r w:rsidRPr="00B8658B">
              <w:rPr>
                <w:rFonts w:ascii="Arial" w:hAnsi="Arial" w:cs="Arial"/>
                <w:color w:val="000000"/>
              </w:rPr>
              <w:t>2 (1.2)</w:t>
            </w:r>
          </w:p>
        </w:tc>
      </w:tr>
      <w:tr w:rsidR="00A923F4" w:rsidRPr="00B8658B" w14:paraId="32133397"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B2C85FE" w14:textId="77777777" w:rsidR="00A923F4" w:rsidRPr="00B8658B" w:rsidRDefault="00A923F4" w:rsidP="00F3252D">
            <w:pPr>
              <w:rPr>
                <w:rFonts w:ascii="Arial" w:hAnsi="Arial" w:cs="Arial"/>
                <w:color w:val="000000"/>
              </w:rPr>
            </w:pPr>
            <w:r w:rsidRPr="00B8658B">
              <w:rPr>
                <w:rFonts w:ascii="Arial" w:hAnsi="Arial" w:cs="Arial"/>
                <w:color w:val="000000"/>
              </w:rPr>
              <w:t>Conjunctival deposit</w:t>
            </w:r>
          </w:p>
        </w:tc>
        <w:tc>
          <w:tcPr>
            <w:tcW w:w="1880" w:type="dxa"/>
            <w:tcBorders>
              <w:top w:val="nil"/>
              <w:left w:val="nil"/>
              <w:bottom w:val="single" w:sz="4" w:space="0" w:color="auto"/>
              <w:right w:val="single" w:sz="4" w:space="0" w:color="auto"/>
            </w:tcBorders>
            <w:shd w:val="clear" w:color="auto" w:fill="auto"/>
            <w:noWrap/>
            <w:vAlign w:val="center"/>
            <w:hideMark/>
          </w:tcPr>
          <w:p w14:paraId="461D09CF"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630E2E4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3B707872"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25AEE5C0" w14:textId="77777777" w:rsidR="00A923F4" w:rsidRPr="00B8658B" w:rsidRDefault="00A923F4" w:rsidP="00F3252D">
            <w:pPr>
              <w:rPr>
                <w:rFonts w:ascii="Arial" w:hAnsi="Arial" w:cs="Arial"/>
                <w:color w:val="000000"/>
              </w:rPr>
            </w:pPr>
            <w:r w:rsidRPr="00B8658B">
              <w:rPr>
                <w:rFonts w:ascii="Arial" w:hAnsi="Arial" w:cs="Arial"/>
                <w:color w:val="000000"/>
              </w:rPr>
              <w:t>Corneal abrasion</w:t>
            </w:r>
          </w:p>
        </w:tc>
        <w:tc>
          <w:tcPr>
            <w:tcW w:w="1880" w:type="dxa"/>
            <w:tcBorders>
              <w:top w:val="nil"/>
              <w:left w:val="nil"/>
              <w:bottom w:val="single" w:sz="4" w:space="0" w:color="auto"/>
              <w:right w:val="single" w:sz="4" w:space="0" w:color="auto"/>
            </w:tcBorders>
            <w:shd w:val="clear" w:color="auto" w:fill="auto"/>
            <w:noWrap/>
            <w:vAlign w:val="center"/>
            <w:hideMark/>
          </w:tcPr>
          <w:p w14:paraId="41B0AB9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31B3026A"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6FFA4AB0"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4C98261" w14:textId="77777777" w:rsidR="00A923F4" w:rsidRPr="00B8658B" w:rsidRDefault="00A923F4" w:rsidP="00F3252D">
            <w:pPr>
              <w:rPr>
                <w:rFonts w:ascii="Arial" w:hAnsi="Arial" w:cs="Arial"/>
                <w:color w:val="000000"/>
              </w:rPr>
            </w:pPr>
            <w:r w:rsidRPr="00B8658B">
              <w:rPr>
                <w:rFonts w:ascii="Arial" w:hAnsi="Arial" w:cs="Arial"/>
                <w:color w:val="000000"/>
              </w:rPr>
              <w:t>Erythema of eyelid</w:t>
            </w:r>
          </w:p>
        </w:tc>
        <w:tc>
          <w:tcPr>
            <w:tcW w:w="1880" w:type="dxa"/>
            <w:tcBorders>
              <w:top w:val="nil"/>
              <w:left w:val="nil"/>
              <w:bottom w:val="single" w:sz="4" w:space="0" w:color="auto"/>
              <w:right w:val="single" w:sz="4" w:space="0" w:color="auto"/>
            </w:tcBorders>
            <w:shd w:val="clear" w:color="auto" w:fill="auto"/>
            <w:noWrap/>
            <w:vAlign w:val="center"/>
            <w:hideMark/>
          </w:tcPr>
          <w:p w14:paraId="219BC2B2"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6F88D90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3B5006B3"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01032DA" w14:textId="77777777" w:rsidR="00A923F4" w:rsidRPr="00B8658B" w:rsidRDefault="00A923F4" w:rsidP="00F3252D">
            <w:pPr>
              <w:rPr>
                <w:rFonts w:ascii="Arial" w:hAnsi="Arial" w:cs="Arial"/>
                <w:color w:val="000000"/>
              </w:rPr>
            </w:pPr>
            <w:r w:rsidRPr="00B8658B">
              <w:rPr>
                <w:rFonts w:ascii="Arial" w:hAnsi="Arial" w:cs="Arial"/>
                <w:color w:val="000000"/>
              </w:rPr>
              <w:lastRenderedPageBreak/>
              <w:t>Eye irritation</w:t>
            </w:r>
          </w:p>
        </w:tc>
        <w:tc>
          <w:tcPr>
            <w:tcW w:w="1880" w:type="dxa"/>
            <w:tcBorders>
              <w:top w:val="nil"/>
              <w:left w:val="nil"/>
              <w:bottom w:val="single" w:sz="4" w:space="0" w:color="auto"/>
              <w:right w:val="single" w:sz="4" w:space="0" w:color="auto"/>
            </w:tcBorders>
            <w:shd w:val="clear" w:color="auto" w:fill="auto"/>
            <w:noWrap/>
            <w:vAlign w:val="center"/>
            <w:hideMark/>
          </w:tcPr>
          <w:p w14:paraId="387BCB35"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002F8D65"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0D7B5831"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81DE4E9" w14:textId="77777777" w:rsidR="00A923F4" w:rsidRPr="00B8658B" w:rsidRDefault="00A923F4" w:rsidP="00F3252D">
            <w:pPr>
              <w:rPr>
                <w:rFonts w:ascii="Arial" w:hAnsi="Arial" w:cs="Arial"/>
                <w:color w:val="000000"/>
              </w:rPr>
            </w:pPr>
            <w:r w:rsidRPr="00B8658B">
              <w:rPr>
                <w:rFonts w:ascii="Arial" w:hAnsi="Arial" w:cs="Arial"/>
                <w:color w:val="000000"/>
              </w:rPr>
              <w:t>Eye pain</w:t>
            </w:r>
          </w:p>
        </w:tc>
        <w:tc>
          <w:tcPr>
            <w:tcW w:w="1880" w:type="dxa"/>
            <w:tcBorders>
              <w:top w:val="nil"/>
              <w:left w:val="nil"/>
              <w:bottom w:val="single" w:sz="4" w:space="0" w:color="auto"/>
              <w:right w:val="single" w:sz="4" w:space="0" w:color="auto"/>
            </w:tcBorders>
            <w:shd w:val="clear" w:color="auto" w:fill="auto"/>
            <w:noWrap/>
            <w:vAlign w:val="center"/>
            <w:hideMark/>
          </w:tcPr>
          <w:p w14:paraId="7DE38560"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1C809FB3"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58531C56"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4FF31230" w14:textId="77777777" w:rsidR="00A923F4" w:rsidRPr="00B8658B" w:rsidRDefault="00A923F4" w:rsidP="00F3252D">
            <w:pPr>
              <w:rPr>
                <w:rFonts w:ascii="Arial" w:hAnsi="Arial" w:cs="Arial"/>
                <w:color w:val="000000"/>
              </w:rPr>
            </w:pPr>
            <w:r w:rsidRPr="00B8658B">
              <w:rPr>
                <w:rFonts w:ascii="Arial" w:hAnsi="Arial" w:cs="Arial"/>
                <w:color w:val="000000"/>
              </w:rPr>
              <w:t>Eyelid margin crusting</w:t>
            </w:r>
          </w:p>
        </w:tc>
        <w:tc>
          <w:tcPr>
            <w:tcW w:w="1880" w:type="dxa"/>
            <w:tcBorders>
              <w:top w:val="nil"/>
              <w:left w:val="nil"/>
              <w:bottom w:val="single" w:sz="4" w:space="0" w:color="auto"/>
              <w:right w:val="single" w:sz="4" w:space="0" w:color="auto"/>
            </w:tcBorders>
            <w:shd w:val="clear" w:color="auto" w:fill="auto"/>
            <w:noWrap/>
            <w:vAlign w:val="center"/>
            <w:hideMark/>
          </w:tcPr>
          <w:p w14:paraId="3B0D92BB"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12C2DAD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4291C6E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0772F719" w14:textId="77777777" w:rsidR="00A923F4" w:rsidRPr="00B8658B" w:rsidRDefault="00A923F4" w:rsidP="00F3252D">
            <w:pPr>
              <w:rPr>
                <w:rFonts w:ascii="Arial" w:hAnsi="Arial" w:cs="Arial"/>
                <w:color w:val="000000"/>
              </w:rPr>
            </w:pPr>
            <w:r w:rsidRPr="00B8658B">
              <w:rPr>
                <w:rFonts w:ascii="Arial" w:hAnsi="Arial" w:cs="Arial"/>
                <w:color w:val="000000"/>
              </w:rPr>
              <w:t>Glaucoma</w:t>
            </w:r>
          </w:p>
        </w:tc>
        <w:tc>
          <w:tcPr>
            <w:tcW w:w="1880" w:type="dxa"/>
            <w:tcBorders>
              <w:top w:val="nil"/>
              <w:left w:val="nil"/>
              <w:bottom w:val="single" w:sz="4" w:space="0" w:color="auto"/>
              <w:right w:val="single" w:sz="4" w:space="0" w:color="auto"/>
            </w:tcBorders>
            <w:shd w:val="clear" w:color="auto" w:fill="auto"/>
            <w:noWrap/>
            <w:vAlign w:val="center"/>
            <w:hideMark/>
          </w:tcPr>
          <w:p w14:paraId="607E241D"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623C68EA"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2840F79F"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D895DD8" w14:textId="77777777" w:rsidR="00A923F4" w:rsidRPr="00B8658B" w:rsidRDefault="00A923F4" w:rsidP="00F3252D">
            <w:pPr>
              <w:rPr>
                <w:rFonts w:ascii="Arial" w:hAnsi="Arial" w:cs="Arial"/>
                <w:color w:val="000000"/>
              </w:rPr>
            </w:pPr>
            <w:r w:rsidRPr="00B8658B">
              <w:rPr>
                <w:rFonts w:ascii="Arial" w:hAnsi="Arial" w:cs="Arial"/>
                <w:color w:val="000000"/>
              </w:rPr>
              <w:t>Herpes zoster ophthalmic</w:t>
            </w:r>
          </w:p>
        </w:tc>
        <w:tc>
          <w:tcPr>
            <w:tcW w:w="1880" w:type="dxa"/>
            <w:tcBorders>
              <w:top w:val="nil"/>
              <w:left w:val="nil"/>
              <w:bottom w:val="single" w:sz="4" w:space="0" w:color="auto"/>
              <w:right w:val="single" w:sz="4" w:space="0" w:color="auto"/>
            </w:tcBorders>
            <w:shd w:val="clear" w:color="auto" w:fill="auto"/>
            <w:noWrap/>
            <w:vAlign w:val="center"/>
            <w:hideMark/>
          </w:tcPr>
          <w:p w14:paraId="49E208F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7F7E3840"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78AB2B9E"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F6858B7" w14:textId="77777777" w:rsidR="00A923F4" w:rsidRPr="00B8658B" w:rsidRDefault="00A923F4" w:rsidP="00F3252D">
            <w:pPr>
              <w:rPr>
                <w:rFonts w:ascii="Arial" w:hAnsi="Arial" w:cs="Arial"/>
                <w:color w:val="000000"/>
              </w:rPr>
            </w:pPr>
            <w:r w:rsidRPr="00B8658B">
              <w:rPr>
                <w:rFonts w:ascii="Arial" w:hAnsi="Arial" w:cs="Arial"/>
                <w:color w:val="000000"/>
              </w:rPr>
              <w:t>Instillation site dryness</w:t>
            </w:r>
          </w:p>
        </w:tc>
        <w:tc>
          <w:tcPr>
            <w:tcW w:w="1880" w:type="dxa"/>
            <w:tcBorders>
              <w:top w:val="nil"/>
              <w:left w:val="nil"/>
              <w:bottom w:val="single" w:sz="4" w:space="0" w:color="auto"/>
              <w:right w:val="single" w:sz="4" w:space="0" w:color="auto"/>
            </w:tcBorders>
            <w:shd w:val="clear" w:color="auto" w:fill="auto"/>
            <w:noWrap/>
            <w:vAlign w:val="center"/>
            <w:hideMark/>
          </w:tcPr>
          <w:p w14:paraId="41204909"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0E9EAEF8"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22137E3C"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59B55032" w14:textId="77777777" w:rsidR="00A923F4" w:rsidRPr="00B8658B" w:rsidRDefault="00A923F4" w:rsidP="00F3252D">
            <w:pPr>
              <w:rPr>
                <w:rFonts w:ascii="Arial" w:hAnsi="Arial" w:cs="Arial"/>
                <w:color w:val="000000"/>
              </w:rPr>
            </w:pPr>
            <w:r w:rsidRPr="00B8658B">
              <w:rPr>
                <w:rFonts w:ascii="Arial" w:hAnsi="Arial" w:cs="Arial"/>
                <w:color w:val="000000"/>
              </w:rPr>
              <w:t>Instillation site erythema</w:t>
            </w:r>
          </w:p>
        </w:tc>
        <w:tc>
          <w:tcPr>
            <w:tcW w:w="1880" w:type="dxa"/>
            <w:tcBorders>
              <w:top w:val="nil"/>
              <w:left w:val="nil"/>
              <w:bottom w:val="single" w:sz="4" w:space="0" w:color="auto"/>
              <w:right w:val="single" w:sz="4" w:space="0" w:color="auto"/>
            </w:tcBorders>
            <w:shd w:val="clear" w:color="auto" w:fill="auto"/>
            <w:noWrap/>
            <w:vAlign w:val="center"/>
            <w:hideMark/>
          </w:tcPr>
          <w:p w14:paraId="1BD27B7D"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74D81E68"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30C478B5"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60DE806A" w14:textId="77777777" w:rsidR="00A923F4" w:rsidRPr="00B8658B" w:rsidRDefault="00A923F4" w:rsidP="00F3252D">
            <w:pPr>
              <w:rPr>
                <w:rFonts w:ascii="Arial" w:hAnsi="Arial" w:cs="Arial"/>
                <w:color w:val="000000"/>
              </w:rPr>
            </w:pPr>
            <w:r w:rsidRPr="00B8658B">
              <w:rPr>
                <w:rFonts w:ascii="Arial" w:hAnsi="Arial" w:cs="Arial"/>
                <w:color w:val="000000"/>
              </w:rPr>
              <w:t>Lenticular opacities</w:t>
            </w:r>
          </w:p>
        </w:tc>
        <w:tc>
          <w:tcPr>
            <w:tcW w:w="1880" w:type="dxa"/>
            <w:tcBorders>
              <w:top w:val="nil"/>
              <w:left w:val="nil"/>
              <w:bottom w:val="single" w:sz="4" w:space="0" w:color="auto"/>
              <w:right w:val="single" w:sz="4" w:space="0" w:color="auto"/>
            </w:tcBorders>
            <w:shd w:val="clear" w:color="auto" w:fill="auto"/>
            <w:noWrap/>
            <w:vAlign w:val="center"/>
            <w:hideMark/>
          </w:tcPr>
          <w:p w14:paraId="52F13A53"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0B575780"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1176F8C5"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C577BDC" w14:textId="77777777" w:rsidR="00A923F4" w:rsidRPr="00B8658B" w:rsidRDefault="00A923F4" w:rsidP="00F3252D">
            <w:pPr>
              <w:rPr>
                <w:rFonts w:ascii="Arial" w:hAnsi="Arial" w:cs="Arial"/>
                <w:color w:val="000000"/>
              </w:rPr>
            </w:pPr>
            <w:r w:rsidRPr="00B8658B">
              <w:rPr>
                <w:rFonts w:ascii="Arial" w:hAnsi="Arial" w:cs="Arial"/>
                <w:color w:val="000000"/>
              </w:rPr>
              <w:t>Papilloma conjunctival</w:t>
            </w:r>
          </w:p>
        </w:tc>
        <w:tc>
          <w:tcPr>
            <w:tcW w:w="1880" w:type="dxa"/>
            <w:tcBorders>
              <w:top w:val="nil"/>
              <w:left w:val="nil"/>
              <w:bottom w:val="single" w:sz="4" w:space="0" w:color="auto"/>
              <w:right w:val="single" w:sz="4" w:space="0" w:color="auto"/>
            </w:tcBorders>
            <w:shd w:val="clear" w:color="auto" w:fill="auto"/>
            <w:noWrap/>
            <w:vAlign w:val="center"/>
            <w:hideMark/>
          </w:tcPr>
          <w:p w14:paraId="4337AB65"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49B720ED"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2F4B232D"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1C325AC9" w14:textId="77777777" w:rsidR="00A923F4" w:rsidRPr="00B8658B" w:rsidRDefault="00A923F4" w:rsidP="00F3252D">
            <w:pPr>
              <w:rPr>
                <w:rFonts w:ascii="Arial" w:hAnsi="Arial" w:cs="Arial"/>
                <w:color w:val="000000"/>
              </w:rPr>
            </w:pPr>
            <w:r w:rsidRPr="00B8658B">
              <w:rPr>
                <w:rFonts w:ascii="Arial" w:hAnsi="Arial" w:cs="Arial"/>
                <w:color w:val="000000"/>
              </w:rPr>
              <w:t>Photophobia</w:t>
            </w:r>
          </w:p>
        </w:tc>
        <w:tc>
          <w:tcPr>
            <w:tcW w:w="1880" w:type="dxa"/>
            <w:tcBorders>
              <w:top w:val="nil"/>
              <w:left w:val="nil"/>
              <w:bottom w:val="single" w:sz="4" w:space="0" w:color="auto"/>
              <w:right w:val="single" w:sz="4" w:space="0" w:color="auto"/>
            </w:tcBorders>
            <w:shd w:val="clear" w:color="auto" w:fill="auto"/>
            <w:noWrap/>
            <w:vAlign w:val="center"/>
            <w:hideMark/>
          </w:tcPr>
          <w:p w14:paraId="52D193DB"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4D22134C"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17890850"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09143A5" w14:textId="77777777" w:rsidR="00A923F4" w:rsidRPr="00B8658B" w:rsidRDefault="00A923F4" w:rsidP="00F3252D">
            <w:pPr>
              <w:rPr>
                <w:rFonts w:ascii="Arial" w:hAnsi="Arial" w:cs="Arial"/>
                <w:color w:val="000000"/>
              </w:rPr>
            </w:pPr>
            <w:r w:rsidRPr="00B8658B">
              <w:rPr>
                <w:rFonts w:ascii="Arial" w:hAnsi="Arial" w:cs="Arial"/>
                <w:color w:val="000000"/>
              </w:rPr>
              <w:t>Pseudoexfoliation syndrome</w:t>
            </w:r>
          </w:p>
        </w:tc>
        <w:tc>
          <w:tcPr>
            <w:tcW w:w="1880" w:type="dxa"/>
            <w:tcBorders>
              <w:top w:val="nil"/>
              <w:left w:val="nil"/>
              <w:bottom w:val="single" w:sz="4" w:space="0" w:color="auto"/>
              <w:right w:val="single" w:sz="4" w:space="0" w:color="auto"/>
            </w:tcBorders>
            <w:shd w:val="clear" w:color="auto" w:fill="auto"/>
            <w:noWrap/>
            <w:vAlign w:val="center"/>
            <w:hideMark/>
          </w:tcPr>
          <w:p w14:paraId="0FDD0A07"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2DD67667"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r w:rsidR="00A923F4" w:rsidRPr="00B8658B" w14:paraId="0DDD7630" w14:textId="77777777" w:rsidTr="00F3252D">
        <w:trPr>
          <w:trHeight w:val="320"/>
        </w:trPr>
        <w:tc>
          <w:tcPr>
            <w:tcW w:w="3886" w:type="dxa"/>
            <w:tcBorders>
              <w:top w:val="nil"/>
              <w:left w:val="single" w:sz="4" w:space="0" w:color="auto"/>
              <w:bottom w:val="single" w:sz="4" w:space="0" w:color="auto"/>
              <w:right w:val="single" w:sz="4" w:space="0" w:color="auto"/>
            </w:tcBorders>
            <w:shd w:val="clear" w:color="auto" w:fill="auto"/>
            <w:noWrap/>
            <w:vAlign w:val="center"/>
            <w:hideMark/>
          </w:tcPr>
          <w:p w14:paraId="7F10B60E" w14:textId="77777777" w:rsidR="00A923F4" w:rsidRPr="00B8658B" w:rsidRDefault="00A923F4" w:rsidP="00F3252D">
            <w:pPr>
              <w:rPr>
                <w:rFonts w:ascii="Arial" w:hAnsi="Arial" w:cs="Arial"/>
                <w:color w:val="000000"/>
              </w:rPr>
            </w:pPr>
            <w:r w:rsidRPr="00B8658B">
              <w:rPr>
                <w:rFonts w:ascii="Arial" w:hAnsi="Arial" w:cs="Arial"/>
                <w:color w:val="000000"/>
              </w:rPr>
              <w:t>Retinal degeneration</w:t>
            </w:r>
          </w:p>
        </w:tc>
        <w:tc>
          <w:tcPr>
            <w:tcW w:w="1880" w:type="dxa"/>
            <w:tcBorders>
              <w:top w:val="nil"/>
              <w:left w:val="nil"/>
              <w:bottom w:val="single" w:sz="4" w:space="0" w:color="auto"/>
              <w:right w:val="single" w:sz="4" w:space="0" w:color="auto"/>
            </w:tcBorders>
            <w:shd w:val="clear" w:color="auto" w:fill="auto"/>
            <w:noWrap/>
            <w:vAlign w:val="center"/>
            <w:hideMark/>
          </w:tcPr>
          <w:p w14:paraId="3F2544DA" w14:textId="77777777" w:rsidR="00A923F4" w:rsidRPr="00B8658B" w:rsidRDefault="00A923F4" w:rsidP="00F3252D">
            <w:pPr>
              <w:jc w:val="center"/>
              <w:rPr>
                <w:rFonts w:ascii="Arial" w:hAnsi="Arial" w:cs="Arial"/>
                <w:color w:val="000000"/>
              </w:rPr>
            </w:pPr>
            <w:r w:rsidRPr="00B8658B">
              <w:rPr>
                <w:rFonts w:ascii="Arial" w:hAnsi="Arial" w:cs="Arial"/>
                <w:color w:val="000000"/>
              </w:rPr>
              <w:t>–</w:t>
            </w:r>
          </w:p>
        </w:tc>
        <w:tc>
          <w:tcPr>
            <w:tcW w:w="1780" w:type="dxa"/>
            <w:tcBorders>
              <w:top w:val="nil"/>
              <w:left w:val="nil"/>
              <w:bottom w:val="single" w:sz="4" w:space="0" w:color="auto"/>
              <w:right w:val="single" w:sz="4" w:space="0" w:color="auto"/>
            </w:tcBorders>
            <w:shd w:val="clear" w:color="auto" w:fill="auto"/>
            <w:noWrap/>
            <w:vAlign w:val="center"/>
            <w:hideMark/>
          </w:tcPr>
          <w:p w14:paraId="13CF2C26" w14:textId="77777777" w:rsidR="00A923F4" w:rsidRPr="00B8658B" w:rsidRDefault="00A923F4" w:rsidP="00F3252D">
            <w:pPr>
              <w:jc w:val="center"/>
              <w:rPr>
                <w:rFonts w:ascii="Arial" w:hAnsi="Arial" w:cs="Arial"/>
                <w:color w:val="000000"/>
              </w:rPr>
            </w:pPr>
            <w:r w:rsidRPr="00B8658B">
              <w:rPr>
                <w:rFonts w:ascii="Arial" w:hAnsi="Arial" w:cs="Arial"/>
                <w:color w:val="000000"/>
              </w:rPr>
              <w:t>1 (0.6)</w:t>
            </w:r>
          </w:p>
        </w:tc>
      </w:tr>
    </w:tbl>
    <w:p w14:paraId="040BD4C0" w14:textId="77777777" w:rsidR="00A923F4" w:rsidRPr="00B8658B" w:rsidRDefault="00A923F4" w:rsidP="00A923F4">
      <w:pPr>
        <w:rPr>
          <w:rFonts w:ascii="Arial" w:hAnsi="Arial" w:cs="Arial"/>
          <w:color w:val="000000"/>
          <w:sz w:val="18"/>
          <w:szCs w:val="18"/>
        </w:rPr>
      </w:pPr>
      <w:r w:rsidRPr="00B8658B">
        <w:rPr>
          <w:rFonts w:ascii="Arial" w:hAnsi="Arial" w:cs="Arial"/>
          <w:color w:val="000000"/>
          <w:sz w:val="18"/>
          <w:szCs w:val="18"/>
        </w:rPr>
        <w:t>Abbreviations: BAK, benzalkonium chloride; BPL, BAK-preserved latanoprost 0.005%; T2345, preservative-free single-dose latanoprost 0.005%.</w:t>
      </w:r>
    </w:p>
    <w:p w14:paraId="54ED7DE6" w14:textId="77777777" w:rsidR="00A923F4" w:rsidRPr="00B8658B" w:rsidRDefault="00A923F4" w:rsidP="00A923F4">
      <w:pPr>
        <w:rPr>
          <w:rFonts w:ascii="Arial" w:hAnsi="Arial" w:cs="Arial"/>
          <w:color w:val="000000"/>
          <w:sz w:val="18"/>
          <w:szCs w:val="18"/>
        </w:rPr>
      </w:pPr>
    </w:p>
    <w:p w14:paraId="3603CA94" w14:textId="77777777" w:rsidR="00A923F4" w:rsidRPr="00B8658B" w:rsidRDefault="00A923F4" w:rsidP="00A923F4">
      <w:pPr>
        <w:rPr>
          <w:rFonts w:ascii="Arial" w:hAnsi="Arial"/>
          <w:color w:val="000000"/>
        </w:rPr>
      </w:pPr>
    </w:p>
    <w:p w14:paraId="4A7F6A6E" w14:textId="77777777" w:rsidR="0001336D" w:rsidRPr="00B8658B" w:rsidRDefault="0001336D">
      <w:pPr>
        <w:rPr>
          <w:color w:val="000000"/>
        </w:rPr>
      </w:pPr>
    </w:p>
    <w:sectPr w:rsidR="0001336D" w:rsidRPr="00B8658B" w:rsidSect="001B0A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4E95D" w14:textId="77777777" w:rsidR="00C4615D" w:rsidRDefault="00C4615D">
      <w:r>
        <w:separator/>
      </w:r>
    </w:p>
  </w:endnote>
  <w:endnote w:type="continuationSeparator" w:id="0">
    <w:p w14:paraId="1AD2CD20" w14:textId="77777777" w:rsidR="00C4615D" w:rsidRDefault="00C46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997432"/>
      <w:docPartObj>
        <w:docPartGallery w:val="Page Numbers (Bottom of Page)"/>
        <w:docPartUnique/>
      </w:docPartObj>
    </w:sdtPr>
    <w:sdtEndPr>
      <w:rPr>
        <w:noProof/>
      </w:rPr>
    </w:sdtEndPr>
    <w:sdtContent>
      <w:p w14:paraId="4C428A9D" w14:textId="77777777" w:rsidR="00046B05" w:rsidRDefault="001B0A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C74A4" w14:textId="77777777" w:rsidR="00046B05" w:rsidRDefault="00B86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89E2" w14:textId="77777777" w:rsidR="00C4615D" w:rsidRDefault="00C4615D">
      <w:r>
        <w:separator/>
      </w:r>
    </w:p>
  </w:footnote>
  <w:footnote w:type="continuationSeparator" w:id="0">
    <w:p w14:paraId="45D17BF2" w14:textId="77777777" w:rsidR="00C4615D" w:rsidRDefault="00C46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68F3"/>
    <w:multiLevelType w:val="hybridMultilevel"/>
    <w:tmpl w:val="6AE89FB2"/>
    <w:lvl w:ilvl="0" w:tplc="D9B82996">
      <w:start w:val="1"/>
      <w:numFmt w:val="decimal"/>
      <w:lvlText w:val="%1."/>
      <w:lvlJc w:val="left"/>
      <w:pPr>
        <w:ind w:left="940" w:hanging="360"/>
      </w:pPr>
      <w:rPr>
        <w:rFonts w:ascii="Arial" w:eastAsia="Times New Roman" w:hAnsi="Arial" w:cs="Arial" w:hint="default"/>
        <w:b w:val="0"/>
        <w:bCs w:val="0"/>
        <w:i w:val="0"/>
        <w:iCs w:val="0"/>
        <w:w w:val="100"/>
        <w:sz w:val="24"/>
        <w:szCs w:val="24"/>
        <w:lang w:val="en-US" w:eastAsia="en-US" w:bidi="ar-SA"/>
      </w:rPr>
    </w:lvl>
    <w:lvl w:ilvl="1" w:tplc="3892CA7A">
      <w:numFmt w:val="bullet"/>
      <w:lvlText w:val="•"/>
      <w:lvlJc w:val="left"/>
      <w:pPr>
        <w:ind w:left="1826" w:hanging="360"/>
      </w:pPr>
      <w:rPr>
        <w:rFonts w:hint="default"/>
        <w:lang w:val="en-US" w:eastAsia="en-US" w:bidi="ar-SA"/>
      </w:rPr>
    </w:lvl>
    <w:lvl w:ilvl="2" w:tplc="383E30EC">
      <w:numFmt w:val="bullet"/>
      <w:lvlText w:val="•"/>
      <w:lvlJc w:val="left"/>
      <w:pPr>
        <w:ind w:left="2712" w:hanging="360"/>
      </w:pPr>
      <w:rPr>
        <w:rFonts w:hint="default"/>
        <w:lang w:val="en-US" w:eastAsia="en-US" w:bidi="ar-SA"/>
      </w:rPr>
    </w:lvl>
    <w:lvl w:ilvl="3" w:tplc="4DBA3EBC">
      <w:numFmt w:val="bullet"/>
      <w:lvlText w:val="•"/>
      <w:lvlJc w:val="left"/>
      <w:pPr>
        <w:ind w:left="3598" w:hanging="360"/>
      </w:pPr>
      <w:rPr>
        <w:rFonts w:hint="default"/>
        <w:lang w:val="en-US" w:eastAsia="en-US" w:bidi="ar-SA"/>
      </w:rPr>
    </w:lvl>
    <w:lvl w:ilvl="4" w:tplc="3A52E41A">
      <w:numFmt w:val="bullet"/>
      <w:lvlText w:val="•"/>
      <w:lvlJc w:val="left"/>
      <w:pPr>
        <w:ind w:left="4484" w:hanging="360"/>
      </w:pPr>
      <w:rPr>
        <w:rFonts w:hint="default"/>
        <w:lang w:val="en-US" w:eastAsia="en-US" w:bidi="ar-SA"/>
      </w:rPr>
    </w:lvl>
    <w:lvl w:ilvl="5" w:tplc="73FE75AE">
      <w:numFmt w:val="bullet"/>
      <w:lvlText w:val="•"/>
      <w:lvlJc w:val="left"/>
      <w:pPr>
        <w:ind w:left="5370" w:hanging="360"/>
      </w:pPr>
      <w:rPr>
        <w:rFonts w:hint="default"/>
        <w:lang w:val="en-US" w:eastAsia="en-US" w:bidi="ar-SA"/>
      </w:rPr>
    </w:lvl>
    <w:lvl w:ilvl="6" w:tplc="1496024A">
      <w:numFmt w:val="bullet"/>
      <w:lvlText w:val="•"/>
      <w:lvlJc w:val="left"/>
      <w:pPr>
        <w:ind w:left="6256" w:hanging="360"/>
      </w:pPr>
      <w:rPr>
        <w:rFonts w:hint="default"/>
        <w:lang w:val="en-US" w:eastAsia="en-US" w:bidi="ar-SA"/>
      </w:rPr>
    </w:lvl>
    <w:lvl w:ilvl="7" w:tplc="4B6E498A">
      <w:numFmt w:val="bullet"/>
      <w:lvlText w:val="•"/>
      <w:lvlJc w:val="left"/>
      <w:pPr>
        <w:ind w:left="7142" w:hanging="360"/>
      </w:pPr>
      <w:rPr>
        <w:rFonts w:hint="default"/>
        <w:lang w:val="en-US" w:eastAsia="en-US" w:bidi="ar-SA"/>
      </w:rPr>
    </w:lvl>
    <w:lvl w:ilvl="8" w:tplc="939EAECA">
      <w:numFmt w:val="bullet"/>
      <w:lvlText w:val="•"/>
      <w:lvlJc w:val="left"/>
      <w:pPr>
        <w:ind w:left="8028" w:hanging="360"/>
      </w:pPr>
      <w:rPr>
        <w:rFonts w:hint="default"/>
        <w:lang w:val="en-US" w:eastAsia="en-US" w:bidi="ar-SA"/>
      </w:rPr>
    </w:lvl>
  </w:abstractNum>
  <w:abstractNum w:abstractNumId="1" w15:restartNumberingAfterBreak="0">
    <w:nsid w:val="6038202D"/>
    <w:multiLevelType w:val="hybridMultilevel"/>
    <w:tmpl w:val="3BB4DA36"/>
    <w:lvl w:ilvl="0" w:tplc="F2E83220">
      <w:start w:val="1"/>
      <w:numFmt w:val="decimal"/>
      <w:lvlText w:val="%1."/>
      <w:lvlJc w:val="left"/>
      <w:pPr>
        <w:ind w:left="940" w:hanging="360"/>
      </w:pPr>
      <w:rPr>
        <w:rFonts w:ascii="Arial" w:eastAsia="Times New Roman" w:hAnsi="Arial" w:cs="Arial" w:hint="default"/>
        <w:b w:val="0"/>
        <w:bCs w:val="0"/>
        <w:i w:val="0"/>
        <w:iCs w:val="0"/>
        <w:w w:val="100"/>
        <w:sz w:val="24"/>
        <w:szCs w:val="24"/>
        <w:lang w:val="en-US" w:eastAsia="en-US" w:bidi="ar-SA"/>
      </w:rPr>
    </w:lvl>
    <w:lvl w:ilvl="1" w:tplc="3A96F372">
      <w:numFmt w:val="bullet"/>
      <w:lvlText w:val=""/>
      <w:lvlJc w:val="left"/>
      <w:pPr>
        <w:ind w:left="1660" w:hanging="360"/>
      </w:pPr>
      <w:rPr>
        <w:rFonts w:ascii="Symbol" w:eastAsia="Symbol" w:hAnsi="Symbol" w:cs="Symbol" w:hint="default"/>
        <w:b w:val="0"/>
        <w:bCs w:val="0"/>
        <w:i w:val="0"/>
        <w:iCs w:val="0"/>
        <w:w w:val="91"/>
        <w:sz w:val="24"/>
        <w:szCs w:val="24"/>
        <w:lang w:val="en-US" w:eastAsia="en-US" w:bidi="ar-SA"/>
      </w:rPr>
    </w:lvl>
    <w:lvl w:ilvl="2" w:tplc="16B68CA6">
      <w:numFmt w:val="bullet"/>
      <w:lvlText w:val="•"/>
      <w:lvlJc w:val="left"/>
      <w:pPr>
        <w:ind w:left="2564" w:hanging="360"/>
      </w:pPr>
      <w:rPr>
        <w:rFonts w:hint="default"/>
        <w:lang w:val="en-US" w:eastAsia="en-US" w:bidi="ar-SA"/>
      </w:rPr>
    </w:lvl>
    <w:lvl w:ilvl="3" w:tplc="65F87BD8">
      <w:numFmt w:val="bullet"/>
      <w:lvlText w:val="•"/>
      <w:lvlJc w:val="left"/>
      <w:pPr>
        <w:ind w:left="3468" w:hanging="360"/>
      </w:pPr>
      <w:rPr>
        <w:rFonts w:hint="default"/>
        <w:lang w:val="en-US" w:eastAsia="en-US" w:bidi="ar-SA"/>
      </w:rPr>
    </w:lvl>
    <w:lvl w:ilvl="4" w:tplc="89D66A70">
      <w:numFmt w:val="bullet"/>
      <w:lvlText w:val="•"/>
      <w:lvlJc w:val="left"/>
      <w:pPr>
        <w:ind w:left="4373" w:hanging="360"/>
      </w:pPr>
      <w:rPr>
        <w:rFonts w:hint="default"/>
        <w:lang w:val="en-US" w:eastAsia="en-US" w:bidi="ar-SA"/>
      </w:rPr>
    </w:lvl>
    <w:lvl w:ilvl="5" w:tplc="E304B808">
      <w:numFmt w:val="bullet"/>
      <w:lvlText w:val="•"/>
      <w:lvlJc w:val="left"/>
      <w:pPr>
        <w:ind w:left="5277" w:hanging="360"/>
      </w:pPr>
      <w:rPr>
        <w:rFonts w:hint="default"/>
        <w:lang w:val="en-US" w:eastAsia="en-US" w:bidi="ar-SA"/>
      </w:rPr>
    </w:lvl>
    <w:lvl w:ilvl="6" w:tplc="A0984DB8">
      <w:numFmt w:val="bullet"/>
      <w:lvlText w:val="•"/>
      <w:lvlJc w:val="left"/>
      <w:pPr>
        <w:ind w:left="6182" w:hanging="360"/>
      </w:pPr>
      <w:rPr>
        <w:rFonts w:hint="default"/>
        <w:lang w:val="en-US" w:eastAsia="en-US" w:bidi="ar-SA"/>
      </w:rPr>
    </w:lvl>
    <w:lvl w:ilvl="7" w:tplc="F948D176">
      <w:numFmt w:val="bullet"/>
      <w:lvlText w:val="•"/>
      <w:lvlJc w:val="left"/>
      <w:pPr>
        <w:ind w:left="7086" w:hanging="360"/>
      </w:pPr>
      <w:rPr>
        <w:rFonts w:hint="default"/>
        <w:lang w:val="en-US" w:eastAsia="en-US" w:bidi="ar-SA"/>
      </w:rPr>
    </w:lvl>
    <w:lvl w:ilvl="8" w:tplc="5D1E9D90">
      <w:numFmt w:val="bullet"/>
      <w:lvlText w:val="•"/>
      <w:lvlJc w:val="left"/>
      <w:pPr>
        <w:ind w:left="7991" w:hanging="360"/>
      </w:pPr>
      <w:rPr>
        <w:rFonts w:hint="default"/>
        <w:lang w:val="en-US" w:eastAsia="en-US" w:bidi="ar-SA"/>
      </w:rPr>
    </w:lvl>
  </w:abstractNum>
  <w:num w:numId="1" w16cid:durableId="2027053807">
    <w:abstractNumId w:val="1"/>
  </w:num>
  <w:num w:numId="2" w16cid:durableId="969748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F4"/>
    <w:rsid w:val="0001336D"/>
    <w:rsid w:val="001B0AB0"/>
    <w:rsid w:val="001D7623"/>
    <w:rsid w:val="002730A3"/>
    <w:rsid w:val="00473EB4"/>
    <w:rsid w:val="00547092"/>
    <w:rsid w:val="005917EF"/>
    <w:rsid w:val="006B0970"/>
    <w:rsid w:val="00A15F99"/>
    <w:rsid w:val="00A923F4"/>
    <w:rsid w:val="00B8658B"/>
    <w:rsid w:val="00BF6461"/>
    <w:rsid w:val="00C27A64"/>
    <w:rsid w:val="00C4615D"/>
    <w:rsid w:val="00F8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6F77"/>
  <w15:chartTrackingRefBased/>
  <w15:docId w15:val="{9BA4E7F2-222E-4288-B672-DE5D4427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F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923F4"/>
    <w:pPr>
      <w:spacing w:line="360" w:lineRule="auto"/>
      <w:ind w:left="720"/>
      <w:contextualSpacing/>
    </w:pPr>
    <w:rPr>
      <w:rFonts w:ascii="Arial" w:eastAsiaTheme="minorHAnsi" w:hAnsi="Arial" w:cs="Arial"/>
      <w:lang w:eastAsia="en-US"/>
    </w:rPr>
  </w:style>
  <w:style w:type="paragraph" w:styleId="Footer">
    <w:name w:val="footer"/>
    <w:basedOn w:val="Normal"/>
    <w:link w:val="FooterChar"/>
    <w:uiPriority w:val="99"/>
    <w:unhideWhenUsed/>
    <w:rsid w:val="00A923F4"/>
    <w:pPr>
      <w:tabs>
        <w:tab w:val="center" w:pos="4680"/>
        <w:tab w:val="right" w:pos="9360"/>
      </w:tabs>
    </w:pPr>
    <w:rPr>
      <w:rFonts w:ascii="Arial" w:eastAsiaTheme="minorHAnsi" w:hAnsi="Arial" w:cs="Arial"/>
      <w:lang w:eastAsia="en-US"/>
    </w:rPr>
  </w:style>
  <w:style w:type="character" w:customStyle="1" w:styleId="FooterChar">
    <w:name w:val="Footer Char"/>
    <w:basedOn w:val="DefaultParagraphFont"/>
    <w:link w:val="Footer"/>
    <w:uiPriority w:val="99"/>
    <w:rsid w:val="00A923F4"/>
    <w:rPr>
      <w:rFonts w:ascii="Arial" w:hAnsi="Arial" w:cs="Arial"/>
      <w:sz w:val="24"/>
      <w:szCs w:val="24"/>
    </w:rPr>
  </w:style>
  <w:style w:type="character" w:customStyle="1" w:styleId="cf01">
    <w:name w:val="cf01"/>
    <w:basedOn w:val="DefaultParagraphFont"/>
    <w:rsid w:val="00A923F4"/>
    <w:rPr>
      <w:rFonts w:ascii="Segoe UI" w:hAnsi="Segoe UI" w:cs="Segoe UI" w:hint="default"/>
      <w:sz w:val="18"/>
      <w:szCs w:val="18"/>
      <w:shd w:val="clear" w:color="auto" w:fill="00FF00"/>
    </w:rPr>
  </w:style>
  <w:style w:type="character" w:styleId="LineNumber">
    <w:name w:val="line number"/>
    <w:basedOn w:val="DefaultParagraphFont"/>
    <w:uiPriority w:val="99"/>
    <w:semiHidden/>
    <w:unhideWhenUsed/>
    <w:rsid w:val="00A923F4"/>
  </w:style>
  <w:style w:type="character" w:styleId="CommentReference">
    <w:name w:val="annotation reference"/>
    <w:basedOn w:val="DefaultParagraphFont"/>
    <w:uiPriority w:val="99"/>
    <w:semiHidden/>
    <w:unhideWhenUsed/>
    <w:rsid w:val="00C27A64"/>
    <w:rPr>
      <w:sz w:val="16"/>
      <w:szCs w:val="16"/>
    </w:rPr>
  </w:style>
  <w:style w:type="paragraph" w:styleId="CommentText">
    <w:name w:val="annotation text"/>
    <w:basedOn w:val="Normal"/>
    <w:link w:val="CommentTextChar"/>
    <w:uiPriority w:val="99"/>
    <w:semiHidden/>
    <w:unhideWhenUsed/>
    <w:rsid w:val="00C27A64"/>
    <w:rPr>
      <w:sz w:val="20"/>
      <w:szCs w:val="20"/>
    </w:rPr>
  </w:style>
  <w:style w:type="character" w:customStyle="1" w:styleId="CommentTextChar">
    <w:name w:val="Comment Text Char"/>
    <w:basedOn w:val="DefaultParagraphFont"/>
    <w:link w:val="CommentText"/>
    <w:uiPriority w:val="99"/>
    <w:semiHidden/>
    <w:rsid w:val="00C27A6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7A64"/>
    <w:rPr>
      <w:b/>
      <w:bCs/>
    </w:rPr>
  </w:style>
  <w:style w:type="character" w:customStyle="1" w:styleId="CommentSubjectChar">
    <w:name w:val="Comment Subject Char"/>
    <w:basedOn w:val="CommentTextChar"/>
    <w:link w:val="CommentSubject"/>
    <w:uiPriority w:val="99"/>
    <w:semiHidden/>
    <w:rsid w:val="00C27A6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1D7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623"/>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EZT</dc:creator>
  <cp:keywords/>
  <dc:description/>
  <cp:lastModifiedBy>Hardgrave, Melissa</cp:lastModifiedBy>
  <cp:revision>2</cp:revision>
  <dcterms:created xsi:type="dcterms:W3CDTF">2023-07-20T04:00:00Z</dcterms:created>
  <dcterms:modified xsi:type="dcterms:W3CDTF">2023-07-20T04:00:00Z</dcterms:modified>
</cp:coreProperties>
</file>