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54AE5DD" w14:textId="2C40F2AA" w:rsidR="00460643" w:rsidRDefault="0094076E">
      <w:pPr>
        <w:pStyle w:val="MDPI62BackMatter"/>
        <w:spacing w:before="240" w:line="360" w:lineRule="auto"/>
        <w:ind w:left="0"/>
        <w:rPr>
          <w:rFonts w:ascii="Times New Roman" w:hAnsi="Times New Roman"/>
        </w:rPr>
      </w:pPr>
      <w:r>
        <w:rPr>
          <w:rFonts w:ascii="Times New Roman" w:hAnsi="Times New Roman"/>
        </w:rPr>
        <w:t xml:space="preserve"> </w:t>
      </w:r>
      <w:r>
        <w:rPr>
          <w:rFonts w:ascii="Times New Roman" w:hAnsi="Times New Roman"/>
          <w:noProof/>
        </w:rPr>
        <w:drawing>
          <wp:inline distT="0" distB="0" distL="114300" distR="114300" wp14:anchorId="13ACABC5" wp14:editId="62467078">
            <wp:extent cx="4909820" cy="6548120"/>
            <wp:effectExtent l="0" t="0" r="12700" b="5080"/>
            <wp:docPr id="1" name="图片 1" descr="Supplementary file  S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Supplementary file  S1_01"/>
                    <pic:cNvPicPr>
                      <a:picLocks noChangeAspect="1"/>
                    </pic:cNvPicPr>
                  </pic:nvPicPr>
                  <pic:blipFill>
                    <a:blip r:embed="rId7"/>
                    <a:stretch>
                      <a:fillRect/>
                    </a:stretch>
                  </pic:blipFill>
                  <pic:spPr>
                    <a:xfrm>
                      <a:off x="0" y="0"/>
                      <a:ext cx="4909820" cy="6548120"/>
                    </a:xfrm>
                    <a:prstGeom prst="rect">
                      <a:avLst/>
                    </a:prstGeom>
                  </pic:spPr>
                </pic:pic>
              </a:graphicData>
            </a:graphic>
          </wp:inline>
        </w:drawing>
      </w:r>
      <w:r>
        <w:rPr>
          <w:rFonts w:ascii="Times New Roman" w:hAnsi="Times New Roman"/>
        </w:rPr>
        <w:t xml:space="preserve"> Supplementary </w:t>
      </w:r>
      <w:r w:rsidR="002831ED">
        <w:rPr>
          <w:rFonts w:ascii="Times New Roman" w:hAnsi="Times New Roman"/>
        </w:rPr>
        <w:t>figure</w:t>
      </w:r>
      <w:r>
        <w:rPr>
          <w:rFonts w:ascii="Times New Roman" w:hAnsi="Times New Roman"/>
        </w:rPr>
        <w:t xml:space="preserve"> 1. Polarization and calcification of macrophage subtypes (ANOVA, </w:t>
      </w:r>
      <w:r>
        <w:rPr>
          <w:rFonts w:asciiTheme="minorEastAsia" w:eastAsiaTheme="minorEastAsia" w:hAnsiTheme="minorEastAsia"/>
        </w:rPr>
        <w:t>**</w:t>
      </w:r>
      <w:r>
        <w:rPr>
          <w:rFonts w:ascii="Times New Roman" w:hAnsi="Times New Roman"/>
        </w:rPr>
        <w:t xml:space="preserve"> stands for </w:t>
      </w:r>
      <w:r>
        <w:rPr>
          <w:rFonts w:ascii="Times New Roman" w:hAnsi="Times New Roman"/>
          <w:i/>
          <w:iCs/>
        </w:rPr>
        <w:t>p</w:t>
      </w:r>
      <w:r>
        <w:rPr>
          <w:rFonts w:ascii="Times New Roman" w:hAnsi="Times New Roman"/>
        </w:rPr>
        <w:t xml:space="preserve">&lt;0.01, </w:t>
      </w:r>
      <w:r>
        <w:rPr>
          <w:rFonts w:asciiTheme="minorEastAsia" w:eastAsiaTheme="minorEastAsia" w:hAnsiTheme="minorEastAsia"/>
        </w:rPr>
        <w:t xml:space="preserve">*** </w:t>
      </w:r>
      <w:r>
        <w:rPr>
          <w:rFonts w:ascii="Times New Roman" w:hAnsi="Times New Roman"/>
        </w:rPr>
        <w:t>stands for</w:t>
      </w:r>
      <w:r>
        <w:rPr>
          <w:rFonts w:ascii="Times New Roman" w:hAnsi="Times New Roman"/>
          <w:i/>
          <w:iCs/>
        </w:rPr>
        <w:t xml:space="preserve"> p</w:t>
      </w:r>
      <w:r>
        <w:rPr>
          <w:rFonts w:ascii="Times New Roman" w:hAnsi="Times New Roman"/>
        </w:rPr>
        <w:t xml:space="preserve"> &lt;0.001, and </w:t>
      </w:r>
      <w:r>
        <w:rPr>
          <w:rFonts w:asciiTheme="minorEastAsia" w:eastAsiaTheme="minorEastAsia" w:hAnsiTheme="minorEastAsia"/>
        </w:rPr>
        <w:t>****</w:t>
      </w:r>
      <w:r>
        <w:rPr>
          <w:rFonts w:ascii="Times New Roman" w:hAnsi="Times New Roman"/>
        </w:rPr>
        <w:t xml:space="preserve"> stands for </w:t>
      </w:r>
      <w:r>
        <w:rPr>
          <w:rFonts w:ascii="Times New Roman" w:hAnsi="Times New Roman"/>
          <w:i/>
          <w:iCs/>
        </w:rPr>
        <w:t>p</w:t>
      </w:r>
      <w:r>
        <w:rPr>
          <w:rFonts w:ascii="Times New Roman" w:hAnsi="Times New Roman"/>
        </w:rPr>
        <w:t xml:space="preserve"> &lt;0.0001</w:t>
      </w:r>
      <w:r>
        <w:rPr>
          <w:rFonts w:asciiTheme="majorEastAsia" w:eastAsiaTheme="majorEastAsia" w:hAnsiTheme="majorEastAsia"/>
        </w:rPr>
        <w:t>)</w:t>
      </w:r>
      <w:r>
        <w:rPr>
          <w:rFonts w:ascii="Times New Roman" w:hAnsi="Times New Roman"/>
        </w:rPr>
        <w:t xml:space="preserve">. (a) THP-1 cells were induced to differentiate into M0, M1 and M2 macrophages. Flow </w:t>
      </w:r>
      <w:r>
        <w:rPr>
          <w:rFonts w:ascii="Times New Roman" w:hAnsi="Times New Roman"/>
        </w:rPr>
        <w:t>cytometry showed significant expression of CD11b in M1 macrophages and CD163 expression in M2 macrophages, indicating successful differentiation of the M1 and M2 subtypes. (b) The cellular morphology of THP-1, M0, M1 and M2 macrophages. (c) Cytokine levels</w:t>
      </w:r>
      <w:r>
        <w:rPr>
          <w:rFonts w:ascii="Times New Roman" w:hAnsi="Times New Roman"/>
        </w:rPr>
        <w:t xml:space="preserve"> in the culture medium of macrophage subtypes were examined by flow cytometry. (d) Alizarin red staining was used to detect calcification in macrophage subtypes. No significant calcification was observed in macrophage subtypes, and TNF-α levels were highes</w:t>
      </w:r>
      <w:r>
        <w:rPr>
          <w:rFonts w:ascii="Times New Roman" w:hAnsi="Times New Roman"/>
        </w:rPr>
        <w:t>t in the culture medium of M1 macrophages.</w:t>
      </w:r>
    </w:p>
    <w:p w14:paraId="75611E55" w14:textId="77777777" w:rsidR="00460643" w:rsidRDefault="00460643">
      <w:pPr>
        <w:pStyle w:val="MDPI62BackMatter"/>
        <w:spacing w:before="240" w:line="360" w:lineRule="auto"/>
        <w:ind w:left="0"/>
      </w:pPr>
    </w:p>
    <w:p w14:paraId="29D594EC" w14:textId="77777777" w:rsidR="00460643" w:rsidRDefault="0094076E">
      <w:pPr>
        <w:pStyle w:val="MDPI62BackMatter"/>
        <w:spacing w:before="240"/>
        <w:ind w:left="0"/>
        <w:rPr>
          <w:rFonts w:eastAsia="宋体"/>
          <w:lang w:eastAsia="zh-CN"/>
        </w:rPr>
      </w:pPr>
      <w:r>
        <w:rPr>
          <w:rFonts w:eastAsia="宋体" w:hint="eastAsia"/>
          <w:noProof/>
          <w:lang w:eastAsia="zh-CN"/>
        </w:rPr>
        <w:lastRenderedPageBreak/>
        <w:drawing>
          <wp:inline distT="0" distB="0" distL="114300" distR="114300" wp14:anchorId="43559C83" wp14:editId="46621D2A">
            <wp:extent cx="5266690" cy="1380490"/>
            <wp:effectExtent l="0" t="0" r="0" b="0"/>
            <wp:docPr id="2" name="图片 2" descr="Supplementary file S2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Supplementary file S2_01"/>
                    <pic:cNvPicPr>
                      <a:picLocks noChangeAspect="1"/>
                    </pic:cNvPicPr>
                  </pic:nvPicPr>
                  <pic:blipFill>
                    <a:blip r:embed="rId8"/>
                    <a:srcRect b="65054"/>
                    <a:stretch>
                      <a:fillRect/>
                    </a:stretch>
                  </pic:blipFill>
                  <pic:spPr>
                    <a:xfrm>
                      <a:off x="0" y="0"/>
                      <a:ext cx="5266690" cy="1380490"/>
                    </a:xfrm>
                    <a:prstGeom prst="rect">
                      <a:avLst/>
                    </a:prstGeom>
                  </pic:spPr>
                </pic:pic>
              </a:graphicData>
            </a:graphic>
          </wp:inline>
        </w:drawing>
      </w:r>
    </w:p>
    <w:p w14:paraId="01BEE6E6" w14:textId="2CBC532E" w:rsidR="00460643" w:rsidRDefault="0094076E">
      <w:r>
        <w:rPr>
          <w:rFonts w:ascii="Times New Roman" w:eastAsia="Times New Roman" w:hAnsi="Times New Roman" w:cs="Times New Roman"/>
          <w:snapToGrid w:val="0"/>
          <w:color w:val="000000"/>
          <w:kern w:val="0"/>
          <w:sz w:val="18"/>
          <w:szCs w:val="20"/>
          <w:lang w:eastAsia="en-US" w:bidi="en-US"/>
        </w:rPr>
        <w:t xml:space="preserve">Supplementary </w:t>
      </w:r>
      <w:r w:rsidR="002831ED">
        <w:rPr>
          <w:rFonts w:ascii="Times New Roman" w:eastAsia="Times New Roman" w:hAnsi="Times New Roman" w:cs="Times New Roman"/>
          <w:snapToGrid w:val="0"/>
          <w:color w:val="000000"/>
          <w:kern w:val="0"/>
          <w:sz w:val="18"/>
          <w:szCs w:val="20"/>
          <w:lang w:eastAsia="en-US" w:bidi="en-US"/>
        </w:rPr>
        <w:t>figure</w:t>
      </w:r>
      <w:r>
        <w:rPr>
          <w:rFonts w:ascii="Times New Roman" w:eastAsia="Times New Roman" w:hAnsi="Times New Roman" w:cs="Times New Roman"/>
          <w:snapToGrid w:val="0"/>
          <w:color w:val="000000"/>
          <w:kern w:val="0"/>
          <w:sz w:val="18"/>
          <w:szCs w:val="20"/>
          <w:lang w:eastAsia="en-US" w:bidi="en-US"/>
        </w:rPr>
        <w:t xml:space="preserve"> 2. Calcification in VSMCs following β-GP induction. VSMCs were cultured with β-GP for 14 days to induce calcification </w:t>
      </w:r>
      <w:r>
        <w:rPr>
          <w:rFonts w:ascii="Times New Roman" w:hAnsi="Times New Roman"/>
        </w:rPr>
        <w:t>(</w:t>
      </w:r>
      <w:r>
        <w:rPr>
          <w:rFonts w:ascii="Times New Roman" w:hAnsi="Times New Roman"/>
          <w:sz w:val="18"/>
          <w:szCs w:val="18"/>
        </w:rPr>
        <w:t xml:space="preserve">ANOVA, </w:t>
      </w:r>
      <w:r>
        <w:rPr>
          <w:rFonts w:asciiTheme="majorEastAsia" w:eastAsiaTheme="majorEastAsia" w:hAnsiTheme="majorEastAsia"/>
          <w:sz w:val="18"/>
          <w:szCs w:val="18"/>
        </w:rPr>
        <w:t>****</w:t>
      </w:r>
      <w:r>
        <w:rPr>
          <w:rFonts w:ascii="Times New Roman" w:hAnsi="Times New Roman"/>
          <w:sz w:val="18"/>
          <w:szCs w:val="18"/>
        </w:rPr>
        <w:t xml:space="preserve"> stands for </w:t>
      </w:r>
      <w:r>
        <w:rPr>
          <w:rFonts w:ascii="Times New Roman" w:hAnsi="Times New Roman"/>
          <w:i/>
          <w:iCs/>
          <w:sz w:val="18"/>
          <w:szCs w:val="18"/>
        </w:rPr>
        <w:t>p</w:t>
      </w:r>
      <w:r>
        <w:rPr>
          <w:rFonts w:ascii="Times New Roman" w:eastAsia="宋体" w:hAnsi="Times New Roman" w:hint="eastAsia"/>
          <w:sz w:val="18"/>
          <w:szCs w:val="18"/>
        </w:rPr>
        <w:t>&lt;</w:t>
      </w:r>
      <w:r>
        <w:rPr>
          <w:rFonts w:ascii="宋体" w:eastAsia="宋体" w:hAnsi="宋体" w:cs="宋体" w:hint="eastAsia"/>
          <w:sz w:val="18"/>
          <w:szCs w:val="18"/>
        </w:rPr>
        <w:t>0</w:t>
      </w:r>
      <w:r>
        <w:rPr>
          <w:rFonts w:ascii="宋体" w:eastAsia="宋体" w:hAnsi="宋体" w:cs="宋体"/>
          <w:sz w:val="18"/>
          <w:szCs w:val="18"/>
        </w:rPr>
        <w:t>.0001</w:t>
      </w:r>
      <w:r>
        <w:rPr>
          <w:rFonts w:ascii="Times New Roman" w:hAnsi="Times New Roman"/>
          <w:sz w:val="18"/>
          <w:szCs w:val="18"/>
        </w:rPr>
        <w:t>)</w:t>
      </w:r>
      <w:r>
        <w:rPr>
          <w:rFonts w:ascii="Times New Roman" w:eastAsia="Times New Roman" w:hAnsi="Times New Roman" w:cs="Times New Roman"/>
          <w:snapToGrid w:val="0"/>
          <w:kern w:val="0"/>
          <w:sz w:val="18"/>
          <w:szCs w:val="18"/>
          <w:lang w:eastAsia="en-US" w:bidi="en-US"/>
        </w:rPr>
        <w:t>.</w:t>
      </w:r>
      <w:r>
        <w:rPr>
          <w:rFonts w:ascii="Times New Roman" w:eastAsia="Times New Roman" w:hAnsi="Times New Roman" w:cs="Times New Roman"/>
          <w:snapToGrid w:val="0"/>
          <w:color w:val="000000"/>
          <w:kern w:val="0"/>
          <w:sz w:val="18"/>
          <w:szCs w:val="18"/>
          <w:lang w:eastAsia="en-US" w:bidi="en-US"/>
        </w:rPr>
        <w:t xml:space="preserve"> </w:t>
      </w:r>
      <w:r>
        <w:rPr>
          <w:rFonts w:ascii="Times New Roman" w:eastAsia="Times New Roman" w:hAnsi="Times New Roman" w:cs="Times New Roman"/>
          <w:snapToGrid w:val="0"/>
          <w:color w:val="000000"/>
          <w:kern w:val="0"/>
          <w:sz w:val="18"/>
          <w:szCs w:val="20"/>
          <w:lang w:eastAsia="en-US" w:bidi="en-US"/>
        </w:rPr>
        <w:t xml:space="preserve">(a) Observation of calcification nodules using Alizarin red staining </w:t>
      </w:r>
      <w:bookmarkStart w:id="0" w:name="OLE_LINK9"/>
      <w:r>
        <w:rPr>
          <w:rFonts w:ascii="Times New Roman" w:eastAsia="Times New Roman" w:hAnsi="Times New Roman" w:cs="Times New Roman"/>
          <w:snapToGrid w:val="0"/>
          <w:color w:val="000000"/>
          <w:kern w:val="0"/>
          <w:sz w:val="18"/>
          <w:szCs w:val="20"/>
          <w:lang w:eastAsia="en-US" w:bidi="en-US"/>
        </w:rPr>
        <w:t xml:space="preserve">(the location of calcification nodules was marked with </w:t>
      </w:r>
      <w:r>
        <w:rPr>
          <w:rFonts w:ascii="Times New Roman" w:eastAsia="宋体" w:hAnsi="Times New Roman" w:cs="Times New Roman" w:hint="eastAsia"/>
          <w:snapToGrid w:val="0"/>
          <w:color w:val="000000"/>
          <w:kern w:val="0"/>
          <w:sz w:val="18"/>
          <w:szCs w:val="20"/>
          <w:lang w:bidi="en-US"/>
        </w:rPr>
        <w:t>black</w:t>
      </w:r>
      <w:r>
        <w:rPr>
          <w:rFonts w:ascii="Times New Roman" w:eastAsia="Times New Roman" w:hAnsi="Times New Roman" w:cs="Times New Roman"/>
          <w:snapToGrid w:val="0"/>
          <w:color w:val="000000"/>
          <w:kern w:val="0"/>
          <w:sz w:val="18"/>
          <w:szCs w:val="20"/>
          <w:lang w:eastAsia="en-US" w:bidi="en-US"/>
        </w:rPr>
        <w:t xml:space="preserve"> arrows)</w:t>
      </w:r>
      <w:bookmarkEnd w:id="0"/>
      <w:r>
        <w:rPr>
          <w:rFonts w:ascii="Times New Roman" w:eastAsia="Times New Roman" w:hAnsi="Times New Roman" w:cs="Times New Roman"/>
          <w:snapToGrid w:val="0"/>
          <w:color w:val="000000"/>
          <w:kern w:val="0"/>
          <w:sz w:val="18"/>
          <w:szCs w:val="20"/>
          <w:lang w:eastAsia="en-US" w:bidi="en-US"/>
        </w:rPr>
        <w:t xml:space="preserve">. (b) Quantification of calcification using the </w:t>
      </w:r>
      <w:proofErr w:type="spellStart"/>
      <w:r>
        <w:rPr>
          <w:rFonts w:ascii="Times New Roman" w:eastAsia="Times New Roman" w:hAnsi="Times New Roman" w:cs="Times New Roman"/>
          <w:snapToGrid w:val="0"/>
          <w:color w:val="000000"/>
          <w:kern w:val="0"/>
          <w:sz w:val="18"/>
          <w:szCs w:val="20"/>
          <w:lang w:eastAsia="en-US" w:bidi="en-US"/>
        </w:rPr>
        <w:t>cetylpyridinium</w:t>
      </w:r>
      <w:proofErr w:type="spellEnd"/>
      <w:r>
        <w:rPr>
          <w:rFonts w:ascii="Times New Roman" w:eastAsia="Times New Roman" w:hAnsi="Times New Roman" w:cs="Times New Roman"/>
          <w:snapToGrid w:val="0"/>
          <w:color w:val="000000"/>
          <w:kern w:val="0"/>
          <w:sz w:val="18"/>
          <w:szCs w:val="20"/>
          <w:lang w:eastAsia="en-US" w:bidi="en-US"/>
        </w:rPr>
        <w:t xml:space="preserve"> chloride assay. Calcification was formed in VSMCs follo</w:t>
      </w:r>
      <w:r>
        <w:rPr>
          <w:rFonts w:ascii="Times New Roman" w:eastAsia="Times New Roman" w:hAnsi="Times New Roman" w:cs="Times New Roman"/>
          <w:snapToGrid w:val="0"/>
          <w:color w:val="000000"/>
          <w:kern w:val="0"/>
          <w:sz w:val="18"/>
          <w:szCs w:val="20"/>
          <w:lang w:eastAsia="en-US" w:bidi="en-US"/>
        </w:rPr>
        <w:t>wing β-GP induction.</w:t>
      </w:r>
    </w:p>
    <w:sectPr w:rsidR="00460643">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67C019E" w14:textId="77777777" w:rsidR="0094076E" w:rsidRDefault="0094076E" w:rsidP="002831ED">
      <w:r>
        <w:separator/>
      </w:r>
    </w:p>
  </w:endnote>
  <w:endnote w:type="continuationSeparator" w:id="0">
    <w:p w14:paraId="3D413C0E" w14:textId="77777777" w:rsidR="0094076E" w:rsidRDefault="0094076E" w:rsidP="002831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384B19F" w14:textId="77777777" w:rsidR="0094076E" w:rsidRDefault="0094076E" w:rsidP="002831ED">
      <w:r>
        <w:separator/>
      </w:r>
    </w:p>
  </w:footnote>
  <w:footnote w:type="continuationSeparator" w:id="0">
    <w:p w14:paraId="620F16F8" w14:textId="77777777" w:rsidR="0094076E" w:rsidRDefault="0094076E" w:rsidP="002831ED">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YzZkNzQ4ZWFiZmQ4NTRhOWRkZTk3YTMwMjlmMmZhYmUifQ=="/>
  </w:docVars>
  <w:rsids>
    <w:rsidRoot w:val="000C7BCB"/>
    <w:rsid w:val="000277EA"/>
    <w:rsid w:val="000C7BCB"/>
    <w:rsid w:val="00143197"/>
    <w:rsid w:val="002831ED"/>
    <w:rsid w:val="002F40B5"/>
    <w:rsid w:val="004142E1"/>
    <w:rsid w:val="00416C0A"/>
    <w:rsid w:val="00460643"/>
    <w:rsid w:val="004C203A"/>
    <w:rsid w:val="004E3446"/>
    <w:rsid w:val="005107AC"/>
    <w:rsid w:val="00531AE7"/>
    <w:rsid w:val="00551D85"/>
    <w:rsid w:val="00595EC4"/>
    <w:rsid w:val="006D4B1C"/>
    <w:rsid w:val="00731AA0"/>
    <w:rsid w:val="008F4E9D"/>
    <w:rsid w:val="0092355E"/>
    <w:rsid w:val="0094076E"/>
    <w:rsid w:val="00947784"/>
    <w:rsid w:val="009544A4"/>
    <w:rsid w:val="00A018C1"/>
    <w:rsid w:val="00A410B5"/>
    <w:rsid w:val="00A52B4E"/>
    <w:rsid w:val="00AC757B"/>
    <w:rsid w:val="00AD2BEB"/>
    <w:rsid w:val="00C95670"/>
    <w:rsid w:val="00E822F2"/>
    <w:rsid w:val="6DFB08C1"/>
    <w:rsid w:val="7C41463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6760E6F"/>
  <w15:docId w15:val="{0F2F358E-097F-4D86-B4EE-6E054FF33C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qFormat/>
    <w:pPr>
      <w:tabs>
        <w:tab w:val="center" w:pos="4153"/>
        <w:tab w:val="right" w:pos="8306"/>
      </w:tabs>
      <w:snapToGrid w:val="0"/>
      <w:jc w:val="left"/>
    </w:pPr>
    <w:rPr>
      <w:sz w:val="18"/>
      <w:szCs w:val="18"/>
    </w:rPr>
  </w:style>
  <w:style w:type="paragraph" w:styleId="a5">
    <w:name w:val="header"/>
    <w:basedOn w:val="a"/>
    <w:link w:val="a6"/>
    <w:uiPriority w:val="99"/>
    <w:unhideWhenUsed/>
    <w:qFormat/>
    <w:pPr>
      <w:pBdr>
        <w:bottom w:val="single" w:sz="6" w:space="1" w:color="auto"/>
      </w:pBdr>
      <w:tabs>
        <w:tab w:val="center" w:pos="4153"/>
        <w:tab w:val="right" w:pos="8306"/>
      </w:tabs>
      <w:snapToGrid w:val="0"/>
      <w:jc w:val="center"/>
    </w:pPr>
    <w:rPr>
      <w:sz w:val="18"/>
      <w:szCs w:val="18"/>
    </w:rPr>
  </w:style>
  <w:style w:type="character" w:customStyle="1" w:styleId="a6">
    <w:name w:val="页眉 字符"/>
    <w:basedOn w:val="a0"/>
    <w:link w:val="a5"/>
    <w:uiPriority w:val="99"/>
    <w:qFormat/>
    <w:rPr>
      <w:sz w:val="18"/>
      <w:szCs w:val="18"/>
    </w:rPr>
  </w:style>
  <w:style w:type="character" w:customStyle="1" w:styleId="a4">
    <w:name w:val="页脚 字符"/>
    <w:basedOn w:val="a0"/>
    <w:link w:val="a3"/>
    <w:uiPriority w:val="99"/>
    <w:qFormat/>
    <w:rPr>
      <w:sz w:val="18"/>
      <w:szCs w:val="18"/>
    </w:rPr>
  </w:style>
  <w:style w:type="paragraph" w:customStyle="1" w:styleId="MDPI62BackMatter">
    <w:name w:val="MDPI_6.2_BackMatter"/>
    <w:qFormat/>
    <w:pPr>
      <w:adjustRightInd w:val="0"/>
      <w:snapToGrid w:val="0"/>
      <w:spacing w:after="120" w:line="228" w:lineRule="auto"/>
      <w:ind w:left="2608"/>
      <w:jc w:val="both"/>
    </w:pPr>
    <w:rPr>
      <w:rFonts w:ascii="Palatino Linotype" w:eastAsia="Times New Roman" w:hAnsi="Palatino Linotype" w:cs="Times New Roman"/>
      <w:snapToGrid w:val="0"/>
      <w:color w:val="000000"/>
      <w:sz w:val="18"/>
      <w:lang w:eastAsia="en-US" w:bidi="en-US"/>
    </w:rPr>
  </w:style>
  <w:style w:type="paragraph" w:styleId="a7">
    <w:name w:val="Balloon Text"/>
    <w:basedOn w:val="a"/>
    <w:link w:val="a8"/>
    <w:uiPriority w:val="99"/>
    <w:semiHidden/>
    <w:unhideWhenUsed/>
    <w:rsid w:val="002831ED"/>
    <w:rPr>
      <w:sz w:val="18"/>
      <w:szCs w:val="18"/>
    </w:rPr>
  </w:style>
  <w:style w:type="character" w:customStyle="1" w:styleId="a8">
    <w:name w:val="批注框文本 字符"/>
    <w:basedOn w:val="a0"/>
    <w:link w:val="a7"/>
    <w:uiPriority w:val="99"/>
    <w:semiHidden/>
    <w:rsid w:val="002831ED"/>
    <w:rPr>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8" Type="http://schemas.openxmlformats.org/officeDocument/2006/relationships/image" Target="media/image2.tiff"/><Relationship Id="rId3" Type="http://schemas.openxmlformats.org/officeDocument/2006/relationships/settings" Target="settings.xml"/><Relationship Id="rId7" Type="http://schemas.openxmlformats.org/officeDocument/2006/relationships/image" Target="media/image1.tiff"/><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5" Type="http://schemas.openxmlformats.org/officeDocument/2006/relationships/footnotes" Target="footnotes.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TURABIAN.XSL" StyleName="Turabian" Version="6"/>
</file>

<file path=customXml/itemProps1.xml><?xml version="1.0" encoding="utf-8"?>
<ds:datastoreItem xmlns:ds="http://schemas.openxmlformats.org/officeDocument/2006/customXml" ds:itemID="{02660034-4447-499D-A39C-B0CDD1BFD4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750</TotalTime>
  <Pages>2</Pages>
  <Words>188</Words>
  <Characters>1072</Characters>
  <Application>Microsoft Office Word</Application>
  <DocSecurity>0</DocSecurity>
  <Lines>8</Lines>
  <Paragraphs>2</Paragraphs>
  <ScaleCrop>false</ScaleCrop>
  <Company/>
  <LinksUpToDate>false</LinksUpToDate>
  <CharactersWithSpaces>1258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Song Xianqin</dc:creator>
  <cp:lastModifiedBy>Song Xianqin</cp:lastModifiedBy>
  <cp:revision>22</cp:revision>
  <dcterms:created xsi:type="dcterms:W3CDTF">2023-06-15T08:59:00Z</dcterms:created>
  <dcterms:modified xsi:type="dcterms:W3CDTF">2023-06-22T11:02:00Z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588A07DCD4C6481F8C116075EBDA4B6D_12</vt:lpwstr>
  </property>
</Properties>
</file>