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936E" w14:textId="77777777" w:rsidR="00E25CCE" w:rsidRPr="00D90645" w:rsidRDefault="00E25CCE" w:rsidP="00E25CCE">
      <w:pPr>
        <w:spacing w:line="480" w:lineRule="auto"/>
        <w:rPr>
          <w:rFonts w:ascii="Times New Roman" w:eastAsia="Times-Roman" w:hAnsi="Times New Roman"/>
          <w:b/>
          <w:bCs/>
          <w:color w:val="000000"/>
          <w:kern w:val="0"/>
          <w:sz w:val="24"/>
          <w:lang w:bidi="ar"/>
        </w:rPr>
      </w:pPr>
      <w:bookmarkStart w:id="0" w:name="_Hlk136444835"/>
      <w:r w:rsidRPr="00D90645">
        <w:rPr>
          <w:rFonts w:ascii="Times New Roman" w:eastAsia="Times-Roman" w:hAnsi="Times New Roman"/>
          <w:b/>
          <w:bCs/>
          <w:color w:val="000000"/>
          <w:kern w:val="0"/>
          <w:sz w:val="24"/>
          <w:lang w:bidi="ar"/>
        </w:rPr>
        <w:t>Supplementary Materials</w:t>
      </w:r>
    </w:p>
    <w:bookmarkEnd w:id="0"/>
    <w:p w14:paraId="521AC6C4" w14:textId="3D5E87A0" w:rsidR="00E25CCE" w:rsidRPr="00D90645" w:rsidRDefault="00E25CCE" w:rsidP="00E25CCE">
      <w:pPr>
        <w:spacing w:line="480" w:lineRule="auto"/>
        <w:rPr>
          <w:rFonts w:ascii="Times New Roman" w:eastAsia="Times-Roman" w:hAnsi="Times New Roman"/>
          <w:color w:val="000000"/>
          <w:kern w:val="0"/>
          <w:sz w:val="24"/>
          <w:lang w:bidi="ar"/>
        </w:rPr>
      </w:pPr>
      <w:r w:rsidRPr="00D90645">
        <w:rPr>
          <w:rFonts w:ascii="Times New Roman" w:eastAsia="Times-Roman" w:hAnsi="Times New Roman"/>
          <w:color w:val="000000"/>
          <w:kern w:val="0"/>
          <w:sz w:val="24"/>
          <w:lang w:bidi="ar"/>
        </w:rPr>
        <w:t>Supplementary</w:t>
      </w:r>
      <w:r w:rsidRPr="00D90645">
        <w:rPr>
          <w:rFonts w:ascii="Times New Roman" w:eastAsia="Times-Roman" w:hAnsi="Times New Roman" w:hint="eastAsia"/>
          <w:color w:val="000000"/>
          <w:kern w:val="0"/>
          <w:sz w:val="24"/>
          <w:lang w:bidi="ar"/>
        </w:rPr>
        <w:t xml:space="preserve"> R</w:t>
      </w:r>
      <w:r w:rsidRPr="00D90645">
        <w:rPr>
          <w:rFonts w:ascii="Times New Roman" w:eastAsia="Times-Roman" w:hAnsi="Times New Roman"/>
          <w:color w:val="000000"/>
          <w:kern w:val="0"/>
          <w:sz w:val="24"/>
          <w:lang w:bidi="ar"/>
        </w:rPr>
        <w:t>esults</w:t>
      </w:r>
      <w:r w:rsidR="00D90645" w:rsidRPr="00D90645">
        <w:rPr>
          <w:rFonts w:ascii="Times New Roman" w:eastAsia="Times-Roman" w:hAnsi="Times New Roman"/>
          <w:color w:val="000000"/>
          <w:kern w:val="0"/>
          <w:sz w:val="24"/>
          <w:lang w:bidi="ar"/>
        </w:rPr>
        <w:t xml:space="preserve"> </w:t>
      </w:r>
    </w:p>
    <w:p w14:paraId="684824F1" w14:textId="77777777" w:rsidR="00E25CCE" w:rsidRPr="00D90645" w:rsidRDefault="00E25CCE" w:rsidP="00E25CCE">
      <w:pPr>
        <w:spacing w:line="480" w:lineRule="auto"/>
        <w:rPr>
          <w:rFonts w:ascii="Times New Roman" w:eastAsia="Times-Roman" w:hAnsi="Times New Roman"/>
          <w:b/>
          <w:bCs/>
          <w:color w:val="000000"/>
          <w:kern w:val="0"/>
          <w:sz w:val="24"/>
          <w:lang w:bidi="ar"/>
        </w:rPr>
      </w:pPr>
      <w:r w:rsidRPr="00D90645">
        <w:rPr>
          <w:rFonts w:ascii="Times New Roman" w:eastAsia="Times-Roman" w:hAnsi="Times New Roman"/>
          <w:b/>
          <w:bCs/>
          <w:color w:val="000000"/>
          <w:kern w:val="0"/>
          <w:sz w:val="24"/>
          <w:lang w:bidi="ar"/>
        </w:rPr>
        <w:t>Multivariate Cox regression analysis based on the levels of LYMPH count, EO count and EO%</w:t>
      </w:r>
    </w:p>
    <w:p w14:paraId="32BE264A" w14:textId="77777777" w:rsidR="00E25CCE" w:rsidRPr="00D90645" w:rsidRDefault="00E25CCE" w:rsidP="00E25CCE">
      <w:pPr>
        <w:widowControl/>
        <w:spacing w:line="480" w:lineRule="auto"/>
        <w:rPr>
          <w:rFonts w:ascii="Times New Roman" w:hAnsi="Times New Roman"/>
          <w:color w:val="000000"/>
          <w:sz w:val="24"/>
        </w:rPr>
      </w:pPr>
      <w:r w:rsidRPr="00D90645">
        <w:rPr>
          <w:rFonts w:ascii="Times New Roman" w:hAnsi="Times New Roman"/>
          <w:color w:val="000000"/>
          <w:sz w:val="24"/>
        </w:rPr>
        <w:t>Taking low-level as a reference, we found that high-level EO count</w:t>
      </w:r>
      <w:r w:rsidRPr="00D9064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90645">
        <w:rPr>
          <w:rFonts w:ascii="Times New Roman" w:hAnsi="Times New Roman"/>
          <w:color w:val="000000"/>
          <w:sz w:val="24"/>
        </w:rPr>
        <w:t>was significantly associated with increased risk of HF even after adjusting for age, male sex, BMI, smoking, diabetes mellitus, past PCI or CABG, SBP, DBP and EF</w:t>
      </w:r>
      <w:r w:rsidRPr="00D90645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90645">
        <w:rPr>
          <w:rFonts w:ascii="Times New Roman" w:hAnsi="Times New Roman"/>
          <w:color w:val="000000"/>
          <w:sz w:val="24"/>
        </w:rPr>
        <w:t xml:space="preserve">(HR= 2.422, 95% CI: 1.222-4.798, </w:t>
      </w:r>
      <w:r w:rsidRPr="00D90645">
        <w:rPr>
          <w:rFonts w:ascii="Times New Roman" w:hAnsi="Times New Roman"/>
          <w:i/>
          <w:iCs/>
          <w:color w:val="000000"/>
          <w:sz w:val="24"/>
        </w:rPr>
        <w:t>P</w:t>
      </w:r>
      <w:r w:rsidRPr="00D90645">
        <w:rPr>
          <w:rFonts w:ascii="Times New Roman" w:hAnsi="Times New Roman"/>
          <w:color w:val="000000"/>
          <w:sz w:val="24"/>
        </w:rPr>
        <w:t>=0.011</w:t>
      </w:r>
      <w:r w:rsidRPr="00D90645">
        <w:rPr>
          <w:rFonts w:ascii="Times New Roman" w:hAnsi="Times New Roman"/>
          <w:color w:val="000000"/>
          <w:kern w:val="0"/>
          <w:sz w:val="24"/>
        </w:rPr>
        <w:t>)</w:t>
      </w:r>
      <w:r w:rsidRPr="00D90645">
        <w:rPr>
          <w:rFonts w:ascii="Times New Roman" w:hAnsi="Times New Roman"/>
          <w:color w:val="000000"/>
          <w:sz w:val="24"/>
        </w:rPr>
        <w:t>. There were no significant associations between LYMPH count, EO % and the risk of HF in unadjusted model or adjusted models, based on the</w:t>
      </w:r>
    </w:p>
    <w:p w14:paraId="43CFBE92" w14:textId="6FAC3CFF" w:rsidR="00E25CCE" w:rsidRPr="00D90645" w:rsidRDefault="00E25CCE" w:rsidP="00E25CCE">
      <w:pPr>
        <w:spacing w:line="480" w:lineRule="auto"/>
        <w:rPr>
          <w:rFonts w:ascii="Times New Roman" w:hAnsi="Times New Roman"/>
          <w:color w:val="000000"/>
          <w:sz w:val="24"/>
        </w:rPr>
      </w:pPr>
      <w:r w:rsidRPr="00D90645">
        <w:rPr>
          <w:rFonts w:ascii="Times New Roman" w:hAnsi="Times New Roman"/>
          <w:color w:val="000000"/>
          <w:sz w:val="24"/>
        </w:rPr>
        <w:t>levels of LYMPH count, EO %. (</w:t>
      </w:r>
      <w:r w:rsidR="00CC1D65" w:rsidRPr="00D90645">
        <w:rPr>
          <w:rFonts w:ascii="Times New Roman" w:hAnsi="Times New Roman"/>
          <w:color w:val="000000"/>
          <w:sz w:val="24"/>
        </w:rPr>
        <w:t>Supplementary Table 1</w:t>
      </w:r>
      <w:r w:rsidRPr="00D90645">
        <w:rPr>
          <w:rFonts w:ascii="Times New Roman" w:hAnsi="Times New Roman"/>
          <w:color w:val="000000"/>
          <w:sz w:val="24"/>
        </w:rPr>
        <w:t>)</w:t>
      </w:r>
    </w:p>
    <w:p w14:paraId="13CED124" w14:textId="77777777" w:rsidR="00E25CCE" w:rsidRPr="00D90645" w:rsidRDefault="00E25CCE" w:rsidP="00E25CCE">
      <w:pPr>
        <w:spacing w:line="480" w:lineRule="auto"/>
        <w:rPr>
          <w:rFonts w:ascii="Times New Roman" w:hAnsi="Times New Roman"/>
          <w:color w:val="000000"/>
          <w:sz w:val="24"/>
        </w:rPr>
      </w:pPr>
    </w:p>
    <w:p w14:paraId="2D72C6E6" w14:textId="315D7B52" w:rsidR="00E25CCE" w:rsidRPr="00D90645" w:rsidRDefault="00E25CCE" w:rsidP="00E25CCE">
      <w:pPr>
        <w:spacing w:line="480" w:lineRule="auto"/>
        <w:rPr>
          <w:rFonts w:ascii="Arial" w:hAnsi="Arial" w:cs="Arial"/>
          <w:color w:val="000000"/>
          <w:sz w:val="24"/>
        </w:rPr>
      </w:pPr>
      <w:r w:rsidRPr="00D90645">
        <w:rPr>
          <w:rFonts w:ascii="Arial" w:hAnsi="Arial" w:cs="Arial"/>
          <w:color w:val="000000"/>
          <w:sz w:val="24"/>
        </w:rPr>
        <w:t xml:space="preserve">Supplementary Table 1 Multivariate Cox regression analysis </w:t>
      </w:r>
      <w:r w:rsidRPr="00D90645">
        <w:rPr>
          <w:rFonts w:ascii="Arial" w:hAnsi="Arial" w:cs="Arial" w:hint="eastAsia"/>
          <w:color w:val="000000"/>
          <w:sz w:val="24"/>
        </w:rPr>
        <w:t>based</w:t>
      </w:r>
      <w:r w:rsidRPr="00D90645">
        <w:rPr>
          <w:rFonts w:ascii="Arial" w:hAnsi="Arial" w:cs="Arial"/>
          <w:color w:val="000000"/>
          <w:sz w:val="24"/>
        </w:rPr>
        <w:t xml:space="preserve"> </w:t>
      </w:r>
      <w:r w:rsidRPr="00D90645">
        <w:rPr>
          <w:rFonts w:ascii="Arial" w:hAnsi="Arial" w:cs="Arial" w:hint="eastAsia"/>
          <w:color w:val="000000"/>
          <w:sz w:val="24"/>
        </w:rPr>
        <w:t>on</w:t>
      </w:r>
      <w:r w:rsidRPr="00D90645">
        <w:rPr>
          <w:rFonts w:ascii="Arial" w:hAnsi="Arial" w:cs="Arial"/>
          <w:color w:val="000000"/>
          <w:sz w:val="24"/>
        </w:rPr>
        <w:t xml:space="preserve"> the level of LYMPH count, EO count and EO% 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2507"/>
        <w:gridCol w:w="2507"/>
        <w:gridCol w:w="2507"/>
      </w:tblGrid>
      <w:tr w:rsidR="00E25CCE" w:rsidRPr="00D90645" w14:paraId="50923488" w14:textId="77777777" w:rsidTr="004A4BEA">
        <w:trPr>
          <w:trHeight w:val="264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4532E2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Cs w:val="21"/>
              </w:rPr>
            </w:pPr>
            <w:r w:rsidRPr="00D90645">
              <w:rPr>
                <w:rFonts w:ascii="Arial" w:hAnsi="Arial" w:cs="Arial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BDCCF6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Cs w:val="21"/>
              </w:rPr>
            </w:pPr>
            <w:bookmarkStart w:id="1" w:name="_Hlk124099390"/>
            <w:r w:rsidRPr="00D90645">
              <w:rPr>
                <w:rFonts w:ascii="Arial" w:hAnsi="Arial" w:cs="Arial"/>
                <w:color w:val="000000"/>
                <w:szCs w:val="21"/>
              </w:rPr>
              <w:t>Unadjusted</w:t>
            </w:r>
            <w:bookmarkEnd w:id="1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6CD070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Cs w:val="21"/>
              </w:rPr>
            </w:pPr>
            <w:r w:rsidRPr="00D90645">
              <w:rPr>
                <w:rFonts w:ascii="Arial" w:hAnsi="Arial" w:cs="Arial"/>
                <w:color w:val="000000"/>
                <w:szCs w:val="21"/>
              </w:rPr>
              <w:t>Model 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850EB7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Cs w:val="21"/>
              </w:rPr>
            </w:pPr>
            <w:r w:rsidRPr="00D90645">
              <w:rPr>
                <w:rFonts w:ascii="Arial" w:hAnsi="Arial" w:cs="Arial"/>
                <w:color w:val="000000"/>
                <w:szCs w:val="21"/>
              </w:rPr>
              <w:t>Model 2</w:t>
            </w:r>
          </w:p>
        </w:tc>
      </w:tr>
      <w:tr w:rsidR="00E25CCE" w:rsidRPr="00D90645" w14:paraId="5646DD99" w14:textId="77777777" w:rsidTr="004A4BEA">
        <w:trPr>
          <w:trHeight w:val="178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F62C23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07EF50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Cs w:val="21"/>
              </w:rPr>
            </w:pPr>
            <w:r w:rsidRPr="00D90645">
              <w:rPr>
                <w:rFonts w:ascii="Arial" w:hAnsi="Arial" w:cs="Arial"/>
                <w:color w:val="000000"/>
                <w:szCs w:val="21"/>
              </w:rPr>
              <w:t xml:space="preserve">HR (95% CI), </w:t>
            </w:r>
            <w:r w:rsidRPr="00D90645">
              <w:rPr>
                <w:rFonts w:ascii="Arial" w:hAnsi="Arial" w:cs="Arial"/>
                <w:i/>
                <w:iCs/>
                <w:color w:val="000000"/>
                <w:szCs w:val="21"/>
              </w:rPr>
              <w:t>P</w:t>
            </w:r>
            <w:r w:rsidRPr="00D90645">
              <w:rPr>
                <w:rFonts w:ascii="Arial" w:hAnsi="Arial" w:cs="Arial"/>
                <w:color w:val="000000"/>
                <w:szCs w:val="21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74BD88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Cs w:val="21"/>
              </w:rPr>
            </w:pPr>
            <w:r w:rsidRPr="00D90645">
              <w:rPr>
                <w:rFonts w:ascii="Arial" w:hAnsi="Arial" w:cs="Arial"/>
                <w:color w:val="000000"/>
                <w:szCs w:val="21"/>
              </w:rPr>
              <w:t xml:space="preserve">HR (95% CI), </w:t>
            </w:r>
            <w:r w:rsidRPr="00D90645">
              <w:rPr>
                <w:rFonts w:ascii="Arial" w:hAnsi="Arial" w:cs="Arial"/>
                <w:i/>
                <w:iCs/>
                <w:color w:val="000000"/>
                <w:szCs w:val="21"/>
              </w:rPr>
              <w:t>P</w:t>
            </w:r>
            <w:r w:rsidRPr="00D90645">
              <w:rPr>
                <w:rFonts w:ascii="Arial" w:hAnsi="Arial" w:cs="Arial"/>
                <w:color w:val="000000"/>
                <w:szCs w:val="21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E97F2B4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Cs w:val="21"/>
              </w:rPr>
            </w:pPr>
            <w:r w:rsidRPr="00D90645">
              <w:rPr>
                <w:rFonts w:ascii="Arial" w:hAnsi="Arial" w:cs="Arial"/>
                <w:color w:val="000000"/>
                <w:szCs w:val="21"/>
              </w:rPr>
              <w:t xml:space="preserve">HR (95% CI), </w:t>
            </w:r>
            <w:r w:rsidRPr="00D90645">
              <w:rPr>
                <w:rFonts w:ascii="Arial" w:hAnsi="Arial" w:cs="Arial"/>
                <w:i/>
                <w:iCs/>
                <w:color w:val="000000"/>
                <w:szCs w:val="21"/>
              </w:rPr>
              <w:t>P</w:t>
            </w:r>
            <w:r w:rsidRPr="00D90645">
              <w:rPr>
                <w:rFonts w:ascii="Arial" w:hAnsi="Arial" w:cs="Arial"/>
                <w:color w:val="000000"/>
                <w:szCs w:val="21"/>
              </w:rPr>
              <w:t xml:space="preserve"> value</w:t>
            </w:r>
          </w:p>
        </w:tc>
      </w:tr>
      <w:tr w:rsidR="00E25CCE" w:rsidRPr="00D90645" w14:paraId="58A90B5B" w14:textId="77777777" w:rsidTr="004A4BEA">
        <w:trPr>
          <w:trHeight w:val="217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01A4F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LYMPH count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EE3FD6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13C764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D50838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CCE" w:rsidRPr="00D90645" w14:paraId="4DEF4203" w14:textId="77777777" w:rsidTr="004A4BEA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5990B" w14:textId="77777777" w:rsidR="00E25CCE" w:rsidRPr="00D90645" w:rsidRDefault="00E25CCE" w:rsidP="004A4BE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Low-level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D25EC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489ED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C35F9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</w:tr>
      <w:tr w:rsidR="00E25CCE" w:rsidRPr="00D90645" w14:paraId="18EBCC92" w14:textId="77777777" w:rsidTr="004A4BE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43B8A" w14:textId="77777777" w:rsidR="00E25CCE" w:rsidRPr="00D90645" w:rsidRDefault="00E25CCE" w:rsidP="004A4BE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High-level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2CFDCA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1.458 (0.784, 2.710), 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11482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.295 (0.685, 2.448), 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CAF40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0.785 (0.324, 1.898), 0.590</w:t>
            </w:r>
          </w:p>
        </w:tc>
      </w:tr>
      <w:tr w:rsidR="00E25CCE" w:rsidRPr="00D90645" w14:paraId="4579A5FA" w14:textId="77777777" w:rsidTr="004A4BEA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B7DC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 w:hint="eastAsia"/>
                <w:color w:val="000000"/>
                <w:sz w:val="18"/>
                <w:szCs w:val="18"/>
              </w:rPr>
              <w:t>EO</w:t>
            </w: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814B51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35106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80A8E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CCE" w:rsidRPr="00D90645" w14:paraId="76B616A0" w14:textId="77777777" w:rsidTr="004A4BEA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15118" w14:textId="77777777" w:rsidR="00E25CCE" w:rsidRPr="00D90645" w:rsidRDefault="00E25CCE" w:rsidP="004A4BE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Low-level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F0E76C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B150A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315C0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</w:tr>
      <w:tr w:rsidR="00E25CCE" w:rsidRPr="00D90645" w14:paraId="000D009B" w14:textId="77777777" w:rsidTr="004A4BEA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EFAF3" w14:textId="77777777" w:rsidR="00E25CCE" w:rsidRPr="00D90645" w:rsidRDefault="00E25CCE" w:rsidP="004A4BE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High-level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E1BD1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 xml:space="preserve">2.412 (1.231, 4.728), </w:t>
            </w:r>
            <w:r w:rsidRPr="00D906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DC4BE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 xml:space="preserve">2.422 (1.222, 4.798), </w:t>
            </w:r>
            <w:r w:rsidRPr="00D906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1801F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2.034 (0.884, 4.683), 0.095</w:t>
            </w:r>
          </w:p>
        </w:tc>
      </w:tr>
      <w:tr w:rsidR="00E25CCE" w:rsidRPr="00D90645" w14:paraId="1C077CAF" w14:textId="77777777" w:rsidTr="004A4BEA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CD789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EO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5501A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ED8D2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BCCA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CCE" w:rsidRPr="00D90645" w14:paraId="01C8F9FB" w14:textId="77777777" w:rsidTr="004A4BEA">
        <w:trPr>
          <w:trHeight w:val="2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6FD3E" w14:textId="77777777" w:rsidR="00E25CCE" w:rsidRPr="00D90645" w:rsidRDefault="00E25CCE" w:rsidP="004A4BE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Low-level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E3227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6DAF5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ACC35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1.0 (ref)</w:t>
            </w:r>
          </w:p>
        </w:tc>
      </w:tr>
      <w:tr w:rsidR="00E25CCE" w:rsidRPr="00D90645" w14:paraId="3B7D3EF4" w14:textId="77777777" w:rsidTr="004A4BE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2AB4CE" w14:textId="77777777" w:rsidR="00E25CCE" w:rsidRPr="00D90645" w:rsidRDefault="00E25CCE" w:rsidP="004A4BE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_Hlk121683907"/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High-level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66F32A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.824 (0.956, 3.480), 0.068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B8B892C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1.880 (0.972, 3.637), 0.061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1A1AA7" w14:textId="77777777" w:rsidR="00E25CCE" w:rsidRPr="00D90645" w:rsidRDefault="00E25CCE" w:rsidP="004A4B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645">
              <w:rPr>
                <w:rFonts w:ascii="Arial" w:hAnsi="Arial" w:cs="Arial"/>
                <w:color w:val="000000"/>
                <w:sz w:val="18"/>
                <w:szCs w:val="18"/>
              </w:rPr>
              <w:t>1.508 (0.578, 3.936), 0.401</w:t>
            </w:r>
          </w:p>
        </w:tc>
      </w:tr>
    </w:tbl>
    <w:bookmarkEnd w:id="2"/>
    <w:p w14:paraId="4EE4D8A7" w14:textId="77777777" w:rsidR="00E25CCE" w:rsidRPr="00D90645" w:rsidRDefault="00E25CCE" w:rsidP="00E25CC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</w:rPr>
      </w:pPr>
      <w:r w:rsidRPr="00D90645">
        <w:rPr>
          <w:rFonts w:ascii="Arial" w:hAnsi="Arial" w:cs="Arial"/>
          <w:b/>
          <w:bCs/>
          <w:color w:val="000000"/>
          <w:sz w:val="18"/>
          <w:szCs w:val="18"/>
        </w:rPr>
        <w:t>Model 1:</w:t>
      </w:r>
      <w:r w:rsidRPr="00D90645">
        <w:rPr>
          <w:rFonts w:ascii="Arial" w:hAnsi="Arial" w:cs="Arial"/>
          <w:color w:val="000000"/>
          <w:sz w:val="18"/>
          <w:szCs w:val="18"/>
        </w:rPr>
        <w:t xml:space="preserve"> adjusted for </w:t>
      </w:r>
      <w:bookmarkStart w:id="3" w:name="_Hlk121305296"/>
      <w:r w:rsidRPr="00D90645">
        <w:rPr>
          <w:rFonts w:ascii="Arial" w:hAnsi="Arial" w:cs="Arial"/>
          <w:color w:val="000000"/>
          <w:sz w:val="18"/>
          <w:szCs w:val="18"/>
        </w:rPr>
        <w:t>a</w:t>
      </w:r>
      <w:r w:rsidRPr="00D90645">
        <w:rPr>
          <w:rFonts w:ascii="Arial" w:hAnsi="Arial" w:cs="Arial" w:hint="eastAsia"/>
          <w:color w:val="000000"/>
          <w:sz w:val="18"/>
          <w:szCs w:val="18"/>
        </w:rPr>
        <w:t>ge</w:t>
      </w:r>
      <w:r w:rsidRPr="00D90645">
        <w:rPr>
          <w:rFonts w:ascii="Arial" w:hAnsi="Arial" w:cs="Arial"/>
          <w:color w:val="000000"/>
          <w:sz w:val="18"/>
          <w:szCs w:val="18"/>
        </w:rPr>
        <w:t>, m</w:t>
      </w:r>
      <w:r w:rsidRPr="00D90645">
        <w:rPr>
          <w:rFonts w:ascii="Arial" w:hAnsi="Arial" w:cs="Arial" w:hint="eastAsia"/>
          <w:color w:val="000000"/>
          <w:sz w:val="18"/>
          <w:szCs w:val="18"/>
        </w:rPr>
        <w:t>ale sex</w:t>
      </w:r>
      <w:r w:rsidRPr="00D90645">
        <w:rPr>
          <w:rFonts w:ascii="Arial" w:hAnsi="Arial" w:cs="Arial"/>
          <w:color w:val="000000"/>
          <w:sz w:val="18"/>
          <w:szCs w:val="18"/>
        </w:rPr>
        <w:t>, BMI, smoking, DM, past PCI or CABG, SBP, DBP and LVEF.</w:t>
      </w:r>
      <w:r w:rsidRPr="00D90645">
        <w:rPr>
          <w:rFonts w:ascii="Arial" w:hAnsi="Arial" w:cs="Arial"/>
          <w:color w:val="000000"/>
          <w:sz w:val="18"/>
          <w:szCs w:val="18"/>
        </w:rPr>
        <w:br/>
      </w:r>
      <w:r w:rsidRPr="00D90645">
        <w:rPr>
          <w:rFonts w:ascii="Arial" w:hAnsi="Arial" w:cs="Arial"/>
          <w:b/>
          <w:bCs/>
          <w:color w:val="000000"/>
          <w:sz w:val="18"/>
          <w:szCs w:val="18"/>
        </w:rPr>
        <w:t>Model 2:</w:t>
      </w:r>
      <w:r w:rsidRPr="00D90645">
        <w:rPr>
          <w:rFonts w:ascii="Arial" w:hAnsi="Arial" w:cs="Arial"/>
          <w:color w:val="000000"/>
          <w:sz w:val="18"/>
          <w:szCs w:val="18"/>
        </w:rPr>
        <w:t xml:space="preserve"> further adjusted for RBC count, MCV, WBC count, NEUT count, LYMPH </w:t>
      </w:r>
      <w:r w:rsidRPr="00D90645">
        <w:rPr>
          <w:rFonts w:ascii="Arial" w:hAnsi="Arial" w:cs="Arial" w:hint="eastAsia"/>
          <w:color w:val="000000"/>
          <w:sz w:val="18"/>
          <w:szCs w:val="18"/>
        </w:rPr>
        <w:t>%</w:t>
      </w:r>
      <w:r w:rsidRPr="00D90645">
        <w:rPr>
          <w:rFonts w:ascii="Arial" w:hAnsi="Arial" w:cs="Arial"/>
          <w:color w:val="000000"/>
          <w:sz w:val="18"/>
          <w:szCs w:val="18"/>
        </w:rPr>
        <w:t>, MONO</w:t>
      </w:r>
      <w:r w:rsidRPr="00D90645">
        <w:rPr>
          <w:rFonts w:ascii="Arial" w:hAnsi="Arial" w:cs="Arial" w:hint="eastAsia"/>
          <w:color w:val="000000"/>
          <w:sz w:val="18"/>
          <w:szCs w:val="18"/>
        </w:rPr>
        <w:t xml:space="preserve"> %</w:t>
      </w:r>
      <w:bookmarkEnd w:id="3"/>
      <w:r w:rsidRPr="00D90645">
        <w:rPr>
          <w:rFonts w:ascii="Arial" w:hAnsi="Arial" w:cs="Arial"/>
          <w:color w:val="000000"/>
          <w:sz w:val="18"/>
          <w:szCs w:val="18"/>
        </w:rPr>
        <w:t>, NT-proBNP, blood glucose and D-Dimer.</w:t>
      </w:r>
    </w:p>
    <w:p w14:paraId="739B07C9" w14:textId="5E120421" w:rsidR="00E25CCE" w:rsidRPr="00D90645" w:rsidRDefault="00E25CCE" w:rsidP="00E25CCE">
      <w:pPr>
        <w:rPr>
          <w:rFonts w:ascii="Arial" w:hAnsi="Arial" w:cs="Arial"/>
          <w:color w:val="000000"/>
          <w:sz w:val="18"/>
          <w:szCs w:val="18"/>
        </w:rPr>
      </w:pPr>
      <w:r w:rsidRPr="00D90645">
        <w:rPr>
          <w:rFonts w:ascii="Arial" w:hAnsi="Arial" w:cs="Arial"/>
          <w:b/>
          <w:bCs/>
          <w:color w:val="000000"/>
          <w:sz w:val="18"/>
          <w:szCs w:val="18"/>
        </w:rPr>
        <w:t xml:space="preserve">Abbreviations: </w:t>
      </w:r>
      <w:r w:rsidRPr="00D90645">
        <w:rPr>
          <w:rFonts w:ascii="Arial" w:hAnsi="Arial" w:cs="Arial"/>
          <w:color w:val="000000"/>
          <w:sz w:val="18"/>
          <w:szCs w:val="18"/>
        </w:rPr>
        <w:t>LYMPH: Lymphocyte</w:t>
      </w:r>
      <w:r w:rsidRPr="00D90645">
        <w:rPr>
          <w:rFonts w:ascii="Arial" w:hAnsi="Arial" w:cs="Arial" w:hint="eastAsia"/>
          <w:color w:val="000000"/>
          <w:sz w:val="18"/>
          <w:szCs w:val="18"/>
        </w:rPr>
        <w:t>;</w:t>
      </w:r>
      <w:r w:rsidRPr="00D90645">
        <w:rPr>
          <w:rFonts w:ascii="Arial" w:hAnsi="Arial" w:cs="Arial"/>
          <w:color w:val="000000"/>
          <w:sz w:val="18"/>
          <w:szCs w:val="18"/>
        </w:rPr>
        <w:t xml:space="preserve"> EO: Eosinophilic granulocyte; HR: hazard ratio; CI: confidence interval</w:t>
      </w:r>
      <w:r w:rsidRPr="00D90645">
        <w:rPr>
          <w:rFonts w:ascii="Arial" w:hAnsi="Arial" w:cs="Arial" w:hint="eastAsia"/>
          <w:color w:val="000000"/>
          <w:sz w:val="18"/>
          <w:szCs w:val="18"/>
        </w:rPr>
        <w:t>;</w:t>
      </w:r>
      <w:r w:rsidRPr="00D90645">
        <w:rPr>
          <w:rFonts w:ascii="Arial" w:hAnsi="Arial" w:cs="Arial"/>
          <w:color w:val="000000"/>
          <w:sz w:val="18"/>
          <w:szCs w:val="18"/>
        </w:rPr>
        <w:t xml:space="preserve"> </w:t>
      </w:r>
      <w:r w:rsidRPr="00D90645">
        <w:rPr>
          <w:rFonts w:ascii="Arial" w:eastAsia="CIDFont+F2" w:hAnsi="Arial" w:cs="Arial"/>
          <w:color w:val="000000"/>
          <w:kern w:val="0"/>
          <w:sz w:val="18"/>
          <w:szCs w:val="18"/>
        </w:rPr>
        <w:t xml:space="preserve">ref: reference group; </w:t>
      </w:r>
      <w:r w:rsidRPr="00D90645">
        <w:rPr>
          <w:rFonts w:ascii="Arial" w:hAnsi="Arial" w:cs="Arial" w:hint="eastAsia"/>
          <w:color w:val="000000"/>
          <w:sz w:val="18"/>
          <w:szCs w:val="18"/>
        </w:rPr>
        <w:t>PLT</w:t>
      </w:r>
      <w:r w:rsidRPr="00D90645">
        <w:rPr>
          <w:rFonts w:ascii="Arial" w:hAnsi="Arial" w:cs="Arial"/>
          <w:color w:val="000000"/>
          <w:sz w:val="18"/>
          <w:szCs w:val="18"/>
        </w:rPr>
        <w:t>: Platelet; LYMPH: Lymphocyte</w:t>
      </w:r>
      <w:r w:rsidRPr="00D90645">
        <w:rPr>
          <w:rFonts w:ascii="Arial" w:hAnsi="Arial" w:cs="Arial" w:hint="eastAsia"/>
          <w:color w:val="000000"/>
          <w:sz w:val="18"/>
          <w:szCs w:val="18"/>
        </w:rPr>
        <w:t>;</w:t>
      </w:r>
      <w:r w:rsidRPr="00D90645">
        <w:rPr>
          <w:rFonts w:ascii="Arial" w:hAnsi="Arial" w:cs="Arial"/>
          <w:color w:val="000000"/>
          <w:sz w:val="18"/>
          <w:szCs w:val="18"/>
        </w:rPr>
        <w:t xml:space="preserve"> EO: Eosinophilic granulocyte; HR: hazard ratio; CI: confidence interval; BMI:</w:t>
      </w:r>
      <w:r w:rsidRPr="00D90645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D90645">
        <w:rPr>
          <w:rFonts w:ascii="Arial" w:hAnsi="Arial" w:cs="Arial"/>
          <w:color w:val="000000"/>
          <w:sz w:val="18"/>
          <w:szCs w:val="18"/>
        </w:rPr>
        <w:t>body mass index;</w:t>
      </w:r>
      <w:r w:rsidRPr="00D90645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D90645">
        <w:rPr>
          <w:rFonts w:ascii="Arial" w:hAnsi="Arial" w:cs="Arial"/>
          <w:color w:val="000000"/>
          <w:sz w:val="18"/>
          <w:szCs w:val="18"/>
        </w:rPr>
        <w:t xml:space="preserve">DM: </w:t>
      </w:r>
      <w:r w:rsidRPr="00D90645">
        <w:rPr>
          <w:rFonts w:ascii="Arial" w:hAnsi="Arial" w:cs="Arial" w:hint="eastAsia"/>
          <w:color w:val="000000"/>
          <w:sz w:val="18"/>
          <w:szCs w:val="18"/>
        </w:rPr>
        <w:t>Diabetes Mellitus</w:t>
      </w:r>
      <w:r w:rsidRPr="00D90645">
        <w:rPr>
          <w:rFonts w:ascii="Arial" w:hAnsi="Arial" w:cs="Arial"/>
          <w:color w:val="000000"/>
          <w:sz w:val="18"/>
          <w:szCs w:val="18"/>
        </w:rPr>
        <w:t>; PCI:</w:t>
      </w:r>
      <w:r w:rsidRPr="00D90645">
        <w:rPr>
          <w:rFonts w:ascii="Arial" w:hAnsi="Arial" w:cs="Arial" w:hint="eastAsia"/>
          <w:color w:val="000000"/>
          <w:sz w:val="18"/>
          <w:szCs w:val="18"/>
        </w:rPr>
        <w:t xml:space="preserve"> </w:t>
      </w:r>
      <w:r w:rsidRPr="00D90645">
        <w:rPr>
          <w:rFonts w:ascii="Arial" w:hAnsi="Arial" w:cs="Arial"/>
          <w:color w:val="000000"/>
          <w:sz w:val="18"/>
          <w:szCs w:val="18"/>
        </w:rPr>
        <w:t xml:space="preserve">percutaneous coronary intervention; CABG: coronary artery bypass grafting; SBP: systolic blood pressure; DBP: </w:t>
      </w:r>
      <w:r w:rsidRPr="00D90645">
        <w:rPr>
          <w:rFonts w:ascii="Arial" w:hAnsi="Arial" w:cs="Arial"/>
          <w:color w:val="000000"/>
          <w:sz w:val="18"/>
          <w:szCs w:val="18"/>
        </w:rPr>
        <w:lastRenderedPageBreak/>
        <w:t>diastolic blood pressure; LVEF: left ventricular ejection fraction; RBC: red blood cell; MCV: mean corpuscular volume; WBC: white blood cell; NEUT: Neutrophilic granulocyte; MONO: Monocyte; NT-proBNP: N-terminal pro-B-type natriuretic peptide.</w:t>
      </w:r>
    </w:p>
    <w:p w14:paraId="2FF71081" w14:textId="4C6A71DE" w:rsidR="00293B95" w:rsidRPr="00D90645" w:rsidRDefault="00293B95" w:rsidP="00E25CCE">
      <w:pPr>
        <w:rPr>
          <w:rFonts w:ascii="Arial" w:hAnsi="Arial" w:cs="Arial"/>
          <w:color w:val="000000"/>
          <w:sz w:val="18"/>
          <w:szCs w:val="18"/>
        </w:rPr>
      </w:pPr>
      <w:r w:rsidRPr="00D90645">
        <w:rPr>
          <w:rFonts w:ascii="Arial" w:hAnsi="Arial" w:cs="Arial"/>
          <w:color w:val="000000"/>
          <w:sz w:val="18"/>
          <w:szCs w:val="18"/>
        </w:rPr>
        <w:t xml:space="preserve">Bold font denotes </w:t>
      </w:r>
      <w:r w:rsidRPr="00D90645">
        <w:rPr>
          <w:rFonts w:ascii="Arial" w:hAnsi="Arial" w:cs="Arial"/>
          <w:i/>
          <w:iCs/>
          <w:color w:val="000000"/>
          <w:sz w:val="18"/>
          <w:szCs w:val="18"/>
        </w:rPr>
        <w:t>P</w:t>
      </w:r>
      <w:r w:rsidRPr="00D90645">
        <w:rPr>
          <w:rFonts w:ascii="Arial" w:hAnsi="Arial" w:cs="Arial"/>
          <w:color w:val="000000"/>
          <w:sz w:val="18"/>
          <w:szCs w:val="18"/>
        </w:rPr>
        <w:t xml:space="preserve"> &lt; 0.05.</w:t>
      </w:r>
    </w:p>
    <w:sectPr w:rsidR="00293B95" w:rsidRPr="00D90645" w:rsidSect="00E25CCE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F161" w14:textId="77777777" w:rsidR="007E15D6" w:rsidRDefault="007E15D6" w:rsidP="00E25CCE">
      <w:r>
        <w:separator/>
      </w:r>
    </w:p>
  </w:endnote>
  <w:endnote w:type="continuationSeparator" w:id="0">
    <w:p w14:paraId="584BE4E4" w14:textId="77777777" w:rsidR="007E15D6" w:rsidRDefault="007E15D6" w:rsidP="00E2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8637" w14:textId="4442BA92" w:rsidR="00767CA1" w:rsidRDefault="00D9064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FC538C" wp14:editId="3F2427A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e49d4ad893cf05ef0a80962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C8793C" w14:textId="50BA177F" w:rsidR="00D90645" w:rsidRPr="00D90645" w:rsidRDefault="00D90645" w:rsidP="00D90645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9064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C538C" id="_x0000_t202" coordsize="21600,21600" o:spt="202" path="m,l,21600r21600,l21600,xe">
              <v:stroke joinstyle="miter"/>
              <v:path gradientshapeok="t" o:connecttype="rect"/>
            </v:shapetype>
            <v:shape id="MSIPCMe49d4ad893cf05ef0a80962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1C8793C" w14:textId="50BA177F" w:rsidR="00D90645" w:rsidRPr="00D90645" w:rsidRDefault="00D90645" w:rsidP="00D90645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9064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74582649"/>
        <w:docPartObj>
          <w:docPartGallery w:val="Page Numbers (Bottom of Page)"/>
          <w:docPartUnique/>
        </w:docPartObj>
      </w:sdtPr>
      <w:sdtEndPr/>
      <w:sdtContent>
        <w:r w:rsidR="00767CA1">
          <w:fldChar w:fldCharType="begin"/>
        </w:r>
        <w:r w:rsidR="00767CA1">
          <w:instrText>PAGE   \* MERGEFORMAT</w:instrText>
        </w:r>
        <w:r w:rsidR="00767CA1">
          <w:fldChar w:fldCharType="separate"/>
        </w:r>
        <w:r w:rsidR="00767CA1">
          <w:rPr>
            <w:lang w:val="zh-CN"/>
          </w:rPr>
          <w:t>2</w:t>
        </w:r>
        <w:r w:rsidR="00767CA1">
          <w:fldChar w:fldCharType="end"/>
        </w:r>
      </w:sdtContent>
    </w:sdt>
  </w:p>
  <w:p w14:paraId="1C17F580" w14:textId="77777777" w:rsidR="00E25CCE" w:rsidRDefault="00E25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A7BA" w14:textId="77777777" w:rsidR="007E15D6" w:rsidRDefault="007E15D6" w:rsidP="00E25CCE">
      <w:r>
        <w:separator/>
      </w:r>
    </w:p>
  </w:footnote>
  <w:footnote w:type="continuationSeparator" w:id="0">
    <w:p w14:paraId="3333752A" w14:textId="77777777" w:rsidR="007E15D6" w:rsidRDefault="007E15D6" w:rsidP="00E25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TI1MLO0NLU0NTJV0lEKTi0uzszPAykwrAUAHi4EACwAAAA="/>
  </w:docVars>
  <w:rsids>
    <w:rsidRoot w:val="005B787C"/>
    <w:rsid w:val="000C5C74"/>
    <w:rsid w:val="00293B95"/>
    <w:rsid w:val="00542AF4"/>
    <w:rsid w:val="005B4D99"/>
    <w:rsid w:val="005B787C"/>
    <w:rsid w:val="00605451"/>
    <w:rsid w:val="006962A9"/>
    <w:rsid w:val="00767CA1"/>
    <w:rsid w:val="007E15D6"/>
    <w:rsid w:val="00965414"/>
    <w:rsid w:val="00974AB4"/>
    <w:rsid w:val="00A87BBE"/>
    <w:rsid w:val="00CC1D65"/>
    <w:rsid w:val="00D90645"/>
    <w:rsid w:val="00E25CCE"/>
    <w:rsid w:val="00E5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9303"/>
  <w15:chartTrackingRefBased/>
  <w15:docId w15:val="{3F2951FE-D788-46F2-ADD8-B924969B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CE"/>
    <w:pPr>
      <w:widowControl w:val="0"/>
      <w:jc w:val="both"/>
    </w:pPr>
    <w:rPr>
      <w:rFonts w:ascii="Calibri" w:eastAsia="SimSu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C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5CC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5C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5CCE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2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Khanapur, Soumya</cp:lastModifiedBy>
  <cp:revision>3</cp:revision>
  <dcterms:created xsi:type="dcterms:W3CDTF">2023-05-31T21:35:00Z</dcterms:created>
  <dcterms:modified xsi:type="dcterms:W3CDTF">2023-05-31T21:35:00Z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2023-05-31T21:35:26Z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9cbb7c77-b2b6-43fe-aefe-5c4ff85f7479</vt:lpwstr>
  </property>
  <property fmtid="{D5CDD505-2E9C-101B-9397-08002B2CF9AE}" pid="8" name="MSIP_Label_2bbab825-a111-45e4-86a1-18cee0005896_ContentBits">
    <vt:lpwstr>2</vt:lpwstr>
  </property>
</Properties>
</file>