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66554" w14:textId="77777777" w:rsidR="006E4D67" w:rsidRPr="009D596E" w:rsidRDefault="006E4D67" w:rsidP="006E4D67">
      <w:pPr>
        <w:spacing w:line="480" w:lineRule="auto"/>
        <w:rPr>
          <w:rFonts w:cs="Times New Roman"/>
          <w:b/>
          <w:bCs/>
          <w:color w:val="000000"/>
          <w:szCs w:val="24"/>
        </w:rPr>
      </w:pPr>
      <w:r w:rsidRPr="009D596E">
        <w:rPr>
          <w:rFonts w:cs="Times New Roman"/>
          <w:b/>
          <w:bCs/>
          <w:color w:val="000000"/>
          <w:szCs w:val="24"/>
        </w:rPr>
        <w:t>Supplementary</w:t>
      </w:r>
      <w:r w:rsidRPr="009D596E">
        <w:rPr>
          <w:rFonts w:cs="Times New Roman"/>
          <w:bCs/>
          <w:color w:val="000000"/>
          <w:szCs w:val="24"/>
        </w:rPr>
        <w:t xml:space="preserve"> </w:t>
      </w:r>
      <w:r w:rsidR="002E47D7" w:rsidRPr="009D596E">
        <w:rPr>
          <w:rFonts w:eastAsiaTheme="minorEastAsia" w:cs="Times New Roman" w:hint="eastAsia"/>
          <w:b/>
          <w:bCs/>
          <w:color w:val="000000"/>
          <w:szCs w:val="24"/>
        </w:rPr>
        <w:t>figures and</w:t>
      </w:r>
      <w:r w:rsidR="002E47D7" w:rsidRPr="009D596E">
        <w:rPr>
          <w:rFonts w:eastAsiaTheme="minorEastAsia" w:cs="Times New Roman" w:hint="eastAsia"/>
          <w:bCs/>
          <w:color w:val="000000"/>
          <w:szCs w:val="24"/>
        </w:rPr>
        <w:t xml:space="preserve"> </w:t>
      </w:r>
      <w:r w:rsidRPr="009D596E">
        <w:rPr>
          <w:rFonts w:cs="Times New Roman"/>
          <w:b/>
          <w:bCs/>
          <w:color w:val="000000"/>
          <w:szCs w:val="24"/>
        </w:rPr>
        <w:t>figure</w:t>
      </w:r>
      <w:r w:rsidRPr="009D596E">
        <w:rPr>
          <w:rFonts w:cs="Times New Roman"/>
          <w:bCs/>
          <w:color w:val="000000"/>
          <w:szCs w:val="24"/>
        </w:rPr>
        <w:t xml:space="preserve"> </w:t>
      </w:r>
      <w:r w:rsidRPr="009D596E">
        <w:rPr>
          <w:rFonts w:cs="Times New Roman"/>
          <w:b/>
          <w:bCs/>
          <w:color w:val="000000"/>
          <w:szCs w:val="24"/>
        </w:rPr>
        <w:t>legends</w:t>
      </w:r>
    </w:p>
    <w:p w14:paraId="723A186F" w14:textId="0B505BBA" w:rsidR="00EE4E5C" w:rsidRPr="009D596E" w:rsidRDefault="002E47D7" w:rsidP="00EE4E5C">
      <w:pPr>
        <w:spacing w:line="480" w:lineRule="auto"/>
        <w:rPr>
          <w:rFonts w:cs="Times New Roman"/>
          <w:color w:val="000000"/>
        </w:rPr>
      </w:pPr>
      <w:r w:rsidRPr="009D596E">
        <w:rPr>
          <w:rFonts w:cs="Times New Roman"/>
          <w:b/>
          <w:bCs/>
          <w:noProof/>
          <w:color w:val="000000"/>
          <w:szCs w:val="24"/>
        </w:rPr>
        <w:drawing>
          <wp:inline distT="0" distB="0" distL="0" distR="0" wp14:anchorId="7F9773F8" wp14:editId="7048E096">
            <wp:extent cx="5400040" cy="2497178"/>
            <wp:effectExtent l="0" t="0" r="0" b="0"/>
            <wp:docPr id="1" name="图片 1" descr="E:\投稿\20221017泛生子-肺癌\20230505-IJGM-一修修回\图片修改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投稿\20221017泛生子-肺癌\20230505-IJGM-一修修回\图片修改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9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D67" w:rsidRPr="009D596E">
        <w:rPr>
          <w:rFonts w:cs="Times New Roman"/>
          <w:b/>
          <w:bCs/>
          <w:color w:val="000000"/>
          <w:szCs w:val="24"/>
        </w:rPr>
        <w:t>Supplementary</w:t>
      </w:r>
      <w:r w:rsidR="006E4D67" w:rsidRPr="009D596E">
        <w:rPr>
          <w:rFonts w:eastAsia="Microsoft YaHei" w:cs="Times New Roman"/>
          <w:b/>
          <w:bCs/>
          <w:color w:val="000000"/>
          <w:szCs w:val="24"/>
        </w:rPr>
        <w:t xml:space="preserve"> </w:t>
      </w:r>
      <w:r w:rsidR="00035AB3">
        <w:rPr>
          <w:rFonts w:eastAsia="Microsoft YaHei" w:cs="Times New Roman"/>
          <w:b/>
          <w:bCs/>
          <w:color w:val="000000"/>
          <w:szCs w:val="24"/>
        </w:rPr>
        <w:t>F</w:t>
      </w:r>
      <w:r w:rsidR="006E4D67" w:rsidRPr="009D596E">
        <w:rPr>
          <w:rFonts w:eastAsia="Microsoft YaHei" w:cs="Times New Roman"/>
          <w:b/>
          <w:bCs/>
          <w:color w:val="000000"/>
          <w:szCs w:val="24"/>
        </w:rPr>
        <w:t>ig</w:t>
      </w:r>
      <w:r w:rsidR="00035AB3">
        <w:rPr>
          <w:rFonts w:eastAsia="Microsoft YaHei" w:cs="Times New Roman"/>
          <w:b/>
          <w:bCs/>
          <w:color w:val="000000"/>
          <w:szCs w:val="24"/>
        </w:rPr>
        <w:t>ure</w:t>
      </w:r>
      <w:r w:rsidR="006E4D67" w:rsidRPr="009D596E">
        <w:rPr>
          <w:rFonts w:eastAsia="Microsoft YaHei" w:cs="Times New Roman"/>
          <w:b/>
          <w:bCs/>
          <w:color w:val="000000"/>
          <w:szCs w:val="24"/>
        </w:rPr>
        <w:t xml:space="preserve"> 1</w:t>
      </w:r>
      <w:r w:rsidR="006E4D67" w:rsidRPr="009D596E">
        <w:rPr>
          <w:rFonts w:eastAsia="Microsoft YaHei" w:cs="Times New Roman" w:hint="eastAsia"/>
          <w:b/>
          <w:bCs/>
          <w:color w:val="000000"/>
          <w:szCs w:val="24"/>
        </w:rPr>
        <w:t>.</w:t>
      </w:r>
      <w:r w:rsidR="006E4D67" w:rsidRPr="009D596E">
        <w:rPr>
          <w:rFonts w:eastAsia="Microsoft YaHei" w:cs="Times New Roman"/>
          <w:b/>
          <w:color w:val="000000"/>
          <w:szCs w:val="24"/>
        </w:rPr>
        <w:t xml:space="preserve"> </w:t>
      </w:r>
      <w:r w:rsidR="006E4D67" w:rsidRPr="009D596E">
        <w:rPr>
          <w:rFonts w:eastAsia="Microsoft YaHei" w:cs="Times New Roman"/>
          <w:color w:val="000000"/>
          <w:szCs w:val="24"/>
        </w:rPr>
        <w:t>Expression of characteristic genes and immune infiltration. A</w:t>
      </w:r>
      <w:r w:rsidR="006E4D67" w:rsidRPr="009D596E">
        <w:rPr>
          <w:rFonts w:eastAsia="Microsoft YaHei" w:cs="Times New Roman" w:hint="eastAsia"/>
          <w:color w:val="000000"/>
          <w:szCs w:val="24"/>
        </w:rPr>
        <w:t>)</w:t>
      </w:r>
      <w:r w:rsidR="006E4D67" w:rsidRPr="009D596E">
        <w:rPr>
          <w:rFonts w:eastAsia="Microsoft YaHei" w:cs="Times New Roman"/>
          <w:color w:val="000000"/>
          <w:szCs w:val="24"/>
        </w:rPr>
        <w:t xml:space="preserve"> Expression of characteristic genes in normal samples and LUAD samples. From left to right: NLRC4, NLRP1, NOD1, PLCG1 and CASP9; B</w:t>
      </w:r>
      <w:r w:rsidR="006E4D67" w:rsidRPr="009D596E">
        <w:rPr>
          <w:rFonts w:eastAsia="Microsoft YaHei" w:cs="Times New Roman" w:hint="eastAsia"/>
          <w:color w:val="000000"/>
          <w:szCs w:val="24"/>
        </w:rPr>
        <w:t>)</w:t>
      </w:r>
      <w:r w:rsidR="006E4D67" w:rsidRPr="009D596E">
        <w:rPr>
          <w:rFonts w:eastAsia="Microsoft YaHei" w:cs="Times New Roman"/>
          <w:color w:val="000000"/>
          <w:szCs w:val="24"/>
        </w:rPr>
        <w:t xml:space="preserve"> Estimation of immune infiltration in LUAD patients with high and low-score risk.</w:t>
      </w:r>
      <w:r w:rsidR="00EE4E5C" w:rsidRPr="009D596E">
        <w:rPr>
          <w:rFonts w:eastAsia="Microsoft YaHei" w:cs="Times New Roman" w:hint="eastAsia"/>
          <w:color w:val="000000"/>
          <w:szCs w:val="24"/>
        </w:rPr>
        <w:t xml:space="preserve"> </w:t>
      </w:r>
      <w:r w:rsidR="00EE4E5C" w:rsidRPr="009D596E">
        <w:rPr>
          <w:rFonts w:cs="Times New Roman"/>
          <w:color w:val="000000"/>
          <w:vertAlign w:val="superscript"/>
        </w:rPr>
        <w:t>*</w:t>
      </w:r>
      <w:r w:rsidR="00EE4E5C" w:rsidRPr="009D596E">
        <w:rPr>
          <w:rFonts w:cs="Times New Roman"/>
          <w:i/>
          <w:color w:val="000000"/>
        </w:rPr>
        <w:t xml:space="preserve">P </w:t>
      </w:r>
      <w:r w:rsidR="00EE4E5C" w:rsidRPr="009D596E">
        <w:rPr>
          <w:rFonts w:cs="Times New Roman"/>
          <w:color w:val="000000"/>
        </w:rPr>
        <w:t>&lt; 0.0</w:t>
      </w:r>
      <w:r w:rsidR="00EE4E5C" w:rsidRPr="009D596E">
        <w:rPr>
          <w:rFonts w:cs="Times New Roman" w:hint="eastAsia"/>
          <w:color w:val="000000"/>
        </w:rPr>
        <w:t xml:space="preserve">5; </w:t>
      </w:r>
      <w:r w:rsidR="00EE4E5C" w:rsidRPr="009D596E">
        <w:rPr>
          <w:rFonts w:cs="Times New Roman"/>
          <w:color w:val="000000"/>
          <w:vertAlign w:val="superscript"/>
        </w:rPr>
        <w:t>**</w:t>
      </w:r>
      <w:r w:rsidR="00EE4E5C" w:rsidRPr="009D596E">
        <w:rPr>
          <w:rFonts w:cs="Times New Roman"/>
          <w:i/>
          <w:color w:val="000000"/>
        </w:rPr>
        <w:t xml:space="preserve">P </w:t>
      </w:r>
      <w:r w:rsidR="00EE4E5C" w:rsidRPr="009D596E">
        <w:rPr>
          <w:rFonts w:cs="Times New Roman"/>
          <w:color w:val="000000"/>
        </w:rPr>
        <w:t>&lt; 0.01;</w:t>
      </w:r>
      <w:r w:rsidR="00EE4E5C" w:rsidRPr="009D596E">
        <w:rPr>
          <w:rFonts w:cs="Times New Roman"/>
          <w:color w:val="000000"/>
          <w:vertAlign w:val="superscript"/>
        </w:rPr>
        <w:t xml:space="preserve"> ***</w:t>
      </w:r>
      <w:r w:rsidR="00EE4E5C" w:rsidRPr="009D596E">
        <w:rPr>
          <w:rFonts w:cs="Times New Roman"/>
          <w:i/>
          <w:color w:val="000000"/>
        </w:rPr>
        <w:t xml:space="preserve"> P</w:t>
      </w:r>
      <w:r w:rsidR="00EE4E5C" w:rsidRPr="009D596E">
        <w:rPr>
          <w:rFonts w:cs="Times New Roman"/>
          <w:color w:val="000000"/>
        </w:rPr>
        <w:t xml:space="preserve"> &lt; 0.001; </w:t>
      </w:r>
      <w:r w:rsidR="00EE4E5C" w:rsidRPr="009D596E">
        <w:rPr>
          <w:rFonts w:cs="Times New Roman"/>
          <w:color w:val="000000"/>
          <w:vertAlign w:val="superscript"/>
        </w:rPr>
        <w:t>****</w:t>
      </w:r>
      <w:r w:rsidR="00EE4E5C" w:rsidRPr="009D596E">
        <w:rPr>
          <w:rFonts w:cs="Times New Roman"/>
          <w:i/>
          <w:color w:val="000000"/>
        </w:rPr>
        <w:t xml:space="preserve"> P</w:t>
      </w:r>
      <w:r w:rsidR="00EE4E5C" w:rsidRPr="009D596E">
        <w:rPr>
          <w:rFonts w:cs="Times New Roman"/>
          <w:color w:val="000000"/>
        </w:rPr>
        <w:t xml:space="preserve"> &lt; 0.0001; ns: not significant.</w:t>
      </w:r>
    </w:p>
    <w:p w14:paraId="39C8611F" w14:textId="77777777" w:rsidR="002E47D7" w:rsidRPr="009D596E" w:rsidRDefault="002E47D7" w:rsidP="006E4D67">
      <w:pPr>
        <w:spacing w:line="480" w:lineRule="auto"/>
        <w:rPr>
          <w:rFonts w:eastAsiaTheme="minorEastAsia" w:cs="Times New Roman"/>
          <w:b/>
          <w:bCs/>
          <w:color w:val="000000"/>
          <w:szCs w:val="24"/>
        </w:rPr>
      </w:pPr>
      <w:r w:rsidRPr="009D596E">
        <w:rPr>
          <w:rFonts w:eastAsiaTheme="minorEastAsia" w:cs="Times New Roman"/>
          <w:b/>
          <w:bCs/>
          <w:noProof/>
          <w:color w:val="000000"/>
          <w:szCs w:val="24"/>
        </w:rPr>
        <w:drawing>
          <wp:inline distT="0" distB="0" distL="0" distR="0" wp14:anchorId="36DCBF1F" wp14:editId="4D9CE001">
            <wp:extent cx="5400040" cy="2124206"/>
            <wp:effectExtent l="0" t="0" r="0" b="9525"/>
            <wp:docPr id="2" name="图片 2" descr="E:\投稿\20221017泛生子-肺癌\20230505-IJGM-一修修回\图片修改\Supplementary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投稿\20221017泛生子-肺癌\20230505-IJGM-一修修回\图片修改\Supplementary Figure 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B368" w14:textId="30BED29F" w:rsidR="006E4D67" w:rsidRPr="009D596E" w:rsidRDefault="00035AB3" w:rsidP="006E4D67">
      <w:pPr>
        <w:spacing w:line="480" w:lineRule="auto"/>
        <w:rPr>
          <w:rFonts w:eastAsia="Microsoft YaHei" w:cs="Times New Roman"/>
          <w:color w:val="000000"/>
          <w:szCs w:val="24"/>
        </w:rPr>
      </w:pPr>
      <w:r w:rsidRPr="009D596E">
        <w:rPr>
          <w:rFonts w:cs="Times New Roman"/>
          <w:b/>
          <w:bCs/>
          <w:color w:val="000000"/>
          <w:szCs w:val="24"/>
        </w:rPr>
        <w:t>Supplementary</w:t>
      </w:r>
      <w:r w:rsidRPr="009D596E">
        <w:rPr>
          <w:rFonts w:eastAsia="Microsoft YaHei" w:cs="Times New Roman"/>
          <w:b/>
          <w:bCs/>
          <w:color w:val="000000"/>
          <w:szCs w:val="24"/>
        </w:rPr>
        <w:t xml:space="preserve"> </w:t>
      </w:r>
      <w:r>
        <w:rPr>
          <w:rFonts w:eastAsia="Microsoft YaHei" w:cs="Times New Roman"/>
          <w:b/>
          <w:bCs/>
          <w:color w:val="000000"/>
          <w:szCs w:val="24"/>
        </w:rPr>
        <w:t>F</w:t>
      </w:r>
      <w:r w:rsidRPr="009D596E">
        <w:rPr>
          <w:rFonts w:eastAsia="Microsoft YaHei" w:cs="Times New Roman"/>
          <w:b/>
          <w:bCs/>
          <w:color w:val="000000"/>
          <w:szCs w:val="24"/>
        </w:rPr>
        <w:t>ig</w:t>
      </w:r>
      <w:r>
        <w:rPr>
          <w:rFonts w:eastAsia="Microsoft YaHei" w:cs="Times New Roman"/>
          <w:b/>
          <w:bCs/>
          <w:color w:val="000000"/>
          <w:szCs w:val="24"/>
        </w:rPr>
        <w:t>ure</w:t>
      </w:r>
      <w:r w:rsidRPr="009D596E">
        <w:rPr>
          <w:rFonts w:eastAsia="Microsoft YaHei" w:cs="Times New Roman"/>
          <w:b/>
          <w:bCs/>
          <w:color w:val="000000"/>
          <w:szCs w:val="24"/>
        </w:rPr>
        <w:t xml:space="preserve"> </w:t>
      </w:r>
      <w:r w:rsidR="006E4D67" w:rsidRPr="009D596E">
        <w:rPr>
          <w:rFonts w:eastAsia="Microsoft YaHei" w:cs="Times New Roman"/>
          <w:b/>
          <w:bCs/>
          <w:color w:val="000000"/>
          <w:szCs w:val="24"/>
        </w:rPr>
        <w:t>2</w:t>
      </w:r>
      <w:r w:rsidR="006E4D67" w:rsidRPr="009D596E">
        <w:rPr>
          <w:rFonts w:eastAsia="Microsoft YaHei" w:cs="Times New Roman" w:hint="eastAsia"/>
          <w:b/>
          <w:bCs/>
          <w:color w:val="000000"/>
          <w:szCs w:val="24"/>
        </w:rPr>
        <w:t>.</w:t>
      </w:r>
      <w:r w:rsidR="006E4D67" w:rsidRPr="009D596E">
        <w:rPr>
          <w:rFonts w:eastAsia="Microsoft YaHei" w:cs="Times New Roman"/>
          <w:b/>
          <w:color w:val="000000"/>
          <w:szCs w:val="24"/>
        </w:rPr>
        <w:t xml:space="preserve"> </w:t>
      </w:r>
      <w:r w:rsidR="006E4D67" w:rsidRPr="009D596E">
        <w:rPr>
          <w:rFonts w:eastAsia="Microsoft YaHei" w:cs="Times New Roman"/>
          <w:color w:val="000000"/>
          <w:szCs w:val="24"/>
        </w:rPr>
        <w:t>The difference of TMB and GO enrichment of genes between high and low-risk score groups. A</w:t>
      </w:r>
      <w:r w:rsidR="006E4D67" w:rsidRPr="009D596E">
        <w:rPr>
          <w:rFonts w:eastAsia="Microsoft YaHei" w:cs="Times New Roman" w:hint="eastAsia"/>
          <w:color w:val="000000"/>
          <w:szCs w:val="24"/>
        </w:rPr>
        <w:t>)</w:t>
      </w:r>
      <w:r w:rsidR="006E4D67" w:rsidRPr="009D596E">
        <w:rPr>
          <w:rFonts w:eastAsia="Microsoft YaHei" w:cs="Times New Roman"/>
          <w:color w:val="000000"/>
          <w:szCs w:val="24"/>
        </w:rPr>
        <w:t xml:space="preserve"> The significant pathway between high and </w:t>
      </w:r>
      <w:r w:rsidR="006E4D67" w:rsidRPr="009D596E">
        <w:rPr>
          <w:rFonts w:eastAsia="Microsoft YaHei" w:cs="Times New Roman"/>
          <w:color w:val="000000"/>
          <w:szCs w:val="24"/>
        </w:rPr>
        <w:lastRenderedPageBreak/>
        <w:t>low-risk score groups analyzed by GSVA; B</w:t>
      </w:r>
      <w:r w:rsidR="006E4D67" w:rsidRPr="009D596E">
        <w:rPr>
          <w:rFonts w:eastAsia="Microsoft YaHei" w:cs="Times New Roman" w:hint="eastAsia"/>
          <w:color w:val="000000"/>
          <w:szCs w:val="24"/>
        </w:rPr>
        <w:t xml:space="preserve">) </w:t>
      </w:r>
      <w:r w:rsidR="006E4D67" w:rsidRPr="009D596E">
        <w:rPr>
          <w:rFonts w:eastAsia="Microsoft YaHei" w:cs="Times New Roman"/>
          <w:color w:val="000000"/>
          <w:szCs w:val="24"/>
        </w:rPr>
        <w:t>volcano map of differential expression genes.</w:t>
      </w:r>
      <w:r w:rsidR="006E4D67" w:rsidRPr="009D596E">
        <w:rPr>
          <w:rFonts w:eastAsia="Microsoft YaHei" w:cs="Times New Roman"/>
          <w:color w:val="000000"/>
          <w:szCs w:val="24"/>
        </w:rPr>
        <w:fldChar w:fldCharType="begin"/>
      </w:r>
      <w:r w:rsidR="006E4D67" w:rsidRPr="009D596E">
        <w:rPr>
          <w:rFonts w:eastAsia="Microsoft YaHei" w:cs="Times New Roman"/>
          <w:color w:val="000000"/>
          <w:szCs w:val="24"/>
        </w:rPr>
        <w:instrText xml:space="preserve"> ADDIN </w:instrText>
      </w:r>
      <w:r w:rsidR="006E4D67" w:rsidRPr="009D596E">
        <w:rPr>
          <w:rFonts w:eastAsia="Microsoft YaHei" w:cs="Times New Roman"/>
          <w:color w:val="000000"/>
          <w:szCs w:val="24"/>
        </w:rPr>
        <w:fldChar w:fldCharType="end"/>
      </w:r>
    </w:p>
    <w:p w14:paraId="34E9921F" w14:textId="77777777" w:rsidR="00745E60" w:rsidRPr="009D596E" w:rsidRDefault="00745E60">
      <w:pPr>
        <w:rPr>
          <w:color w:val="000000"/>
        </w:rPr>
      </w:pPr>
    </w:p>
    <w:sectPr w:rsidR="00745E60" w:rsidRPr="009D596E" w:rsidSect="007A1F56">
      <w:footerReference w:type="default" r:id="rId8"/>
      <w:pgSz w:w="11906" w:h="16838" w:code="9"/>
      <w:pgMar w:top="1701" w:right="1701" w:bottom="1701" w:left="1701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0DB2" w14:textId="77777777" w:rsidR="00042DB8" w:rsidRDefault="00042DB8">
      <w:r>
        <w:separator/>
      </w:r>
    </w:p>
  </w:endnote>
  <w:endnote w:type="continuationSeparator" w:id="0">
    <w:p w14:paraId="22DDD5B2" w14:textId="77777777" w:rsidR="00042DB8" w:rsidRDefault="0004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CE0F" w14:textId="39CCCC8A" w:rsidR="005F6F82" w:rsidRDefault="009D596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CFA03B" wp14:editId="448B7237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3" name="MSIPCMa9a34d00ab0b77e1ff694959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C017D2" w14:textId="39F28354" w:rsidR="009D596E" w:rsidRPr="009D596E" w:rsidRDefault="009D596E" w:rsidP="009D596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D596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A03B" id="_x0000_t202" coordsize="21600,21600" o:spt="202" path="m,l,21600r21600,l21600,xe">
              <v:stroke joinstyle="miter"/>
              <v:path gradientshapeok="t" o:connecttype="rect"/>
            </v:shapetype>
            <v:shape id="MSIPCMa9a34d00ab0b77e1ff694959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5EC017D2" w14:textId="39F28354" w:rsidR="009D596E" w:rsidRPr="009D596E" w:rsidRDefault="009D596E" w:rsidP="009D596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D596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00414917"/>
        <w:docPartObj>
          <w:docPartGallery w:val="Page Numbers (Bottom of Page)"/>
          <w:docPartUnique/>
        </w:docPartObj>
      </w:sdtPr>
      <w:sdtEndPr/>
      <w:sdtContent>
        <w:r w:rsidR="006E4D67">
          <w:fldChar w:fldCharType="begin"/>
        </w:r>
        <w:r w:rsidR="006E4D67">
          <w:instrText>PAGE   \* MERGEFORMAT</w:instrText>
        </w:r>
        <w:r w:rsidR="006E4D67">
          <w:fldChar w:fldCharType="separate"/>
        </w:r>
        <w:r w:rsidR="00EE4E5C" w:rsidRPr="00EE4E5C">
          <w:rPr>
            <w:noProof/>
            <w:lang w:val="zh-CN"/>
          </w:rPr>
          <w:t>1</w:t>
        </w:r>
        <w:r w:rsidR="006E4D67">
          <w:fldChar w:fldCharType="end"/>
        </w:r>
      </w:sdtContent>
    </w:sdt>
  </w:p>
  <w:p w14:paraId="286CF955" w14:textId="77777777" w:rsidR="00595346" w:rsidRDefault="00035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A54BE" w14:textId="77777777" w:rsidR="00042DB8" w:rsidRDefault="00042DB8">
      <w:r>
        <w:separator/>
      </w:r>
    </w:p>
  </w:footnote>
  <w:footnote w:type="continuationSeparator" w:id="0">
    <w:p w14:paraId="21F7306F" w14:textId="77777777" w:rsidR="00042DB8" w:rsidRDefault="0004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D67"/>
    <w:rsid w:val="00035AB3"/>
    <w:rsid w:val="00042DB8"/>
    <w:rsid w:val="00177E9E"/>
    <w:rsid w:val="00204180"/>
    <w:rsid w:val="002E47D7"/>
    <w:rsid w:val="006E4D67"/>
    <w:rsid w:val="00745E60"/>
    <w:rsid w:val="00936EEC"/>
    <w:rsid w:val="009D596E"/>
    <w:rsid w:val="00E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FE0B6D"/>
  <w15:docId w15:val="{C9796339-8C66-4C06-993D-55F21CD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67"/>
    <w:pPr>
      <w:widowControl w:val="0"/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4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4D67"/>
    <w:rPr>
      <w:rFonts w:ascii="Times New Roman" w:eastAsia="Times New Roman" w:hAnsi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E4D67"/>
  </w:style>
  <w:style w:type="paragraph" w:styleId="Header">
    <w:name w:val="header"/>
    <w:basedOn w:val="Normal"/>
    <w:link w:val="HeaderChar"/>
    <w:uiPriority w:val="99"/>
    <w:unhideWhenUsed/>
    <w:rsid w:val="00177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7E9E"/>
    <w:rPr>
      <w:rFonts w:ascii="Times New Roman" w:eastAsia="Times New Roman" w:hAnsi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7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7D7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LWJ</dc:creator>
  <cp:lastModifiedBy>Olliver, Tania</cp:lastModifiedBy>
  <cp:revision>2</cp:revision>
  <dcterms:created xsi:type="dcterms:W3CDTF">2023-06-02T07:48:00Z</dcterms:created>
  <dcterms:modified xsi:type="dcterms:W3CDTF">2023-06-02T07:48:00Z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2023-06-02T07:48:53Z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6d4f278c-565a-4170-ad0f-55b8415eb16d</vt:lpwstr>
  </property>
  <property fmtid="{D5CDD505-2E9C-101B-9397-08002B2CF9AE}" pid="8" name="MSIP_Label_2bbab825-a111-45e4-86a1-18cee0005896_ContentBits">
    <vt:lpwstr>2</vt:lpwstr>
  </property>
</Properties>
</file>