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04D4" w14:textId="77777777" w:rsidR="00AE5A63" w:rsidRPr="00173BFD" w:rsidRDefault="00AE5A63" w:rsidP="00AE5A63">
      <w:pPr>
        <w:widowControl w:val="0"/>
        <w:rPr>
          <w:rFonts w:cs="Arial"/>
          <w:b/>
          <w:bCs/>
          <w:sz w:val="32"/>
          <w:szCs w:val="32"/>
        </w:rPr>
      </w:pPr>
      <w:r w:rsidRPr="00173BFD">
        <w:rPr>
          <w:rFonts w:cs="Arial"/>
          <w:b/>
          <w:bCs/>
          <w:sz w:val="32"/>
          <w:szCs w:val="32"/>
        </w:rPr>
        <w:t>SUPPLEMENTARY MATERIALS</w:t>
      </w:r>
    </w:p>
    <w:p w14:paraId="5BEF0717" w14:textId="77777777" w:rsidR="00AE5A63" w:rsidRDefault="00AE5A63" w:rsidP="00AE5A63">
      <w:pPr>
        <w:widowControl w:val="0"/>
        <w:rPr>
          <w:szCs w:val="20"/>
        </w:rPr>
      </w:pPr>
      <w:r w:rsidRPr="00173BFD">
        <w:rPr>
          <w:rFonts w:cs="Arial"/>
          <w:b/>
          <w:bCs/>
          <w:szCs w:val="20"/>
        </w:rPr>
        <w:t xml:space="preserve">Supplementary Table 1. </w:t>
      </w:r>
      <w:r w:rsidRPr="00173BFD">
        <w:rPr>
          <w:szCs w:val="20"/>
        </w:rPr>
        <w:t>Summary of PS model balance</w:t>
      </w:r>
      <w:r>
        <w:rPr>
          <w:szCs w:val="20"/>
        </w:rPr>
        <w:t xml:space="preserve"> for </w:t>
      </w:r>
      <w:r w:rsidRPr="00173BFD">
        <w:rPr>
          <w:szCs w:val="20"/>
        </w:rPr>
        <w:t>rescue medication prescriptions</w:t>
      </w:r>
      <w:r>
        <w:rPr>
          <w:szCs w:val="20"/>
        </w:rPr>
        <w:t xml:space="preserve"> and adherence</w:t>
      </w:r>
      <w:r w:rsidRPr="00173BFD">
        <w:rPr>
          <w:szCs w:val="20"/>
        </w:rPr>
        <w:t xml:space="preserve"> outcome</w:t>
      </w:r>
      <w:r>
        <w:rPr>
          <w:szCs w:val="20"/>
        </w:rPr>
        <w:t>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38"/>
        <w:gridCol w:w="4181"/>
        <w:gridCol w:w="4182"/>
      </w:tblGrid>
      <w:tr w:rsidR="00AE5A63" w:rsidRPr="006D1A69" w14:paraId="398AF762" w14:textId="77777777" w:rsidTr="008363D6">
        <w:trPr>
          <w:trHeight w:val="494"/>
        </w:trPr>
        <w:tc>
          <w:tcPr>
            <w:tcW w:w="1838" w:type="dxa"/>
            <w:vAlign w:val="center"/>
          </w:tcPr>
          <w:p w14:paraId="7BEFE188" w14:textId="77777777" w:rsidR="00AE5A63" w:rsidRPr="006D1A69" w:rsidRDefault="00AE5A63" w:rsidP="008363D6">
            <w:pPr>
              <w:widowControl w:val="0"/>
              <w:rPr>
                <w:b/>
                <w:bCs/>
                <w:szCs w:val="20"/>
              </w:rPr>
            </w:pPr>
            <w:r w:rsidRPr="006D1A69">
              <w:rPr>
                <w:b/>
                <w:bCs/>
                <w:szCs w:val="20"/>
              </w:rPr>
              <w:t>Timepoint</w:t>
            </w:r>
          </w:p>
        </w:tc>
        <w:tc>
          <w:tcPr>
            <w:tcW w:w="4181" w:type="dxa"/>
            <w:vAlign w:val="center"/>
          </w:tcPr>
          <w:p w14:paraId="3CAC18FD" w14:textId="77777777" w:rsidR="00AE5A63" w:rsidRPr="006D1A69" w:rsidRDefault="00AE5A63" w:rsidP="008363D6">
            <w:pPr>
              <w:widowControl w:val="0"/>
              <w:jc w:val="center"/>
              <w:rPr>
                <w:b/>
                <w:bCs/>
                <w:szCs w:val="20"/>
              </w:rPr>
            </w:pPr>
            <w:r w:rsidRPr="006D1A69">
              <w:rPr>
                <w:b/>
                <w:bCs/>
                <w:szCs w:val="20"/>
              </w:rPr>
              <w:t>Unweighted model</w:t>
            </w:r>
          </w:p>
          <w:p w14:paraId="3147820B" w14:textId="77777777" w:rsidR="00AE5A63" w:rsidRPr="006D1A69" w:rsidRDefault="00AE5A63" w:rsidP="008363D6">
            <w:pPr>
              <w:widowControl w:val="0"/>
              <w:jc w:val="center"/>
              <w:rPr>
                <w:b/>
                <w:bCs/>
                <w:szCs w:val="20"/>
              </w:rPr>
            </w:pPr>
            <w:r w:rsidRPr="006D1A69">
              <w:rPr>
                <w:b/>
                <w:bCs/>
                <w:szCs w:val="20"/>
              </w:rPr>
              <w:t xml:space="preserve">Covariates with </w:t>
            </w:r>
            <w:proofErr w:type="spellStart"/>
            <w:r w:rsidRPr="006D1A69">
              <w:rPr>
                <w:b/>
                <w:bCs/>
                <w:szCs w:val="20"/>
              </w:rPr>
              <w:t>insufficient</w:t>
            </w:r>
            <w:r w:rsidRPr="006D1A69">
              <w:rPr>
                <w:b/>
                <w:bCs/>
                <w:szCs w:val="20"/>
                <w:vertAlign w:val="superscript"/>
              </w:rPr>
              <w:t>a</w:t>
            </w:r>
            <w:proofErr w:type="spellEnd"/>
            <w:r w:rsidRPr="006D1A69">
              <w:rPr>
                <w:b/>
                <w:bCs/>
                <w:szCs w:val="20"/>
              </w:rPr>
              <w:t xml:space="preserve"> balance (%)</w:t>
            </w:r>
          </w:p>
        </w:tc>
        <w:tc>
          <w:tcPr>
            <w:tcW w:w="4182" w:type="dxa"/>
            <w:vAlign w:val="center"/>
          </w:tcPr>
          <w:p w14:paraId="1F54BB90" w14:textId="77777777" w:rsidR="00AE5A63" w:rsidRPr="006D1A69" w:rsidRDefault="00AE5A63" w:rsidP="008363D6">
            <w:pPr>
              <w:widowControl w:val="0"/>
              <w:jc w:val="center"/>
              <w:rPr>
                <w:b/>
                <w:bCs/>
                <w:szCs w:val="20"/>
              </w:rPr>
            </w:pPr>
            <w:r w:rsidRPr="006D1A69">
              <w:rPr>
                <w:b/>
                <w:bCs/>
                <w:szCs w:val="20"/>
              </w:rPr>
              <w:t>Weighted model</w:t>
            </w:r>
          </w:p>
          <w:p w14:paraId="10AC3571" w14:textId="77777777" w:rsidR="00AE5A63" w:rsidRPr="006D1A69" w:rsidRDefault="00AE5A63" w:rsidP="008363D6">
            <w:pPr>
              <w:widowControl w:val="0"/>
              <w:jc w:val="center"/>
              <w:rPr>
                <w:b/>
                <w:bCs/>
                <w:szCs w:val="20"/>
              </w:rPr>
            </w:pPr>
            <w:r w:rsidRPr="006D1A69">
              <w:rPr>
                <w:b/>
                <w:bCs/>
                <w:szCs w:val="20"/>
              </w:rPr>
              <w:t xml:space="preserve">Covariates with </w:t>
            </w:r>
            <w:proofErr w:type="spellStart"/>
            <w:r w:rsidRPr="006D1A69">
              <w:rPr>
                <w:b/>
                <w:bCs/>
                <w:szCs w:val="20"/>
              </w:rPr>
              <w:t>insufficient</w:t>
            </w:r>
            <w:r w:rsidRPr="006D1A69">
              <w:rPr>
                <w:b/>
                <w:bCs/>
                <w:szCs w:val="20"/>
                <w:vertAlign w:val="superscript"/>
              </w:rPr>
              <w:t>a</w:t>
            </w:r>
            <w:proofErr w:type="spellEnd"/>
            <w:r w:rsidRPr="006D1A69">
              <w:rPr>
                <w:b/>
                <w:bCs/>
                <w:szCs w:val="20"/>
              </w:rPr>
              <w:t xml:space="preserve"> balance (%)</w:t>
            </w:r>
          </w:p>
        </w:tc>
      </w:tr>
      <w:tr w:rsidR="00AE5A63" w:rsidRPr="006D1A69" w14:paraId="197879E6" w14:textId="77777777" w:rsidTr="008363D6">
        <w:trPr>
          <w:trHeight w:val="494"/>
        </w:trPr>
        <w:tc>
          <w:tcPr>
            <w:tcW w:w="10201" w:type="dxa"/>
            <w:gridSpan w:val="3"/>
            <w:vAlign w:val="center"/>
          </w:tcPr>
          <w:p w14:paraId="23414172" w14:textId="77777777" w:rsidR="00AE5A63" w:rsidRPr="006D1A69" w:rsidRDefault="00AE5A63" w:rsidP="008363D6">
            <w:pPr>
              <w:widowControl w:val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Rescue medication</w:t>
            </w:r>
          </w:p>
        </w:tc>
      </w:tr>
      <w:tr w:rsidR="00AE5A63" w:rsidRPr="006D1A69" w14:paraId="54DED95C" w14:textId="77777777" w:rsidTr="008363D6">
        <w:trPr>
          <w:trHeight w:val="494"/>
        </w:trPr>
        <w:tc>
          <w:tcPr>
            <w:tcW w:w="1838" w:type="dxa"/>
            <w:vAlign w:val="center"/>
          </w:tcPr>
          <w:p w14:paraId="3DE92AF8" w14:textId="77777777" w:rsidR="00AE5A63" w:rsidRPr="006D1A69" w:rsidRDefault="00AE5A63" w:rsidP="008363D6">
            <w:pPr>
              <w:widowControl w:val="0"/>
              <w:rPr>
                <w:szCs w:val="20"/>
              </w:rPr>
            </w:pPr>
            <w:r w:rsidRPr="006D1A69">
              <w:rPr>
                <w:szCs w:val="20"/>
              </w:rPr>
              <w:t>6 months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352251B3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8/46 (17.4)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00A4FF32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0/46 (0.0)</w:t>
            </w:r>
          </w:p>
        </w:tc>
      </w:tr>
      <w:tr w:rsidR="00AE5A63" w:rsidRPr="006D1A69" w14:paraId="61F82E1B" w14:textId="77777777" w:rsidTr="008363D6">
        <w:trPr>
          <w:trHeight w:val="494"/>
        </w:trPr>
        <w:tc>
          <w:tcPr>
            <w:tcW w:w="1838" w:type="dxa"/>
            <w:vAlign w:val="center"/>
          </w:tcPr>
          <w:p w14:paraId="0445811C" w14:textId="77777777" w:rsidR="00AE5A63" w:rsidRPr="006D1A69" w:rsidRDefault="00AE5A63" w:rsidP="008363D6">
            <w:pPr>
              <w:widowControl w:val="0"/>
              <w:rPr>
                <w:szCs w:val="20"/>
              </w:rPr>
            </w:pPr>
            <w:r w:rsidRPr="006D1A69">
              <w:rPr>
                <w:szCs w:val="20"/>
              </w:rPr>
              <w:t>12 months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7976B036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8/50 (16.0)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59530BCA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0/50 (0.0)</w:t>
            </w:r>
          </w:p>
        </w:tc>
      </w:tr>
      <w:tr w:rsidR="00AE5A63" w:rsidRPr="006D1A69" w14:paraId="28E04476" w14:textId="77777777" w:rsidTr="008363D6">
        <w:trPr>
          <w:trHeight w:val="494"/>
        </w:trPr>
        <w:tc>
          <w:tcPr>
            <w:tcW w:w="1838" w:type="dxa"/>
            <w:vAlign w:val="center"/>
          </w:tcPr>
          <w:p w14:paraId="090DA6F7" w14:textId="77777777" w:rsidR="00AE5A63" w:rsidRPr="006D1A69" w:rsidRDefault="00AE5A63" w:rsidP="008363D6">
            <w:pPr>
              <w:widowControl w:val="0"/>
              <w:rPr>
                <w:szCs w:val="20"/>
              </w:rPr>
            </w:pPr>
            <w:r w:rsidRPr="006D1A69">
              <w:rPr>
                <w:szCs w:val="20"/>
              </w:rPr>
              <w:t>18 months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6BCB0D72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7/48 (14.6)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67CFC5B3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0/48 (0.0)</w:t>
            </w:r>
          </w:p>
        </w:tc>
      </w:tr>
      <w:tr w:rsidR="00AE5A63" w:rsidRPr="006D1A69" w14:paraId="7A552B69" w14:textId="77777777" w:rsidTr="008363D6">
        <w:trPr>
          <w:trHeight w:val="494"/>
        </w:trPr>
        <w:tc>
          <w:tcPr>
            <w:tcW w:w="1838" w:type="dxa"/>
            <w:vAlign w:val="center"/>
          </w:tcPr>
          <w:p w14:paraId="3EAF33F1" w14:textId="77777777" w:rsidR="00AE5A63" w:rsidRPr="006D1A69" w:rsidRDefault="00AE5A63" w:rsidP="008363D6">
            <w:pPr>
              <w:widowControl w:val="0"/>
              <w:rPr>
                <w:szCs w:val="20"/>
              </w:rPr>
            </w:pPr>
            <w:r w:rsidRPr="006D1A69">
              <w:rPr>
                <w:szCs w:val="20"/>
              </w:rPr>
              <w:t>24 months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62686C8E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10/47 (21.3)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5B1972C7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1/47 (2.1)</w:t>
            </w:r>
          </w:p>
        </w:tc>
      </w:tr>
      <w:tr w:rsidR="00AE5A63" w:rsidRPr="006D1A69" w14:paraId="377580AB" w14:textId="77777777" w:rsidTr="008363D6">
        <w:trPr>
          <w:trHeight w:val="494"/>
        </w:trPr>
        <w:tc>
          <w:tcPr>
            <w:tcW w:w="10201" w:type="dxa"/>
            <w:gridSpan w:val="3"/>
            <w:vAlign w:val="center"/>
          </w:tcPr>
          <w:p w14:paraId="306F434C" w14:textId="77777777" w:rsidR="00AE5A63" w:rsidRPr="0012449B" w:rsidRDefault="00AE5A63" w:rsidP="008363D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B1645">
              <w:rPr>
                <w:rFonts w:ascii="Arial" w:hAnsi="Arial" w:cs="Arial"/>
                <w:b/>
                <w:bCs/>
                <w:sz w:val="20"/>
                <w:szCs w:val="20"/>
              </w:rPr>
              <w:t>Adherence</w:t>
            </w:r>
          </w:p>
        </w:tc>
      </w:tr>
      <w:tr w:rsidR="00AE5A63" w:rsidRPr="006D1A69" w14:paraId="700EAC2B" w14:textId="77777777" w:rsidTr="008363D6">
        <w:trPr>
          <w:trHeight w:val="494"/>
        </w:trPr>
        <w:tc>
          <w:tcPr>
            <w:tcW w:w="1838" w:type="dxa"/>
            <w:vAlign w:val="center"/>
          </w:tcPr>
          <w:p w14:paraId="31D5F398" w14:textId="77777777" w:rsidR="00AE5A63" w:rsidRPr="006D1A69" w:rsidRDefault="00AE5A63" w:rsidP="008363D6">
            <w:pPr>
              <w:widowControl w:val="0"/>
              <w:rPr>
                <w:szCs w:val="20"/>
              </w:rPr>
            </w:pPr>
            <w:r w:rsidRPr="006D1A69">
              <w:rPr>
                <w:szCs w:val="20"/>
              </w:rPr>
              <w:t>6 months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77EECF07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8/35 (22.9)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1F894451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0/35 (0)</w:t>
            </w:r>
          </w:p>
        </w:tc>
      </w:tr>
      <w:tr w:rsidR="00AE5A63" w:rsidRPr="006D1A69" w14:paraId="49FBE1D9" w14:textId="77777777" w:rsidTr="008363D6">
        <w:trPr>
          <w:trHeight w:val="494"/>
        </w:trPr>
        <w:tc>
          <w:tcPr>
            <w:tcW w:w="1838" w:type="dxa"/>
            <w:vAlign w:val="center"/>
          </w:tcPr>
          <w:p w14:paraId="7DEFD82A" w14:textId="77777777" w:rsidR="00AE5A63" w:rsidRPr="006D1A69" w:rsidRDefault="00AE5A63" w:rsidP="008363D6">
            <w:pPr>
              <w:widowControl w:val="0"/>
              <w:rPr>
                <w:szCs w:val="20"/>
              </w:rPr>
            </w:pPr>
            <w:r w:rsidRPr="006D1A69">
              <w:rPr>
                <w:szCs w:val="20"/>
              </w:rPr>
              <w:t>12 months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7544CED9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8/33 (24.2)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6BC043F4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0/33 (0.0)</w:t>
            </w:r>
          </w:p>
        </w:tc>
      </w:tr>
      <w:tr w:rsidR="00AE5A63" w:rsidRPr="006D1A69" w14:paraId="794D80B9" w14:textId="77777777" w:rsidTr="008363D6">
        <w:trPr>
          <w:trHeight w:val="494"/>
        </w:trPr>
        <w:tc>
          <w:tcPr>
            <w:tcW w:w="1838" w:type="dxa"/>
            <w:vAlign w:val="center"/>
          </w:tcPr>
          <w:p w14:paraId="5F14258F" w14:textId="77777777" w:rsidR="00AE5A63" w:rsidRPr="006D1A69" w:rsidRDefault="00AE5A63" w:rsidP="008363D6">
            <w:pPr>
              <w:widowControl w:val="0"/>
              <w:rPr>
                <w:szCs w:val="20"/>
              </w:rPr>
            </w:pPr>
            <w:r w:rsidRPr="006D1A69">
              <w:rPr>
                <w:szCs w:val="20"/>
              </w:rPr>
              <w:t>18 months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22F1D616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9/35 (25.7)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32AEDC7D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0/35 (0.0)</w:t>
            </w:r>
          </w:p>
        </w:tc>
      </w:tr>
      <w:tr w:rsidR="00AE5A63" w:rsidRPr="006D1A69" w14:paraId="5F7C1A67" w14:textId="77777777" w:rsidTr="008363D6">
        <w:trPr>
          <w:trHeight w:val="494"/>
        </w:trPr>
        <w:tc>
          <w:tcPr>
            <w:tcW w:w="1838" w:type="dxa"/>
            <w:vAlign w:val="center"/>
          </w:tcPr>
          <w:p w14:paraId="2D5026D4" w14:textId="77777777" w:rsidR="00AE5A63" w:rsidRPr="006D1A69" w:rsidRDefault="00AE5A63" w:rsidP="008363D6">
            <w:pPr>
              <w:widowControl w:val="0"/>
              <w:rPr>
                <w:szCs w:val="20"/>
              </w:rPr>
            </w:pPr>
            <w:r w:rsidRPr="006D1A69">
              <w:rPr>
                <w:szCs w:val="20"/>
              </w:rPr>
              <w:t>24 months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76EE62F6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10/32 (31.3)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3257704D" w14:textId="77777777" w:rsidR="00AE5A63" w:rsidRPr="006D1A69" w:rsidRDefault="00AE5A63" w:rsidP="008363D6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1/32 (3.1)</w:t>
            </w:r>
          </w:p>
        </w:tc>
      </w:tr>
    </w:tbl>
    <w:p w14:paraId="370DD8DB" w14:textId="77777777" w:rsidR="00AE5A63" w:rsidRPr="00173BFD" w:rsidRDefault="00AE5A63" w:rsidP="00AE5A63">
      <w:pPr>
        <w:widowControl w:val="0"/>
        <w:rPr>
          <w:rFonts w:cs="Arial"/>
          <w:b/>
          <w:bCs/>
          <w:szCs w:val="20"/>
        </w:rPr>
      </w:pPr>
      <w:proofErr w:type="spellStart"/>
      <w:r w:rsidRPr="00FF20B9">
        <w:rPr>
          <w:szCs w:val="20"/>
          <w:vertAlign w:val="superscript"/>
        </w:rPr>
        <w:t>a</w:t>
      </w:r>
      <w:r>
        <w:rPr>
          <w:rFonts w:cs="Arial"/>
          <w:szCs w:val="20"/>
        </w:rPr>
        <w:t>S</w:t>
      </w:r>
      <w:r w:rsidRPr="00173BFD">
        <w:rPr>
          <w:rFonts w:cs="Arial"/>
          <w:szCs w:val="20"/>
        </w:rPr>
        <w:t>tandardized</w:t>
      </w:r>
      <w:proofErr w:type="spellEnd"/>
      <w:r w:rsidRPr="00173BFD">
        <w:rPr>
          <w:rFonts w:cs="Arial"/>
          <w:szCs w:val="20"/>
        </w:rPr>
        <w:t xml:space="preserve"> mean difference</w:t>
      </w:r>
      <w:r w:rsidRPr="00173BFD">
        <w:rPr>
          <w:szCs w:val="20"/>
        </w:rPr>
        <w:t xml:space="preserve"> &gt;</w:t>
      </w:r>
      <w:proofErr w:type="gramStart"/>
      <w:r>
        <w:rPr>
          <w:szCs w:val="20"/>
        </w:rPr>
        <w:t>10</w:t>
      </w:r>
      <w:proofErr w:type="gramEnd"/>
    </w:p>
    <w:p w14:paraId="29451191" w14:textId="77777777" w:rsidR="00AE5A63" w:rsidRDefault="00AE5A63" w:rsidP="00AE5A63">
      <w:pPr>
        <w:widowControl w:val="0"/>
        <w:rPr>
          <w:rFonts w:cs="Arial"/>
          <w:szCs w:val="20"/>
        </w:rPr>
        <w:sectPr w:rsidR="00AE5A63" w:rsidSect="00C94612">
          <w:pgSz w:w="12240" w:h="15840"/>
          <w:pgMar w:top="1440" w:right="1800" w:bottom="1440" w:left="1800" w:header="720" w:footer="720" w:gutter="0"/>
          <w:lnNumType w:countBy="1" w:restart="continuous"/>
          <w:cols w:space="720"/>
          <w:titlePg/>
          <w:docGrid w:linePitch="360"/>
        </w:sectPr>
      </w:pPr>
      <w:r w:rsidRPr="00173BFD">
        <w:rPr>
          <w:rFonts w:cs="Arial"/>
          <w:b/>
          <w:bCs/>
          <w:szCs w:val="20"/>
        </w:rPr>
        <w:t xml:space="preserve">Abbreviations: </w:t>
      </w:r>
      <w:r w:rsidRPr="00173BFD">
        <w:rPr>
          <w:rFonts w:cs="Arial"/>
          <w:szCs w:val="20"/>
        </w:rPr>
        <w:t xml:space="preserve">OLO, </w:t>
      </w:r>
      <w:proofErr w:type="spellStart"/>
      <w:r w:rsidRPr="00173BFD">
        <w:rPr>
          <w:rFonts w:cs="Arial"/>
          <w:szCs w:val="20"/>
        </w:rPr>
        <w:t>olodaterol</w:t>
      </w:r>
      <w:proofErr w:type="spellEnd"/>
      <w:r w:rsidRPr="00173BFD">
        <w:rPr>
          <w:rFonts w:cs="Arial"/>
          <w:szCs w:val="20"/>
        </w:rPr>
        <w:t xml:space="preserve">; PS, propensity score; </w:t>
      </w:r>
      <w:r w:rsidRPr="00173BFD">
        <w:t>TIO, tiotropium bromide; UMEC; umeclidinium; VI, vilanterol.</w:t>
      </w:r>
      <w:r w:rsidRPr="00173BFD">
        <w:rPr>
          <w:rFonts w:cs="Arial"/>
          <w:szCs w:val="20"/>
        </w:rPr>
        <w:br w:type="page"/>
      </w:r>
    </w:p>
    <w:p w14:paraId="59BFB081" w14:textId="77777777" w:rsidR="00AE5A63" w:rsidRPr="00173BFD" w:rsidRDefault="00AE5A63" w:rsidP="00AE5A63">
      <w:pPr>
        <w:rPr>
          <w:rFonts w:cs="Arial"/>
          <w:szCs w:val="20"/>
        </w:rPr>
      </w:pPr>
      <w:r w:rsidRPr="00173BFD">
        <w:rPr>
          <w:rFonts w:cs="Arial"/>
          <w:b/>
          <w:bCs/>
          <w:szCs w:val="20"/>
        </w:rPr>
        <w:lastRenderedPageBreak/>
        <w:t xml:space="preserve">Supplementary Table 2. </w:t>
      </w:r>
      <w:r w:rsidRPr="00173BFD">
        <w:rPr>
          <w:szCs w:val="20"/>
        </w:rPr>
        <w:t>Sensitivity analysis: treatment-effects estimation values for</w:t>
      </w:r>
      <w:r>
        <w:rPr>
          <w:szCs w:val="20"/>
        </w:rPr>
        <w:t xml:space="preserve"> rescue medication prescriptions for</w:t>
      </w:r>
      <w:r w:rsidRPr="00173BFD">
        <w:rPr>
          <w:szCs w:val="20"/>
        </w:rPr>
        <w:t xml:space="preserve"> UMEC/VI versus TIO/OLO using the on-treatment </w:t>
      </w:r>
      <w:proofErr w:type="gramStart"/>
      <w:r w:rsidRPr="00173BFD">
        <w:rPr>
          <w:szCs w:val="20"/>
        </w:rPr>
        <w:t>analysis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033"/>
        <w:gridCol w:w="3089"/>
        <w:gridCol w:w="2093"/>
        <w:gridCol w:w="3275"/>
      </w:tblGrid>
      <w:tr w:rsidR="00AE5A63" w:rsidRPr="006D1A69" w14:paraId="7E9E6EB3" w14:textId="77777777" w:rsidTr="008363D6">
        <w:trPr>
          <w:trHeight w:val="467"/>
        </w:trPr>
        <w:tc>
          <w:tcPr>
            <w:tcW w:w="2136" w:type="dxa"/>
            <w:vAlign w:val="center"/>
          </w:tcPr>
          <w:p w14:paraId="29E333FC" w14:textId="77777777" w:rsidR="00AE5A63" w:rsidRPr="006D1A69" w:rsidRDefault="00AE5A63" w:rsidP="008363D6">
            <w:pPr>
              <w:widowControl w:val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122" w:type="dxa"/>
            <w:gridSpan w:val="2"/>
          </w:tcPr>
          <w:p w14:paraId="0C4E0C56" w14:textId="77777777" w:rsidR="00AE5A63" w:rsidRPr="006D1A69" w:rsidRDefault="00AE5A63" w:rsidP="008363D6">
            <w:pPr>
              <w:widowControl w:val="0"/>
              <w:jc w:val="center"/>
              <w:rPr>
                <w:b/>
                <w:bCs/>
                <w:szCs w:val="20"/>
              </w:rPr>
            </w:pPr>
            <w:r w:rsidRPr="006D1A69">
              <w:rPr>
                <w:b/>
                <w:bCs/>
                <w:szCs w:val="20"/>
              </w:rPr>
              <w:t>Unweighted</w:t>
            </w:r>
          </w:p>
        </w:tc>
        <w:tc>
          <w:tcPr>
            <w:tcW w:w="5368" w:type="dxa"/>
            <w:gridSpan w:val="2"/>
          </w:tcPr>
          <w:p w14:paraId="293C0527" w14:textId="77777777" w:rsidR="00AE5A63" w:rsidRPr="006D1A69" w:rsidRDefault="00AE5A63" w:rsidP="008363D6">
            <w:pPr>
              <w:widowControl w:val="0"/>
              <w:jc w:val="center"/>
              <w:rPr>
                <w:b/>
                <w:bCs/>
                <w:szCs w:val="20"/>
              </w:rPr>
            </w:pPr>
            <w:r w:rsidRPr="006D1A69">
              <w:rPr>
                <w:b/>
                <w:bCs/>
                <w:szCs w:val="20"/>
              </w:rPr>
              <w:t>Weighted</w:t>
            </w:r>
          </w:p>
        </w:tc>
      </w:tr>
      <w:tr w:rsidR="00AE5A63" w:rsidRPr="00595E64" w14:paraId="3772E0F4" w14:textId="77777777" w:rsidTr="008363D6">
        <w:trPr>
          <w:trHeight w:val="467"/>
        </w:trPr>
        <w:tc>
          <w:tcPr>
            <w:tcW w:w="2136" w:type="dxa"/>
            <w:vAlign w:val="center"/>
          </w:tcPr>
          <w:p w14:paraId="1F09B873" w14:textId="77777777" w:rsidR="00AE5A63" w:rsidRPr="006D1A69" w:rsidRDefault="00AE5A63" w:rsidP="008363D6">
            <w:pPr>
              <w:widowControl w:val="0"/>
              <w:rPr>
                <w:b/>
                <w:bCs/>
                <w:szCs w:val="20"/>
              </w:rPr>
            </w:pPr>
            <w:r w:rsidRPr="006D1A69">
              <w:rPr>
                <w:b/>
                <w:bCs/>
                <w:szCs w:val="20"/>
              </w:rPr>
              <w:t>Timepoint</w:t>
            </w:r>
          </w:p>
        </w:tc>
        <w:tc>
          <w:tcPr>
            <w:tcW w:w="2033" w:type="dxa"/>
          </w:tcPr>
          <w:p w14:paraId="52F5CB26" w14:textId="77777777" w:rsidR="00AE5A63" w:rsidRPr="006D1A69" w:rsidRDefault="00AE5A63" w:rsidP="008363D6">
            <w:pPr>
              <w:widowControl w:val="0"/>
              <w:jc w:val="center"/>
              <w:rPr>
                <w:b/>
                <w:bCs/>
                <w:szCs w:val="20"/>
              </w:rPr>
            </w:pPr>
            <w:r w:rsidRPr="006D1A69">
              <w:rPr>
                <w:b/>
                <w:bCs/>
                <w:szCs w:val="20"/>
              </w:rPr>
              <w:t xml:space="preserve">Covariates with </w:t>
            </w:r>
            <w:proofErr w:type="spellStart"/>
            <w:r w:rsidRPr="006D1A69">
              <w:rPr>
                <w:b/>
                <w:bCs/>
                <w:szCs w:val="20"/>
              </w:rPr>
              <w:t>insufficient</w:t>
            </w:r>
            <w:r w:rsidRPr="006D1A69">
              <w:rPr>
                <w:b/>
                <w:bCs/>
                <w:szCs w:val="20"/>
                <w:vertAlign w:val="superscript"/>
              </w:rPr>
              <w:t>a</w:t>
            </w:r>
            <w:proofErr w:type="spellEnd"/>
            <w:r w:rsidRPr="006D1A69">
              <w:rPr>
                <w:b/>
                <w:bCs/>
                <w:szCs w:val="20"/>
              </w:rPr>
              <w:t xml:space="preserve"> balance (%)</w:t>
            </w:r>
          </w:p>
        </w:tc>
        <w:tc>
          <w:tcPr>
            <w:tcW w:w="3089" w:type="dxa"/>
            <w:vAlign w:val="center"/>
          </w:tcPr>
          <w:p w14:paraId="3A7F5390" w14:textId="77777777" w:rsidR="00AE5A63" w:rsidRPr="00595E64" w:rsidRDefault="00AE5A63" w:rsidP="008363D6">
            <w:pPr>
              <w:widowControl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Mean difference</w:t>
            </w:r>
            <w:r w:rsidRPr="00595E64">
              <w:rPr>
                <w:b/>
                <w:bCs/>
                <w:szCs w:val="20"/>
              </w:rPr>
              <w:t xml:space="preserve"> (95% CI); </w:t>
            </w:r>
            <w:r w:rsidRPr="00595E64">
              <w:rPr>
                <w:b/>
                <w:bCs/>
                <w:szCs w:val="20"/>
              </w:rPr>
              <w:br/>
              <w:t>p-value</w:t>
            </w:r>
          </w:p>
        </w:tc>
        <w:tc>
          <w:tcPr>
            <w:tcW w:w="2093" w:type="dxa"/>
          </w:tcPr>
          <w:p w14:paraId="41B57E39" w14:textId="77777777" w:rsidR="00AE5A63" w:rsidRPr="006D1A69" w:rsidRDefault="00AE5A63" w:rsidP="008363D6">
            <w:pPr>
              <w:widowControl w:val="0"/>
              <w:jc w:val="center"/>
              <w:rPr>
                <w:b/>
                <w:bCs/>
                <w:szCs w:val="20"/>
              </w:rPr>
            </w:pPr>
            <w:r w:rsidRPr="006D1A69">
              <w:rPr>
                <w:b/>
                <w:bCs/>
                <w:szCs w:val="20"/>
              </w:rPr>
              <w:t xml:space="preserve">Covariates with </w:t>
            </w:r>
            <w:proofErr w:type="spellStart"/>
            <w:r w:rsidRPr="006D1A69">
              <w:rPr>
                <w:b/>
                <w:bCs/>
                <w:szCs w:val="20"/>
              </w:rPr>
              <w:t>insufficient</w:t>
            </w:r>
            <w:r w:rsidRPr="006D1A69">
              <w:rPr>
                <w:b/>
                <w:bCs/>
                <w:szCs w:val="20"/>
                <w:vertAlign w:val="superscript"/>
              </w:rPr>
              <w:t>a</w:t>
            </w:r>
            <w:proofErr w:type="spellEnd"/>
            <w:r w:rsidRPr="006D1A69">
              <w:rPr>
                <w:b/>
                <w:bCs/>
                <w:szCs w:val="20"/>
              </w:rPr>
              <w:t xml:space="preserve"> balance (%)</w:t>
            </w:r>
          </w:p>
        </w:tc>
        <w:tc>
          <w:tcPr>
            <w:tcW w:w="3275" w:type="dxa"/>
            <w:vAlign w:val="center"/>
          </w:tcPr>
          <w:p w14:paraId="6AB83269" w14:textId="77777777" w:rsidR="00AE5A63" w:rsidRPr="00595E64" w:rsidRDefault="00AE5A63" w:rsidP="008363D6">
            <w:pPr>
              <w:widowControl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Mean difference</w:t>
            </w:r>
            <w:r w:rsidRPr="00595E64">
              <w:rPr>
                <w:b/>
                <w:bCs/>
                <w:szCs w:val="20"/>
              </w:rPr>
              <w:t xml:space="preserve"> (95% CI); </w:t>
            </w:r>
            <w:r w:rsidRPr="00595E64">
              <w:rPr>
                <w:b/>
                <w:bCs/>
                <w:szCs w:val="20"/>
              </w:rPr>
              <w:br/>
              <w:t>p-value</w:t>
            </w:r>
          </w:p>
        </w:tc>
      </w:tr>
      <w:tr w:rsidR="00AE5A63" w:rsidRPr="006D1A69" w14:paraId="6B9ACBD0" w14:textId="77777777" w:rsidTr="008363D6">
        <w:trPr>
          <w:trHeight w:val="467"/>
        </w:trPr>
        <w:tc>
          <w:tcPr>
            <w:tcW w:w="2136" w:type="dxa"/>
            <w:vAlign w:val="center"/>
          </w:tcPr>
          <w:p w14:paraId="4D2CBF51" w14:textId="77777777" w:rsidR="00AE5A63" w:rsidRPr="006D1A69" w:rsidRDefault="00AE5A63" w:rsidP="008363D6">
            <w:pPr>
              <w:widowControl w:val="0"/>
              <w:spacing w:line="276" w:lineRule="auto"/>
              <w:rPr>
                <w:szCs w:val="20"/>
              </w:rPr>
            </w:pPr>
            <w:r w:rsidRPr="006D1A69">
              <w:rPr>
                <w:szCs w:val="20"/>
              </w:rPr>
              <w:t>6 months</w:t>
            </w:r>
          </w:p>
        </w:tc>
        <w:tc>
          <w:tcPr>
            <w:tcW w:w="2033" w:type="dxa"/>
            <w:shd w:val="clear" w:color="auto" w:fill="auto"/>
          </w:tcPr>
          <w:p w14:paraId="48B455A0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8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/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45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17.8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945B4BD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0.30 (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0.44,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0.15)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br/>
              <w:t>p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=0.0001 </w:t>
            </w:r>
          </w:p>
        </w:tc>
        <w:tc>
          <w:tcPr>
            <w:tcW w:w="2093" w:type="dxa"/>
            <w:shd w:val="clear" w:color="auto" w:fill="auto"/>
          </w:tcPr>
          <w:p w14:paraId="123399CB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/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45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609FC022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0.15 (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0.31, 0.00)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br/>
              <w:t>p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=0.056 </w:t>
            </w:r>
          </w:p>
        </w:tc>
      </w:tr>
      <w:tr w:rsidR="00AE5A63" w:rsidRPr="006D1A69" w14:paraId="6BE3F3DA" w14:textId="77777777" w:rsidTr="008363D6">
        <w:trPr>
          <w:trHeight w:val="467"/>
        </w:trPr>
        <w:tc>
          <w:tcPr>
            <w:tcW w:w="2136" w:type="dxa"/>
            <w:vAlign w:val="center"/>
          </w:tcPr>
          <w:p w14:paraId="2C89E73F" w14:textId="77777777" w:rsidR="00AE5A63" w:rsidRPr="006D1A69" w:rsidRDefault="00AE5A63" w:rsidP="008363D6">
            <w:pPr>
              <w:widowControl w:val="0"/>
              <w:spacing w:line="276" w:lineRule="auto"/>
              <w:rPr>
                <w:szCs w:val="20"/>
              </w:rPr>
            </w:pPr>
            <w:r w:rsidRPr="006D1A69">
              <w:rPr>
                <w:szCs w:val="20"/>
              </w:rPr>
              <w:t>12 months</w:t>
            </w:r>
          </w:p>
        </w:tc>
        <w:tc>
          <w:tcPr>
            <w:tcW w:w="2033" w:type="dxa"/>
            <w:shd w:val="clear" w:color="auto" w:fill="auto"/>
          </w:tcPr>
          <w:p w14:paraId="417918F4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8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/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46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17.4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DBF23E7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0.52 (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0.83, 0.2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)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; </w:t>
            </w:r>
            <w:r w:rsidRPr="004C58BF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br/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p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=0.0011</w:t>
            </w:r>
          </w:p>
        </w:tc>
        <w:tc>
          <w:tcPr>
            <w:tcW w:w="2093" w:type="dxa"/>
            <w:shd w:val="clear" w:color="auto" w:fill="auto"/>
          </w:tcPr>
          <w:p w14:paraId="08D137E7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0/46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5D5A4A5F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0.26 (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0.59, 0.08)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br/>
              <w:t>p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=0.1393 </w:t>
            </w:r>
          </w:p>
        </w:tc>
      </w:tr>
      <w:tr w:rsidR="00AE5A63" w:rsidRPr="006D1A69" w14:paraId="62060E81" w14:textId="77777777" w:rsidTr="008363D6">
        <w:trPr>
          <w:trHeight w:val="467"/>
        </w:trPr>
        <w:tc>
          <w:tcPr>
            <w:tcW w:w="2136" w:type="dxa"/>
            <w:vAlign w:val="center"/>
          </w:tcPr>
          <w:p w14:paraId="230EEE21" w14:textId="77777777" w:rsidR="00AE5A63" w:rsidRPr="006D1A69" w:rsidRDefault="00AE5A63" w:rsidP="008363D6">
            <w:pPr>
              <w:widowControl w:val="0"/>
              <w:spacing w:line="276" w:lineRule="auto"/>
              <w:rPr>
                <w:szCs w:val="20"/>
              </w:rPr>
            </w:pPr>
            <w:r w:rsidRPr="006D1A69">
              <w:rPr>
                <w:szCs w:val="20"/>
              </w:rPr>
              <w:t>18 months</w:t>
            </w:r>
          </w:p>
        </w:tc>
        <w:tc>
          <w:tcPr>
            <w:tcW w:w="2033" w:type="dxa"/>
            <w:shd w:val="clear" w:color="auto" w:fill="auto"/>
          </w:tcPr>
          <w:p w14:paraId="0ED22C40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8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/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45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17.8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FF858EF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1.02 (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1.56,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0.49)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br/>
              <w:t>p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=0.0002 </w:t>
            </w:r>
          </w:p>
        </w:tc>
        <w:tc>
          <w:tcPr>
            <w:tcW w:w="2093" w:type="dxa"/>
            <w:shd w:val="clear" w:color="auto" w:fill="auto"/>
          </w:tcPr>
          <w:p w14:paraId="65789FD0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/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45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5F97EA58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0.63 (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1.21,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0.05)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br/>
              <w:t>p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=0.0332 </w:t>
            </w:r>
          </w:p>
        </w:tc>
      </w:tr>
      <w:tr w:rsidR="00AE5A63" w:rsidRPr="006D1A69" w14:paraId="0D786506" w14:textId="77777777" w:rsidTr="008363D6">
        <w:trPr>
          <w:trHeight w:val="467"/>
        </w:trPr>
        <w:tc>
          <w:tcPr>
            <w:tcW w:w="2136" w:type="dxa"/>
            <w:vAlign w:val="center"/>
          </w:tcPr>
          <w:p w14:paraId="1D675138" w14:textId="77777777" w:rsidR="00AE5A63" w:rsidRPr="006D1A69" w:rsidRDefault="00AE5A63" w:rsidP="008363D6">
            <w:pPr>
              <w:widowControl w:val="0"/>
              <w:spacing w:line="276" w:lineRule="auto"/>
              <w:rPr>
                <w:szCs w:val="20"/>
              </w:rPr>
            </w:pPr>
            <w:r w:rsidRPr="006D1A69">
              <w:rPr>
                <w:szCs w:val="20"/>
              </w:rPr>
              <w:t>24 months</w:t>
            </w:r>
          </w:p>
        </w:tc>
        <w:tc>
          <w:tcPr>
            <w:tcW w:w="2033" w:type="dxa"/>
            <w:shd w:val="clear" w:color="auto" w:fill="auto"/>
          </w:tcPr>
          <w:p w14:paraId="1FA38978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10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/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42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23.8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FDD75F1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1.61 (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2.41,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0.81)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br/>
              <w:t>p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=0.0001 </w:t>
            </w:r>
          </w:p>
        </w:tc>
        <w:tc>
          <w:tcPr>
            <w:tcW w:w="2093" w:type="dxa"/>
            <w:shd w:val="clear" w:color="auto" w:fill="auto"/>
          </w:tcPr>
          <w:p w14:paraId="4E0284FA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/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42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2.4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51B45046" w14:textId="77777777" w:rsidR="00AE5A63" w:rsidRPr="006D1A69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1.15 (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2.03,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>0.28)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br/>
              <w:t>p</w:t>
            </w:r>
            <w:r w:rsidRPr="006D1A69">
              <w:rPr>
                <w:rFonts w:ascii="Arial" w:hAnsi="Arial"/>
                <w:color w:val="auto"/>
                <w:sz w:val="20"/>
                <w:szCs w:val="20"/>
                <w:lang w:eastAsia="en-US"/>
              </w:rPr>
              <w:t xml:space="preserve">=0.0101 </w:t>
            </w:r>
          </w:p>
        </w:tc>
      </w:tr>
    </w:tbl>
    <w:p w14:paraId="5EC8579E" w14:textId="77777777" w:rsidR="00AE5A63" w:rsidRPr="00173BFD" w:rsidRDefault="00AE5A63" w:rsidP="00AE5A63">
      <w:pPr>
        <w:widowControl w:val="0"/>
        <w:rPr>
          <w:rFonts w:cs="Arial"/>
          <w:b/>
          <w:bCs/>
          <w:szCs w:val="20"/>
        </w:rPr>
      </w:pPr>
      <w:proofErr w:type="spellStart"/>
      <w:r w:rsidRPr="00FF20B9">
        <w:rPr>
          <w:szCs w:val="20"/>
          <w:vertAlign w:val="superscript"/>
        </w:rPr>
        <w:t>a</w:t>
      </w:r>
      <w:r>
        <w:rPr>
          <w:rFonts w:cs="Arial"/>
          <w:szCs w:val="20"/>
        </w:rPr>
        <w:t>S</w:t>
      </w:r>
      <w:r w:rsidRPr="00173BFD">
        <w:rPr>
          <w:rFonts w:cs="Arial"/>
          <w:szCs w:val="20"/>
        </w:rPr>
        <w:t>tandardized</w:t>
      </w:r>
      <w:proofErr w:type="spellEnd"/>
      <w:r w:rsidRPr="00173BFD">
        <w:rPr>
          <w:rFonts w:cs="Arial"/>
          <w:szCs w:val="20"/>
        </w:rPr>
        <w:t xml:space="preserve"> mean difference</w:t>
      </w:r>
      <w:r w:rsidRPr="00173BFD">
        <w:rPr>
          <w:szCs w:val="20"/>
        </w:rPr>
        <w:t xml:space="preserve"> &gt;</w:t>
      </w:r>
      <w:r>
        <w:rPr>
          <w:szCs w:val="20"/>
        </w:rPr>
        <w:t>10.</w:t>
      </w:r>
    </w:p>
    <w:p w14:paraId="46D62A54" w14:textId="77777777" w:rsidR="00AE5A63" w:rsidRPr="005B321B" w:rsidRDefault="00AE5A63" w:rsidP="00AE5A63">
      <w:pPr>
        <w:widowControl w:val="0"/>
        <w:rPr>
          <w:rFonts w:cs="Arial"/>
          <w:color w:val="FF0000"/>
        </w:rPr>
      </w:pPr>
      <w:r w:rsidRPr="00173BFD">
        <w:rPr>
          <w:rFonts w:cs="Arial"/>
          <w:b/>
          <w:bCs/>
          <w:szCs w:val="20"/>
        </w:rPr>
        <w:t>Abbreviations:</w:t>
      </w:r>
      <w:r w:rsidRPr="00173BFD">
        <w:rPr>
          <w:rFonts w:cs="Arial"/>
          <w:szCs w:val="20"/>
        </w:rPr>
        <w:t xml:space="preserve"> CI, confidence interval; OLO, </w:t>
      </w:r>
      <w:proofErr w:type="spellStart"/>
      <w:r w:rsidRPr="00173BFD">
        <w:rPr>
          <w:rFonts w:cs="Arial"/>
          <w:szCs w:val="20"/>
        </w:rPr>
        <w:t>olodaterol</w:t>
      </w:r>
      <w:proofErr w:type="spellEnd"/>
      <w:r w:rsidRPr="00173BFD">
        <w:rPr>
          <w:rFonts w:cs="Arial"/>
          <w:szCs w:val="20"/>
        </w:rPr>
        <w:t xml:space="preserve">; </w:t>
      </w:r>
      <w:r w:rsidRPr="00173BFD">
        <w:t>TIO, tiotropium bromide; UMEC; umeclidinium; VI, vilanterol.</w:t>
      </w:r>
    </w:p>
    <w:p w14:paraId="2122C1DE" w14:textId="77777777" w:rsidR="00AE5A63" w:rsidRDefault="00AE5A63" w:rsidP="00AE5A63">
      <w:pPr>
        <w:rPr>
          <w:rFonts w:cs="Arial"/>
          <w:szCs w:val="20"/>
        </w:rPr>
        <w:sectPr w:rsidR="00AE5A63" w:rsidSect="00A1271D">
          <w:pgSz w:w="15840" w:h="12240" w:orient="landscape"/>
          <w:pgMar w:top="1800" w:right="1440" w:bottom="180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4D7423F6" w14:textId="77777777" w:rsidR="00AE5A63" w:rsidRPr="00173BFD" w:rsidRDefault="00AE5A63" w:rsidP="00AE5A63">
      <w:pPr>
        <w:widowControl w:val="0"/>
        <w:rPr>
          <w:rFonts w:cs="Arial"/>
          <w:szCs w:val="20"/>
        </w:rPr>
      </w:pPr>
      <w:r>
        <w:rPr>
          <w:rFonts w:cs="Arial"/>
          <w:b/>
          <w:bCs/>
          <w:szCs w:val="20"/>
        </w:rPr>
        <w:lastRenderedPageBreak/>
        <w:t xml:space="preserve">Supplementary Table 3. </w:t>
      </w:r>
      <w:r>
        <w:rPr>
          <w:rFonts w:cs="Arial"/>
          <w:szCs w:val="20"/>
        </w:rPr>
        <w:t>Patient</w:t>
      </w:r>
      <w:r w:rsidRPr="00173BFD">
        <w:rPr>
          <w:rFonts w:cs="Arial"/>
          <w:szCs w:val="20"/>
        </w:rPr>
        <w:t xml:space="preserve"> demographics and </w:t>
      </w:r>
      <w:r>
        <w:rPr>
          <w:rFonts w:cs="Arial"/>
          <w:szCs w:val="20"/>
        </w:rPr>
        <w:t>baseline</w:t>
      </w:r>
      <w:r w:rsidRPr="00173BFD">
        <w:rPr>
          <w:rFonts w:cs="Arial"/>
          <w:szCs w:val="20"/>
        </w:rPr>
        <w:t xml:space="preserve"> characteristics</w:t>
      </w:r>
      <w:r>
        <w:rPr>
          <w:rFonts w:cs="Arial"/>
          <w:szCs w:val="20"/>
        </w:rPr>
        <w:t>, stratified by adherence (PDC &lt;80%, PDC ≥80%)</w:t>
      </w:r>
    </w:p>
    <w:tbl>
      <w:tblPr>
        <w:tblW w:w="139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0"/>
        <w:gridCol w:w="2374"/>
        <w:gridCol w:w="2375"/>
        <w:gridCol w:w="2374"/>
        <w:gridCol w:w="2375"/>
      </w:tblGrid>
      <w:tr w:rsidR="00AE5A63" w14:paraId="3A752CFF" w14:textId="77777777" w:rsidTr="008363D6">
        <w:trPr>
          <w:trHeight w:val="480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64B0" w14:textId="77777777" w:rsidR="00AE5A63" w:rsidRPr="007D3BDB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7D3BDB">
              <w:rPr>
                <w:rFonts w:cs="Arial"/>
                <w:b/>
                <w:bCs/>
                <w:szCs w:val="20"/>
              </w:rPr>
              <w:t>Characteristic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A95B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D3BDB">
              <w:rPr>
                <w:rFonts w:cs="Arial"/>
                <w:b/>
                <w:bCs/>
                <w:szCs w:val="20"/>
              </w:rPr>
              <w:t>UMEC/VI</w:t>
            </w:r>
            <w:r w:rsidRPr="007D3BDB">
              <w:rPr>
                <w:rFonts w:cs="Arial"/>
                <w:b/>
                <w:bCs/>
                <w:szCs w:val="20"/>
              </w:rPr>
              <w:br/>
              <w:t>(n=</w:t>
            </w:r>
            <w:r>
              <w:rPr>
                <w:rFonts w:cs="Arial"/>
                <w:b/>
                <w:bCs/>
                <w:szCs w:val="20"/>
              </w:rPr>
              <w:t>4,913</w:t>
            </w:r>
            <w:r w:rsidRPr="007D3BDB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AD74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D3BDB">
              <w:rPr>
                <w:rFonts w:cs="Arial"/>
                <w:b/>
                <w:bCs/>
                <w:szCs w:val="20"/>
              </w:rPr>
              <w:t>TIO/OLO</w:t>
            </w:r>
          </w:p>
          <w:p w14:paraId="6502E0C1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D3BDB">
              <w:rPr>
                <w:rFonts w:cs="Arial"/>
                <w:b/>
                <w:bCs/>
                <w:szCs w:val="20"/>
              </w:rPr>
              <w:t>(n=</w:t>
            </w:r>
            <w:r>
              <w:rPr>
                <w:rFonts w:cs="Arial"/>
                <w:b/>
                <w:bCs/>
                <w:szCs w:val="20"/>
              </w:rPr>
              <w:t>1,514</w:t>
            </w:r>
            <w:r w:rsidRPr="007D3BDB">
              <w:rPr>
                <w:rFonts w:cs="Arial"/>
                <w:b/>
                <w:bCs/>
                <w:szCs w:val="20"/>
              </w:rPr>
              <w:t>)</w:t>
            </w:r>
          </w:p>
        </w:tc>
      </w:tr>
      <w:tr w:rsidR="00AE5A63" w14:paraId="484A81C5" w14:textId="77777777" w:rsidTr="008363D6">
        <w:trPr>
          <w:trHeight w:val="480"/>
        </w:trPr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158B" w14:textId="77777777" w:rsidR="00AE5A63" w:rsidRPr="007D3BDB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4658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506E8">
              <w:rPr>
                <w:rFonts w:cs="Arial"/>
                <w:b/>
                <w:bCs/>
                <w:szCs w:val="20"/>
              </w:rPr>
              <w:t>PDC &lt;80%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br/>
              <w:t>(non-adherent)</w:t>
            </w:r>
          </w:p>
          <w:p w14:paraId="230E776F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506E8">
              <w:rPr>
                <w:rFonts w:cs="Arial"/>
                <w:b/>
                <w:bCs/>
                <w:szCs w:val="20"/>
              </w:rPr>
              <w:t>(n=3</w:t>
            </w:r>
            <w:r>
              <w:rPr>
                <w:rFonts w:cs="Arial"/>
                <w:b/>
                <w:bCs/>
                <w:szCs w:val="20"/>
              </w:rPr>
              <w:t>,</w:t>
            </w:r>
            <w:r w:rsidRPr="008506E8">
              <w:rPr>
                <w:rFonts w:cs="Arial"/>
                <w:b/>
                <w:bCs/>
                <w:szCs w:val="20"/>
              </w:rPr>
              <w:t xml:space="preserve">391)       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B28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506E8">
              <w:rPr>
                <w:rFonts w:cs="Arial"/>
                <w:b/>
                <w:bCs/>
                <w:szCs w:val="20"/>
              </w:rPr>
              <w:t>PDC</w:t>
            </w:r>
            <w:r>
              <w:rPr>
                <w:rFonts w:cs="Arial"/>
                <w:b/>
                <w:bCs/>
                <w:szCs w:val="20"/>
              </w:rPr>
              <w:t xml:space="preserve"> ≥</w:t>
            </w:r>
            <w:r w:rsidRPr="008506E8">
              <w:rPr>
                <w:rFonts w:cs="Arial"/>
                <w:b/>
                <w:bCs/>
                <w:szCs w:val="20"/>
              </w:rPr>
              <w:t xml:space="preserve">80% </w:t>
            </w:r>
            <w:r>
              <w:rPr>
                <w:rFonts w:cs="Arial"/>
                <w:b/>
                <w:bCs/>
                <w:szCs w:val="20"/>
              </w:rPr>
              <w:t>(adherent)</w:t>
            </w:r>
          </w:p>
          <w:p w14:paraId="51B55FF2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(n=1,522)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B9A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506E8">
              <w:rPr>
                <w:rFonts w:cs="Arial"/>
                <w:b/>
                <w:bCs/>
                <w:szCs w:val="20"/>
              </w:rPr>
              <w:t>PDC &lt;80%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br/>
              <w:t>(non-adherent)</w:t>
            </w:r>
          </w:p>
          <w:p w14:paraId="399432DA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506E8">
              <w:rPr>
                <w:rFonts w:cs="Arial"/>
                <w:b/>
                <w:bCs/>
                <w:szCs w:val="20"/>
              </w:rPr>
              <w:t>(n=</w:t>
            </w:r>
            <w:r>
              <w:rPr>
                <w:rFonts w:cs="Arial"/>
                <w:b/>
                <w:bCs/>
                <w:szCs w:val="20"/>
              </w:rPr>
              <w:t>982</w:t>
            </w:r>
            <w:r w:rsidRPr="008506E8">
              <w:rPr>
                <w:rFonts w:cs="Arial"/>
                <w:b/>
                <w:bCs/>
                <w:szCs w:val="20"/>
              </w:rPr>
              <w:t xml:space="preserve">)       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951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8506E8">
              <w:rPr>
                <w:rFonts w:cs="Arial"/>
                <w:b/>
                <w:bCs/>
                <w:szCs w:val="20"/>
              </w:rPr>
              <w:t>PDC</w:t>
            </w:r>
            <w:r>
              <w:rPr>
                <w:rFonts w:cs="Arial"/>
                <w:b/>
                <w:bCs/>
                <w:szCs w:val="20"/>
              </w:rPr>
              <w:t xml:space="preserve"> ≥</w:t>
            </w:r>
            <w:r w:rsidRPr="008506E8">
              <w:rPr>
                <w:rFonts w:cs="Arial"/>
                <w:b/>
                <w:bCs/>
                <w:szCs w:val="20"/>
              </w:rPr>
              <w:t xml:space="preserve">80% </w:t>
            </w:r>
            <w:r>
              <w:rPr>
                <w:rFonts w:cs="Arial"/>
                <w:b/>
                <w:bCs/>
                <w:szCs w:val="20"/>
              </w:rPr>
              <w:t>(adherent)</w:t>
            </w:r>
          </w:p>
          <w:p w14:paraId="24B82AB1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(n=532)</w:t>
            </w:r>
          </w:p>
        </w:tc>
      </w:tr>
      <w:tr w:rsidR="00AE5A63" w14:paraId="1BD62B3E" w14:textId="77777777" w:rsidTr="008363D6">
        <w:trPr>
          <w:trHeight w:val="134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89E" w14:textId="77777777" w:rsidR="00AE5A63" w:rsidRPr="007D3BDB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7D3BDB">
              <w:rPr>
                <w:rFonts w:cs="Arial"/>
                <w:b/>
                <w:bCs/>
                <w:szCs w:val="20"/>
              </w:rPr>
              <w:t>Age, years, mean (SD)</w:t>
            </w:r>
            <w:r w:rsidRPr="007D3BDB">
              <w:rPr>
                <w:rFonts w:cs="Arial"/>
                <w:b/>
                <w:bCs/>
                <w:szCs w:val="20"/>
                <w:vertAlign w:val="superscript"/>
              </w:rPr>
              <w:t>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BE5F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7D3BDB">
              <w:rPr>
                <w:rFonts w:cs="Arial"/>
                <w:szCs w:val="20"/>
              </w:rPr>
              <w:t>69.</w:t>
            </w:r>
            <w:r>
              <w:rPr>
                <w:rFonts w:cs="Arial"/>
                <w:szCs w:val="20"/>
              </w:rPr>
              <w:t>1</w:t>
            </w:r>
            <w:r w:rsidRPr="007D3BDB">
              <w:rPr>
                <w:rFonts w:cs="Arial"/>
                <w:szCs w:val="20"/>
              </w:rPr>
              <w:t xml:space="preserve"> (10.</w:t>
            </w:r>
            <w:r>
              <w:rPr>
                <w:rFonts w:cs="Arial"/>
                <w:szCs w:val="20"/>
              </w:rPr>
              <w:t>8</w:t>
            </w:r>
            <w:r w:rsidRPr="007D3BDB">
              <w:rPr>
                <w:rFonts w:cs="Arial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2EC8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69.7 (9.9)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9A8E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69.7 (10.3)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02A4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69.9 (9.7)</w:t>
            </w:r>
          </w:p>
        </w:tc>
      </w:tr>
      <w:tr w:rsidR="00AE5A63" w14:paraId="65EE1601" w14:textId="77777777" w:rsidTr="008363D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EF4" w14:textId="77777777" w:rsidR="00AE5A63" w:rsidRPr="007D3BDB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</w:rPr>
            </w:pPr>
            <w:r w:rsidRPr="007D3BDB">
              <w:rPr>
                <w:rFonts w:cs="Arial"/>
                <w:b/>
                <w:bCs/>
              </w:rPr>
              <w:t>Female, n (%)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974F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1,494 (44.1)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9308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679 (44.6)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88E1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456 (46.4)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D397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258 (48.5)</w:t>
            </w:r>
          </w:p>
        </w:tc>
      </w:tr>
      <w:tr w:rsidR="00AE5A63" w14:paraId="400077A0" w14:textId="77777777" w:rsidTr="008363D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1AF9" w14:textId="77777777" w:rsidR="00AE5A63" w:rsidRPr="00E34BDB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</w:rPr>
            </w:pPr>
            <w:r w:rsidRPr="007D3BDB">
              <w:rPr>
                <w:rFonts w:cs="Arial"/>
                <w:b/>
                <w:bCs/>
              </w:rPr>
              <w:t>BMI, mean (SD)</w:t>
            </w:r>
            <w:proofErr w:type="spellStart"/>
            <w:proofErr w:type="gramStart"/>
            <w:r w:rsidRPr="007D3BDB">
              <w:rPr>
                <w:rFonts w:cs="Arial"/>
                <w:b/>
                <w:bCs/>
                <w:vertAlign w:val="superscript"/>
              </w:rPr>
              <w:t>a</w:t>
            </w:r>
            <w:r>
              <w:rPr>
                <w:rFonts w:cs="Arial"/>
                <w:b/>
                <w:bCs/>
                <w:vertAlign w:val="superscript"/>
              </w:rPr>
              <w:t>,b</w:t>
            </w:r>
            <w:proofErr w:type="spellEnd"/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B0E7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27.2 (6.1)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5DDD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27.2 (6.1)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E038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27.2 (6.4)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A4A0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27.5 (6.2)</w:t>
            </w:r>
          </w:p>
        </w:tc>
      </w:tr>
      <w:tr w:rsidR="00AE5A63" w14:paraId="331C6959" w14:textId="77777777" w:rsidTr="008363D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55F" w14:textId="77777777" w:rsidR="00AE5A63" w:rsidRPr="007D3BDB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</w:rPr>
            </w:pPr>
            <w:r w:rsidRPr="007D3BDB">
              <w:rPr>
                <w:rFonts w:cs="Arial"/>
                <w:b/>
                <w:bCs/>
              </w:rPr>
              <w:t>Patient region, n (%)</w:t>
            </w:r>
          </w:p>
          <w:p w14:paraId="4EACFBF5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East Midlands</w:t>
            </w:r>
          </w:p>
          <w:p w14:paraId="5D4AB5F3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East of England</w:t>
            </w:r>
          </w:p>
          <w:p w14:paraId="16332437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London</w:t>
            </w:r>
          </w:p>
          <w:p w14:paraId="43010BE6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proofErr w:type="gramStart"/>
            <w:r w:rsidRPr="007D3BDB">
              <w:rPr>
                <w:rFonts w:cs="Arial"/>
              </w:rPr>
              <w:t>North East</w:t>
            </w:r>
            <w:proofErr w:type="gramEnd"/>
          </w:p>
          <w:p w14:paraId="1A32600E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proofErr w:type="gramStart"/>
            <w:r w:rsidRPr="007D3BDB">
              <w:rPr>
                <w:rFonts w:cs="Arial"/>
              </w:rPr>
              <w:t>North West</w:t>
            </w:r>
            <w:proofErr w:type="gramEnd"/>
          </w:p>
          <w:p w14:paraId="199BC956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South Central</w:t>
            </w:r>
          </w:p>
          <w:p w14:paraId="0887B054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proofErr w:type="gramStart"/>
            <w:r w:rsidRPr="007D3BDB">
              <w:rPr>
                <w:rFonts w:cs="Arial"/>
              </w:rPr>
              <w:t>South East</w:t>
            </w:r>
            <w:proofErr w:type="gramEnd"/>
            <w:r w:rsidRPr="007D3BDB">
              <w:rPr>
                <w:rFonts w:cs="Arial"/>
              </w:rPr>
              <w:t xml:space="preserve"> Coast</w:t>
            </w:r>
          </w:p>
          <w:p w14:paraId="58842FF3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proofErr w:type="gramStart"/>
            <w:r w:rsidRPr="007D3BDB">
              <w:rPr>
                <w:rFonts w:cs="Arial"/>
              </w:rPr>
              <w:t>South West</w:t>
            </w:r>
            <w:proofErr w:type="gramEnd"/>
          </w:p>
          <w:p w14:paraId="62306846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West Midlands</w:t>
            </w:r>
          </w:p>
          <w:p w14:paraId="761D2DF4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Yorkshire and the Humber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D26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2E2C1DC5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 (1.0)</w:t>
            </w:r>
          </w:p>
          <w:p w14:paraId="6D7EE76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70 (2.1)</w:t>
            </w:r>
          </w:p>
          <w:p w14:paraId="3881512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290 (8.6)</w:t>
            </w:r>
          </w:p>
          <w:p w14:paraId="54126E0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 (1.4)</w:t>
            </w:r>
          </w:p>
          <w:p w14:paraId="6213D2D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650 (19.3)</w:t>
            </w:r>
          </w:p>
          <w:p w14:paraId="2D8D5DB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394 (11.7)</w:t>
            </w:r>
          </w:p>
          <w:p w14:paraId="235067B5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198 (5.9)</w:t>
            </w:r>
          </w:p>
          <w:p w14:paraId="5EA74FC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843 (25.1)</w:t>
            </w:r>
          </w:p>
          <w:p w14:paraId="53ABD0D8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547 (16.3)</w:t>
            </w:r>
          </w:p>
          <w:p w14:paraId="0177C29E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289 (8.6)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3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2CCCB63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 (0.9)</w:t>
            </w:r>
          </w:p>
          <w:p w14:paraId="44771932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 (4.0)</w:t>
            </w:r>
          </w:p>
          <w:p w14:paraId="280E7C5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78 (5.2)</w:t>
            </w:r>
          </w:p>
          <w:p w14:paraId="4EC5D686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 (2.5)</w:t>
            </w:r>
          </w:p>
          <w:p w14:paraId="16C3AB3F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427 (28.4)</w:t>
            </w:r>
          </w:p>
          <w:p w14:paraId="6B8D5E2F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139 (9.2)</w:t>
            </w:r>
          </w:p>
          <w:p w14:paraId="29632A29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112 (7.4)</w:t>
            </w:r>
          </w:p>
          <w:p w14:paraId="5C552EC0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200 (13.3)</w:t>
            </w:r>
          </w:p>
          <w:p w14:paraId="4AEF5D02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243 (16.1)</w:t>
            </w:r>
          </w:p>
          <w:p w14:paraId="5BCFE6B9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195 (13.0)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2E9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2DAFE3A0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 (0.7)</w:t>
            </w:r>
          </w:p>
          <w:p w14:paraId="4FBC398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 (2.6)</w:t>
            </w:r>
          </w:p>
          <w:p w14:paraId="02F6F58A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 (5.1)</w:t>
            </w:r>
          </w:p>
          <w:p w14:paraId="57366348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105 (10.7)</w:t>
            </w:r>
          </w:p>
          <w:p w14:paraId="5C8BAB2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247 (25.2)</w:t>
            </w:r>
          </w:p>
          <w:p w14:paraId="7532F560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220 (22.4)</w:t>
            </w:r>
          </w:p>
          <w:p w14:paraId="3EFC52C5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 (6.9)</w:t>
            </w:r>
          </w:p>
          <w:p w14:paraId="710022CF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165 (16.8)</w:t>
            </w:r>
          </w:p>
          <w:p w14:paraId="2D4457D6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 (5.3)</w:t>
            </w:r>
          </w:p>
          <w:p w14:paraId="31EA714E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 (4.2)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7888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2861BFEA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 (1.5)</w:t>
            </w:r>
          </w:p>
          <w:p w14:paraId="490C4AE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 (2.6)</w:t>
            </w:r>
          </w:p>
          <w:p w14:paraId="77A3348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 (4.7)</w:t>
            </w:r>
          </w:p>
          <w:p w14:paraId="4B23BF8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 (10.6)</w:t>
            </w:r>
          </w:p>
          <w:p w14:paraId="35771115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162 (30.6)</w:t>
            </w:r>
          </w:p>
          <w:p w14:paraId="33D71C36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103 (19.5)</w:t>
            </w:r>
          </w:p>
          <w:p w14:paraId="5E62055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 (5.3)</w:t>
            </w:r>
          </w:p>
          <w:p w14:paraId="71734CD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73 (13.8)</w:t>
            </w:r>
          </w:p>
          <w:p w14:paraId="6F56DDF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 (3.8)</w:t>
            </w:r>
          </w:p>
          <w:p w14:paraId="728D55AB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 (7.6)</w:t>
            </w:r>
          </w:p>
        </w:tc>
      </w:tr>
      <w:tr w:rsidR="00AE5A63" w14:paraId="698CB465" w14:textId="77777777" w:rsidTr="008363D6">
        <w:trPr>
          <w:trHeight w:val="13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4848" w14:textId="77777777" w:rsidR="00AE5A63" w:rsidRPr="007D3BDB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7D3BDB">
              <w:rPr>
                <w:rFonts w:cs="Arial"/>
                <w:b/>
                <w:bCs/>
              </w:rPr>
              <w:t>FEV</w:t>
            </w:r>
            <w:r w:rsidRPr="007D3BDB">
              <w:rPr>
                <w:rFonts w:cs="Arial"/>
                <w:b/>
                <w:bCs/>
                <w:vertAlign w:val="subscript"/>
              </w:rPr>
              <w:t>1</w:t>
            </w:r>
            <w:r w:rsidRPr="007D3BDB">
              <w:rPr>
                <w:rFonts w:cs="Arial"/>
                <w:b/>
                <w:bCs/>
              </w:rPr>
              <w:t xml:space="preserve"> % predicted in baseline </w:t>
            </w:r>
            <w:r w:rsidRPr="007D3BDB">
              <w:rPr>
                <w:rFonts w:cs="Arial"/>
                <w:b/>
                <w:bCs/>
                <w:szCs w:val="20"/>
              </w:rPr>
              <w:t>period</w:t>
            </w:r>
            <w:r>
              <w:rPr>
                <w:rFonts w:cs="Arial"/>
                <w:b/>
                <w:bCs/>
                <w:szCs w:val="20"/>
              </w:rPr>
              <w:t>, n (</w:t>
            </w:r>
            <w:proofErr w:type="gramStart"/>
            <w:r>
              <w:rPr>
                <w:rFonts w:cs="Arial"/>
                <w:b/>
                <w:bCs/>
                <w:szCs w:val="20"/>
              </w:rPr>
              <w:t>%)</w:t>
            </w:r>
            <w:r>
              <w:rPr>
                <w:rFonts w:cs="Arial"/>
                <w:b/>
                <w:bCs/>
                <w:szCs w:val="20"/>
                <w:vertAlign w:val="superscript"/>
              </w:rPr>
              <w:t>c</w:t>
            </w:r>
            <w:proofErr w:type="gramEnd"/>
          </w:p>
          <w:p w14:paraId="469BE0E6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  <w:szCs w:val="20"/>
              </w:rPr>
            </w:pPr>
            <w:r w:rsidRPr="007D3BDB">
              <w:rPr>
                <w:rFonts w:cs="Arial"/>
                <w:szCs w:val="20"/>
              </w:rPr>
              <w:t>GOLD</w:t>
            </w:r>
            <w:r>
              <w:rPr>
                <w:rFonts w:cs="Arial"/>
                <w:szCs w:val="20"/>
              </w:rPr>
              <w:t xml:space="preserve"> grade</w:t>
            </w:r>
            <w:r w:rsidRPr="007D3BDB">
              <w:rPr>
                <w:rFonts w:cs="Arial"/>
                <w:szCs w:val="20"/>
              </w:rPr>
              <w:t xml:space="preserve"> 1: FEV</w:t>
            </w:r>
            <w:r w:rsidRPr="007D3BDB">
              <w:rPr>
                <w:rFonts w:cs="Arial"/>
                <w:szCs w:val="20"/>
                <w:vertAlign w:val="subscript"/>
              </w:rPr>
              <w:t xml:space="preserve">1 </w:t>
            </w:r>
            <w:r w:rsidRPr="007D3BDB">
              <w:rPr>
                <w:rFonts w:cs="Arial"/>
                <w:szCs w:val="20"/>
              </w:rPr>
              <w:t>% predicted ≥80%</w:t>
            </w:r>
          </w:p>
          <w:p w14:paraId="650FC33A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  <w:szCs w:val="20"/>
              </w:rPr>
            </w:pPr>
            <w:r w:rsidRPr="007D3BDB">
              <w:rPr>
                <w:rFonts w:cs="Arial"/>
                <w:szCs w:val="20"/>
              </w:rPr>
              <w:t xml:space="preserve">GOLD </w:t>
            </w:r>
            <w:r>
              <w:rPr>
                <w:rFonts w:cs="Arial"/>
                <w:szCs w:val="20"/>
              </w:rPr>
              <w:t xml:space="preserve">grade </w:t>
            </w:r>
            <w:r w:rsidRPr="007D3BDB">
              <w:rPr>
                <w:rFonts w:cs="Arial"/>
                <w:szCs w:val="20"/>
              </w:rPr>
              <w:t>2: FEV</w:t>
            </w:r>
            <w:r w:rsidRPr="007D3BDB">
              <w:rPr>
                <w:rFonts w:cs="Arial"/>
                <w:szCs w:val="20"/>
                <w:vertAlign w:val="subscript"/>
              </w:rPr>
              <w:t xml:space="preserve">1 </w:t>
            </w:r>
            <w:r w:rsidRPr="007D3BDB">
              <w:rPr>
                <w:rFonts w:cs="Arial"/>
                <w:szCs w:val="20"/>
              </w:rPr>
              <w:t>% predicted ≥50–&lt;80%</w:t>
            </w:r>
          </w:p>
          <w:p w14:paraId="28C16296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  <w:szCs w:val="20"/>
              </w:rPr>
            </w:pPr>
            <w:r w:rsidRPr="007D3BDB">
              <w:rPr>
                <w:rFonts w:cs="Arial"/>
                <w:szCs w:val="20"/>
              </w:rPr>
              <w:t xml:space="preserve">GOLD </w:t>
            </w:r>
            <w:r>
              <w:rPr>
                <w:rFonts w:cs="Arial"/>
                <w:szCs w:val="20"/>
              </w:rPr>
              <w:t xml:space="preserve">grade </w:t>
            </w:r>
            <w:r w:rsidRPr="007D3BDB">
              <w:rPr>
                <w:rFonts w:cs="Arial"/>
                <w:szCs w:val="20"/>
              </w:rPr>
              <w:t>3: FEV</w:t>
            </w:r>
            <w:r w:rsidRPr="007D3BDB">
              <w:rPr>
                <w:rFonts w:cs="Arial"/>
                <w:szCs w:val="20"/>
                <w:vertAlign w:val="subscript"/>
              </w:rPr>
              <w:t xml:space="preserve">1 </w:t>
            </w:r>
            <w:r w:rsidRPr="007D3BDB">
              <w:rPr>
                <w:rFonts w:cs="Arial"/>
                <w:szCs w:val="20"/>
              </w:rPr>
              <w:t>% predicted ≥30–&lt;50%</w:t>
            </w:r>
          </w:p>
          <w:p w14:paraId="1DEFD828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  <w:szCs w:val="20"/>
              </w:rPr>
            </w:pPr>
            <w:r w:rsidRPr="007D3BDB">
              <w:rPr>
                <w:rFonts w:cs="Arial"/>
                <w:szCs w:val="20"/>
              </w:rPr>
              <w:t xml:space="preserve">GOLD </w:t>
            </w:r>
            <w:r>
              <w:rPr>
                <w:rFonts w:cs="Arial"/>
                <w:szCs w:val="20"/>
              </w:rPr>
              <w:t xml:space="preserve">grade </w:t>
            </w:r>
            <w:r w:rsidRPr="007D3BDB">
              <w:rPr>
                <w:rFonts w:cs="Arial"/>
                <w:szCs w:val="20"/>
              </w:rPr>
              <w:t>4: FEV</w:t>
            </w:r>
            <w:r w:rsidRPr="007D3BDB">
              <w:rPr>
                <w:rFonts w:cs="Arial"/>
                <w:szCs w:val="20"/>
                <w:vertAlign w:val="subscript"/>
              </w:rPr>
              <w:t>1</w:t>
            </w:r>
            <w:r w:rsidRPr="007D3BDB">
              <w:rPr>
                <w:rFonts w:cs="Arial"/>
                <w:szCs w:val="20"/>
              </w:rPr>
              <w:t xml:space="preserve"> % predicted &lt;30%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2AD6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2BFEF9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 (15.2)</w:t>
            </w:r>
          </w:p>
          <w:p w14:paraId="79E18F3D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1,551 (59.6)</w:t>
            </w:r>
          </w:p>
          <w:p w14:paraId="5D410FDE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 (22.4)</w:t>
            </w:r>
          </w:p>
          <w:p w14:paraId="240AA977" w14:textId="77777777" w:rsidR="00AE5A63" w:rsidRPr="007D3BDB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(2.8)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10B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44D16E08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166 (14.0)</w:t>
            </w:r>
          </w:p>
          <w:p w14:paraId="3176FBE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710 (59.8)</w:t>
            </w:r>
          </w:p>
          <w:p w14:paraId="3CAB96D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279 (23.5)</w:t>
            </w:r>
          </w:p>
          <w:p w14:paraId="1DC613CA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 (2.7)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EE1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CBD70E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 (15.1)</w:t>
            </w:r>
          </w:p>
          <w:p w14:paraId="2F05FB58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 (61.0)</w:t>
            </w:r>
          </w:p>
          <w:p w14:paraId="13882ED8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 (20.7)</w:t>
            </w:r>
          </w:p>
          <w:p w14:paraId="6A79E012" w14:textId="77777777" w:rsidR="00AE5A63" w:rsidRPr="007D3BDB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(3.2)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F6F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742F64AC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 (13.6)</w:t>
            </w:r>
          </w:p>
          <w:p w14:paraId="5936149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264 (62.0)</w:t>
            </w:r>
          </w:p>
          <w:p w14:paraId="0AC1CE3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91 (21.4)</w:t>
            </w:r>
          </w:p>
          <w:p w14:paraId="4811AFA9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 (3.1)</w:t>
            </w:r>
          </w:p>
        </w:tc>
      </w:tr>
      <w:tr w:rsidR="00AE5A63" w14:paraId="42D016A3" w14:textId="77777777" w:rsidTr="008363D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63E7" w14:textId="77777777" w:rsidR="00AE5A63" w:rsidRPr="007D3BDB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</w:rPr>
            </w:pPr>
            <w:r w:rsidRPr="007D3BDB">
              <w:rPr>
                <w:rFonts w:cs="Arial"/>
                <w:b/>
                <w:bCs/>
              </w:rPr>
              <w:t>GOLD 2019 gr</w:t>
            </w:r>
            <w:r>
              <w:rPr>
                <w:rFonts w:cs="Arial"/>
                <w:b/>
                <w:bCs/>
              </w:rPr>
              <w:t>oup, n (</w:t>
            </w:r>
            <w:proofErr w:type="gramStart"/>
            <w:r>
              <w:rPr>
                <w:rFonts w:cs="Arial"/>
                <w:b/>
                <w:bCs/>
              </w:rPr>
              <w:t>%)</w:t>
            </w:r>
            <w:r w:rsidRPr="002B1645">
              <w:rPr>
                <w:rFonts w:cs="Arial"/>
                <w:b/>
                <w:bCs/>
                <w:vertAlign w:val="superscript"/>
              </w:rPr>
              <w:t>d</w:t>
            </w:r>
            <w:proofErr w:type="gramEnd"/>
          </w:p>
          <w:p w14:paraId="28926D43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A</w:t>
            </w:r>
          </w:p>
          <w:p w14:paraId="14765CBD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B</w:t>
            </w:r>
          </w:p>
          <w:p w14:paraId="1BD07762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lastRenderedPageBreak/>
              <w:t>C</w:t>
            </w:r>
          </w:p>
          <w:p w14:paraId="2780B156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F5B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5821BC7A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1,359 (43.0)</w:t>
            </w:r>
          </w:p>
          <w:p w14:paraId="2148761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1,153 (36.5)</w:t>
            </w:r>
          </w:p>
          <w:p w14:paraId="73E79ED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345 (10.9)</w:t>
            </w:r>
          </w:p>
          <w:p w14:paraId="17C6287A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302 (9.6)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9FF9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6104CA2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622 (43.7)</w:t>
            </w:r>
          </w:p>
          <w:p w14:paraId="0FCC2AF0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516 (36.2)</w:t>
            </w:r>
          </w:p>
          <w:p w14:paraId="2697FAD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143 (10.0)</w:t>
            </w:r>
          </w:p>
          <w:p w14:paraId="2F7E4EFD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143 (10.0)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0DB0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3F7EE13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377 (41.1)</w:t>
            </w:r>
          </w:p>
          <w:p w14:paraId="0193EC3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351 (38.2)</w:t>
            </w:r>
          </w:p>
          <w:p w14:paraId="22DA4BB5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77 (8.4)</w:t>
            </w:r>
          </w:p>
          <w:p w14:paraId="2B97220B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113 (12.3)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C35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3EAEEF4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225 (44.6)</w:t>
            </w:r>
          </w:p>
          <w:p w14:paraId="581E47B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171 (33.9)</w:t>
            </w:r>
          </w:p>
          <w:p w14:paraId="1CB217EA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56 (11.1)</w:t>
            </w:r>
          </w:p>
          <w:p w14:paraId="774C3D14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53 (10.5)</w:t>
            </w:r>
          </w:p>
        </w:tc>
      </w:tr>
      <w:tr w:rsidR="00AE5A63" w14:paraId="2FD0A70C" w14:textId="77777777" w:rsidTr="008363D6">
        <w:trPr>
          <w:trHeight w:val="11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341F" w14:textId="77777777" w:rsidR="00AE5A63" w:rsidRPr="007D3BDB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7D3BDB">
              <w:rPr>
                <w:rFonts w:cs="Arial"/>
                <w:b/>
                <w:bCs/>
                <w:szCs w:val="20"/>
              </w:rPr>
              <w:lastRenderedPageBreak/>
              <w:t>MRC Dyspnea Scale score, n (</w:t>
            </w:r>
            <w:proofErr w:type="gramStart"/>
            <w:r w:rsidRPr="007D3BDB">
              <w:rPr>
                <w:rFonts w:cs="Arial"/>
                <w:b/>
                <w:bCs/>
                <w:szCs w:val="20"/>
              </w:rPr>
              <w:t>%)</w:t>
            </w:r>
            <w:r>
              <w:rPr>
                <w:rFonts w:cs="Arial"/>
                <w:b/>
                <w:bCs/>
                <w:szCs w:val="20"/>
                <w:vertAlign w:val="superscript"/>
              </w:rPr>
              <w:t>e</w:t>
            </w:r>
            <w:proofErr w:type="gramEnd"/>
          </w:p>
          <w:p w14:paraId="7D3958FB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  <w:szCs w:val="20"/>
              </w:rPr>
            </w:pPr>
            <w:r w:rsidRPr="007D3BDB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  <w:vertAlign w:val="superscript"/>
              </w:rPr>
              <w:t>f</w:t>
            </w:r>
          </w:p>
          <w:p w14:paraId="1C179F94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  <w:szCs w:val="20"/>
              </w:rPr>
            </w:pPr>
            <w:r w:rsidRPr="007D3BDB">
              <w:rPr>
                <w:rFonts w:cs="Arial"/>
                <w:szCs w:val="20"/>
              </w:rPr>
              <w:t>2</w:t>
            </w:r>
          </w:p>
          <w:p w14:paraId="5151B71F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  <w:szCs w:val="20"/>
              </w:rPr>
            </w:pPr>
            <w:r w:rsidRPr="007D3BDB">
              <w:rPr>
                <w:rFonts w:cs="Arial"/>
                <w:szCs w:val="20"/>
              </w:rPr>
              <w:t>3</w:t>
            </w:r>
          </w:p>
          <w:p w14:paraId="46EB0F9B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  <w:szCs w:val="20"/>
              </w:rPr>
            </w:pPr>
            <w:r w:rsidRPr="007D3BDB">
              <w:rPr>
                <w:rFonts w:cs="Arial"/>
                <w:szCs w:val="20"/>
              </w:rPr>
              <w:t>4</w:t>
            </w:r>
          </w:p>
          <w:p w14:paraId="42C28400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  <w:szCs w:val="20"/>
              </w:rPr>
            </w:pPr>
            <w:r w:rsidRPr="007D3BDB">
              <w:rPr>
                <w:rFonts w:cs="Arial"/>
                <w:szCs w:val="20"/>
              </w:rPr>
              <w:t>5</w:t>
            </w:r>
            <w:r>
              <w:rPr>
                <w:rFonts w:cs="Arial"/>
                <w:szCs w:val="20"/>
                <w:vertAlign w:val="superscript"/>
              </w:rPr>
              <w:t>f</w:t>
            </w:r>
          </w:p>
          <w:p w14:paraId="3B4ED3E9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  <w:szCs w:val="20"/>
              </w:rPr>
            </w:pPr>
            <w:r w:rsidRPr="007D3BDB">
              <w:rPr>
                <w:rFonts w:cs="Arial"/>
                <w:szCs w:val="20"/>
              </w:rPr>
              <w:t>Unknown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584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  <w:p w14:paraId="3F5C66D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334 (9.8)</w:t>
            </w:r>
          </w:p>
          <w:p w14:paraId="56E19939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1,370 (40.4)</w:t>
            </w:r>
          </w:p>
          <w:p w14:paraId="27C0011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1,047 (30.9)</w:t>
            </w:r>
          </w:p>
          <w:p w14:paraId="0BF79479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359 (10.6)</w:t>
            </w:r>
          </w:p>
          <w:p w14:paraId="34079EC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 (1.4)</w:t>
            </w:r>
          </w:p>
          <w:p w14:paraId="23621FD1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232 (6.8)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564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  <w:p w14:paraId="5ED9312A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145 (9.5)</w:t>
            </w:r>
          </w:p>
          <w:p w14:paraId="4D3FF68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620 (40.7)</w:t>
            </w:r>
          </w:p>
          <w:p w14:paraId="29E11320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466 (30.6)</w:t>
            </w:r>
          </w:p>
          <w:p w14:paraId="3AA77F0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178 (11.7)</w:t>
            </w:r>
          </w:p>
          <w:p w14:paraId="46C1FA0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 (1.0)</w:t>
            </w:r>
          </w:p>
          <w:p w14:paraId="1AA2A6E2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98 (6.4)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DDA0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8B45CD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(11.0)</w:t>
            </w:r>
          </w:p>
          <w:p w14:paraId="46019AEB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 (35.2)</w:t>
            </w:r>
          </w:p>
          <w:p w14:paraId="46A11438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 (33.5)</w:t>
            </w:r>
          </w:p>
          <w:p w14:paraId="2C9182EF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 (12.4)</w:t>
            </w:r>
          </w:p>
          <w:p w14:paraId="6558D573" w14:textId="77777777" w:rsidR="00AE5A63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(1.3)</w:t>
            </w:r>
          </w:p>
          <w:p w14:paraId="1C0199AF" w14:textId="77777777" w:rsidR="00AE5A63" w:rsidRPr="007D3BDB" w:rsidRDefault="00AE5A63" w:rsidP="008363D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(6.5)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A08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  <w:p w14:paraId="1628E9C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 (10.3)</w:t>
            </w:r>
          </w:p>
          <w:p w14:paraId="3A9C9B95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226 (42.5)</w:t>
            </w:r>
          </w:p>
          <w:p w14:paraId="25097062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157 (29.5)</w:t>
            </w:r>
          </w:p>
          <w:p w14:paraId="76291D7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 (10.5)</w:t>
            </w:r>
          </w:p>
          <w:p w14:paraId="225D45F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 (2.1)</w:t>
            </w:r>
          </w:p>
          <w:p w14:paraId="6F51CA74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 (5.1)</w:t>
            </w:r>
          </w:p>
        </w:tc>
      </w:tr>
      <w:tr w:rsidR="00AE5A63" w14:paraId="37383D3F" w14:textId="77777777" w:rsidTr="008363D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4834" w14:textId="77777777" w:rsidR="00AE5A63" w:rsidRPr="00560131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</w:rPr>
            </w:pPr>
            <w:r w:rsidRPr="00560131">
              <w:rPr>
                <w:rFonts w:cs="Arial"/>
                <w:b/>
                <w:bCs/>
              </w:rPr>
              <w:t>Smoking status, n (</w:t>
            </w:r>
            <w:proofErr w:type="gramStart"/>
            <w:r w:rsidRPr="00560131">
              <w:rPr>
                <w:rFonts w:cs="Arial"/>
                <w:b/>
                <w:bCs/>
              </w:rPr>
              <w:t>%)</w:t>
            </w:r>
            <w:r w:rsidRPr="00560131">
              <w:rPr>
                <w:rFonts w:cs="Arial"/>
                <w:b/>
                <w:bCs/>
                <w:vertAlign w:val="superscript"/>
              </w:rPr>
              <w:t>a</w:t>
            </w:r>
            <w:proofErr w:type="gramEnd"/>
          </w:p>
          <w:p w14:paraId="49CFF2B8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Current smoker</w:t>
            </w:r>
          </w:p>
          <w:p w14:paraId="499F5230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Former smoker</w:t>
            </w:r>
          </w:p>
          <w:p w14:paraId="0020D103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Non-smoker</w:t>
            </w:r>
          </w:p>
          <w:p w14:paraId="05FEFDD7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Unknown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D8D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5EF810C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1,912 (56.4)</w:t>
            </w:r>
          </w:p>
          <w:p w14:paraId="6DA967D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1,408 (41.5)</w:t>
            </w:r>
          </w:p>
          <w:p w14:paraId="1700AF45" w14:textId="77777777" w:rsidR="00AE5A63" w:rsidRPr="002C2FC6" w:rsidRDefault="00AE5A63" w:rsidP="008363D6">
            <w:pPr>
              <w:spacing w:line="276" w:lineRule="auto"/>
              <w:jc w:val="center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>69 (2.0)</w:t>
            </w:r>
          </w:p>
          <w:p w14:paraId="1050A4BD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 (0.1)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A2C2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458C938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846 (55.6)</w:t>
            </w:r>
          </w:p>
          <w:p w14:paraId="3D03FAC8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647 (42.5)</w:t>
            </w:r>
          </w:p>
          <w:p w14:paraId="5CB8A91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25 (1.6)</w:t>
            </w:r>
            <w:r w:rsidRPr="006F226C">
              <w:rPr>
                <w:rFonts w:cs="Arial"/>
                <w:highlight w:val="yellow"/>
              </w:rPr>
              <w:t xml:space="preserve"> </w:t>
            </w:r>
          </w:p>
          <w:p w14:paraId="333AC5EC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 (0.3)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B2E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3827C67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541 (55.1)</w:t>
            </w:r>
          </w:p>
          <w:p w14:paraId="68F504F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413 (42.1)</w:t>
            </w:r>
          </w:p>
          <w:p w14:paraId="1ACC53BF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28 (2.9)</w:t>
            </w:r>
            <w:r w:rsidRPr="006F226C">
              <w:rPr>
                <w:rFonts w:cs="Arial"/>
                <w:highlight w:val="yellow"/>
              </w:rPr>
              <w:t xml:space="preserve"> </w:t>
            </w:r>
          </w:p>
          <w:p w14:paraId="2BB57BF6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0 (0.0)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6155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6EDFF95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299 (56.2)</w:t>
            </w:r>
          </w:p>
          <w:p w14:paraId="216D0AAC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215 (40.4)</w:t>
            </w:r>
          </w:p>
          <w:p w14:paraId="6F3F2566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17 (3.2)</w:t>
            </w:r>
            <w:r w:rsidRPr="006F226C">
              <w:rPr>
                <w:rFonts w:cs="Arial"/>
                <w:highlight w:val="yellow"/>
              </w:rPr>
              <w:t xml:space="preserve"> </w:t>
            </w:r>
          </w:p>
          <w:p w14:paraId="648AADBE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 (0.2)</w:t>
            </w:r>
          </w:p>
        </w:tc>
      </w:tr>
      <w:tr w:rsidR="00AE5A63" w:rsidRPr="007D3BDB" w14:paraId="368AA4A6" w14:textId="77777777" w:rsidTr="008363D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70F5" w14:textId="77777777" w:rsidR="00AE5A63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</w:rPr>
            </w:pPr>
            <w:r w:rsidRPr="00560131">
              <w:rPr>
                <w:rFonts w:cs="Arial"/>
                <w:b/>
                <w:bCs/>
              </w:rPr>
              <w:t>Comorbidities, n (</w:t>
            </w:r>
            <w:proofErr w:type="gramStart"/>
            <w:r w:rsidRPr="00560131">
              <w:rPr>
                <w:rFonts w:cs="Arial"/>
                <w:b/>
                <w:bCs/>
              </w:rPr>
              <w:t>%)</w:t>
            </w:r>
            <w:r>
              <w:rPr>
                <w:rFonts w:cs="Arial"/>
                <w:b/>
                <w:bCs/>
                <w:vertAlign w:val="superscript"/>
              </w:rPr>
              <w:t>g</w:t>
            </w:r>
            <w:proofErr w:type="gramEnd"/>
          </w:p>
          <w:p w14:paraId="24041D07" w14:textId="77777777" w:rsidR="00AE5A63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Rheumatoid/</w:t>
            </w:r>
            <w:r>
              <w:rPr>
                <w:rFonts w:cs="Arial"/>
              </w:rPr>
              <w:t>o</w:t>
            </w:r>
            <w:r w:rsidRPr="007D3BDB">
              <w:rPr>
                <w:rFonts w:cs="Arial"/>
              </w:rPr>
              <w:t>steoarthritis</w:t>
            </w:r>
          </w:p>
          <w:p w14:paraId="4CDA6DF5" w14:textId="77777777" w:rsidR="00AE5A63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Depression</w:t>
            </w:r>
          </w:p>
          <w:p w14:paraId="72B936BA" w14:textId="77777777" w:rsidR="00AE5A63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Diabetes</w:t>
            </w:r>
          </w:p>
          <w:p w14:paraId="46757EE6" w14:textId="77777777" w:rsidR="00AE5A63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Anxiety</w:t>
            </w:r>
          </w:p>
          <w:p w14:paraId="249204D0" w14:textId="77777777" w:rsidR="00AE5A63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Gastroesophageal reflux disease</w:t>
            </w:r>
          </w:p>
          <w:p w14:paraId="10CF6F70" w14:textId="77777777" w:rsidR="00AE5A63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Stroke</w:t>
            </w:r>
          </w:p>
          <w:p w14:paraId="00F2E74B" w14:textId="77777777" w:rsidR="00AE5A63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Acute myocardial infarction</w:t>
            </w:r>
          </w:p>
          <w:p w14:paraId="019FE64A" w14:textId="77777777" w:rsidR="00AE5A63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Congestive heart failure</w:t>
            </w:r>
          </w:p>
          <w:p w14:paraId="6E5267A5" w14:textId="77777777" w:rsidR="00AE5A63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Dementia/cognitive impairment</w:t>
            </w:r>
          </w:p>
          <w:p w14:paraId="6A5F0435" w14:textId="77777777" w:rsidR="00AE5A63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Bronchiectasis</w:t>
            </w:r>
          </w:p>
          <w:p w14:paraId="5A31600F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Lung cancer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147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  <w:p w14:paraId="1601CE9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1,134 (33.4)</w:t>
            </w:r>
          </w:p>
          <w:p w14:paraId="5E601049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1,107 (32.6)</w:t>
            </w:r>
          </w:p>
          <w:p w14:paraId="265DA3A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708 (20.9)</w:t>
            </w:r>
          </w:p>
          <w:p w14:paraId="715BFD0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687 (20.3)</w:t>
            </w:r>
          </w:p>
          <w:p w14:paraId="7107F58C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617 (18.2)</w:t>
            </w:r>
          </w:p>
          <w:p w14:paraId="5963F89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371 (10.9)</w:t>
            </w:r>
          </w:p>
          <w:p w14:paraId="6B458982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345 (10.2)</w:t>
            </w:r>
          </w:p>
          <w:p w14:paraId="65B91E56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298 (8.8)</w:t>
            </w:r>
          </w:p>
          <w:p w14:paraId="09CDA87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232 (6.8)</w:t>
            </w:r>
          </w:p>
          <w:p w14:paraId="31C524F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92 (2.7)</w:t>
            </w:r>
          </w:p>
          <w:p w14:paraId="7328E17D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 (0.8)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619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2030786A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519 (34.1)</w:t>
            </w:r>
          </w:p>
          <w:p w14:paraId="7E882CB5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470 (30.9)</w:t>
            </w:r>
          </w:p>
          <w:p w14:paraId="4928276C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305 (20.0)</w:t>
            </w:r>
          </w:p>
          <w:p w14:paraId="247D23E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298 (19.6)</w:t>
            </w:r>
          </w:p>
          <w:p w14:paraId="6FD6AA82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268 (17.6)</w:t>
            </w:r>
          </w:p>
          <w:p w14:paraId="19581E69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176 (11.6)</w:t>
            </w:r>
          </w:p>
          <w:p w14:paraId="64936C3F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177 (11.6)</w:t>
            </w:r>
          </w:p>
          <w:p w14:paraId="06AC9F62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131 (8.6)</w:t>
            </w:r>
          </w:p>
          <w:p w14:paraId="276B14B2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115 (7.6)</w:t>
            </w:r>
          </w:p>
          <w:p w14:paraId="5205BCF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 (3.0)</w:t>
            </w:r>
          </w:p>
          <w:p w14:paraId="412E3FF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 (0.7)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AF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15DD436C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356 (36.3)</w:t>
            </w:r>
          </w:p>
          <w:p w14:paraId="64704339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309 (31.5)</w:t>
            </w:r>
          </w:p>
          <w:p w14:paraId="41CFDC5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203 (20.7)</w:t>
            </w:r>
          </w:p>
          <w:p w14:paraId="5E45C2E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188 (19.1)</w:t>
            </w:r>
          </w:p>
          <w:p w14:paraId="355255E8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180 (18.3)</w:t>
            </w:r>
          </w:p>
          <w:p w14:paraId="32B67E26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115 (11.7)</w:t>
            </w:r>
          </w:p>
          <w:p w14:paraId="1E123B9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120 (12.2)</w:t>
            </w:r>
          </w:p>
          <w:p w14:paraId="3C85DEA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92 (9.4)</w:t>
            </w:r>
          </w:p>
          <w:p w14:paraId="76BADC9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88 (9.0)</w:t>
            </w:r>
          </w:p>
          <w:p w14:paraId="79ACA035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 (2.7)</w:t>
            </w:r>
          </w:p>
          <w:p w14:paraId="6E8B0311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 (0.7)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01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676717AC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175 (32.9)</w:t>
            </w:r>
          </w:p>
          <w:p w14:paraId="79041DB6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176 (33.1)</w:t>
            </w:r>
          </w:p>
          <w:p w14:paraId="2DF4D57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110 (20.7)</w:t>
            </w:r>
          </w:p>
          <w:p w14:paraId="24AE03EF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96 (18.0)</w:t>
            </w:r>
          </w:p>
          <w:p w14:paraId="42D9A929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95 (17.9)</w:t>
            </w:r>
          </w:p>
          <w:p w14:paraId="333B72B8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53 (10.0)</w:t>
            </w:r>
          </w:p>
          <w:p w14:paraId="0AACDB1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 (10.7)</w:t>
            </w:r>
          </w:p>
          <w:p w14:paraId="245E619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 (7.9)</w:t>
            </w:r>
          </w:p>
          <w:p w14:paraId="53D3B6D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 (7.0)</w:t>
            </w:r>
          </w:p>
          <w:p w14:paraId="7C19A0FA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13 (2.4)</w:t>
            </w:r>
            <w:r w:rsidRPr="006F226C">
              <w:rPr>
                <w:rFonts w:cs="Arial"/>
                <w:highlight w:val="yellow"/>
              </w:rPr>
              <w:t xml:space="preserve"> </w:t>
            </w:r>
          </w:p>
          <w:p w14:paraId="7E419F56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 (0.4)</w:t>
            </w:r>
          </w:p>
        </w:tc>
      </w:tr>
      <w:tr w:rsidR="00AE5A63" w14:paraId="3CE0C8FC" w14:textId="77777777" w:rsidTr="008363D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843" w14:textId="77777777" w:rsidR="00AE5A63" w:rsidRPr="00595E64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</w:rPr>
            </w:pPr>
            <w:r w:rsidRPr="00595E64">
              <w:rPr>
                <w:rFonts w:cs="Arial"/>
                <w:b/>
                <w:bCs/>
              </w:rPr>
              <w:t>Current asthma diagnosis, n (</w:t>
            </w:r>
            <w:proofErr w:type="gramStart"/>
            <w:r w:rsidRPr="00595E64">
              <w:rPr>
                <w:rFonts w:cs="Arial"/>
                <w:b/>
                <w:bCs/>
              </w:rPr>
              <w:t>%)</w:t>
            </w:r>
            <w:r w:rsidRPr="00595E64">
              <w:rPr>
                <w:rFonts w:cs="Arial"/>
                <w:b/>
                <w:bCs/>
                <w:vertAlign w:val="superscript"/>
              </w:rPr>
              <w:t>h</w:t>
            </w:r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58E1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264 (7.9)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7100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128 (8.6)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EEDC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86 (9.0)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9F0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 (9.5)</w:t>
            </w:r>
          </w:p>
        </w:tc>
      </w:tr>
      <w:tr w:rsidR="00AE5A63" w14:paraId="6915CFE5" w14:textId="77777777" w:rsidTr="008363D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B80" w14:textId="77777777" w:rsidR="00AE5A63" w:rsidRPr="00A64B49" w:rsidRDefault="00AE5A63" w:rsidP="008363D6">
            <w:pPr>
              <w:widowControl w:val="0"/>
              <w:spacing w:line="276" w:lineRule="auto"/>
            </w:pPr>
            <w:proofErr w:type="spellStart"/>
            <w:r w:rsidRPr="00364D7E">
              <w:rPr>
                <w:rFonts w:cs="Arial"/>
                <w:b/>
                <w:bCs/>
                <w:lang w:val="es-CL"/>
              </w:rPr>
              <w:t>Histori</w:t>
            </w:r>
            <w:r>
              <w:rPr>
                <w:rFonts w:cs="Arial"/>
                <w:b/>
                <w:bCs/>
                <w:lang w:val="es-CL"/>
              </w:rPr>
              <w:t>c</w:t>
            </w:r>
            <w:r w:rsidRPr="00364D7E">
              <w:rPr>
                <w:rFonts w:cs="Arial"/>
                <w:b/>
                <w:bCs/>
                <w:lang w:val="es-CL"/>
              </w:rPr>
              <w:t>al</w:t>
            </w:r>
            <w:proofErr w:type="spellEnd"/>
            <w:r w:rsidRPr="00A64B49">
              <w:t xml:space="preserve"> </w:t>
            </w:r>
            <w:r w:rsidRPr="00A64B49">
              <w:rPr>
                <w:b/>
              </w:rPr>
              <w:t>asthma diagnosis, n (</w:t>
            </w:r>
            <w:proofErr w:type="gramStart"/>
            <w:r w:rsidRPr="00A64B49">
              <w:rPr>
                <w:b/>
              </w:rPr>
              <w:t>%)</w:t>
            </w:r>
            <w:r>
              <w:rPr>
                <w:rFonts w:cs="Arial"/>
                <w:b/>
                <w:bCs/>
                <w:vertAlign w:val="superscript"/>
                <w:lang w:val="es-CL"/>
              </w:rPr>
              <w:t>i</w:t>
            </w:r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49B4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589 (17.7)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850A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225 (15.2)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93D8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189 (19.7)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9CAF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79 (15.1)</w:t>
            </w:r>
          </w:p>
        </w:tc>
      </w:tr>
      <w:tr w:rsidR="00AE5A63" w14:paraId="4A62DB86" w14:textId="77777777" w:rsidTr="008363D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ABB" w14:textId="77777777" w:rsidR="00AE5A63" w:rsidRPr="007D3BDB" w:rsidRDefault="00AE5A63" w:rsidP="008363D6">
            <w:pPr>
              <w:widowControl w:val="0"/>
              <w:spacing w:line="276" w:lineRule="auto"/>
              <w:rPr>
                <w:rFonts w:cs="Arial"/>
              </w:rPr>
            </w:pPr>
            <w:r w:rsidRPr="00364D7E">
              <w:rPr>
                <w:rFonts w:cs="Arial"/>
                <w:b/>
                <w:bCs/>
              </w:rPr>
              <w:t>Moderate-to-</w:t>
            </w:r>
            <w:r w:rsidRPr="008F04CB">
              <w:rPr>
                <w:rFonts w:cs="Arial"/>
                <w:b/>
                <w:bCs/>
              </w:rPr>
              <w:t xml:space="preserve">severe </w:t>
            </w:r>
            <w:r w:rsidRPr="006F226C">
              <w:rPr>
                <w:b/>
                <w:bCs/>
              </w:rPr>
              <w:t>exacerbations</w:t>
            </w:r>
            <w:r w:rsidRPr="00364D7E">
              <w:rPr>
                <w:rFonts w:cs="Arial"/>
                <w:b/>
                <w:bCs/>
              </w:rPr>
              <w:t>, n (</w:t>
            </w:r>
            <w:proofErr w:type="gramStart"/>
            <w:r w:rsidRPr="00364D7E">
              <w:rPr>
                <w:rFonts w:cs="Arial"/>
                <w:b/>
                <w:bCs/>
              </w:rPr>
              <w:t>%)</w:t>
            </w:r>
            <w:r>
              <w:rPr>
                <w:rFonts w:cs="Arial"/>
                <w:b/>
                <w:bCs/>
                <w:vertAlign w:val="superscript"/>
              </w:rPr>
              <w:t>j</w:t>
            </w:r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190D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1,046 (30.8)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547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456 (30.0)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F6A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308 (31.4)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1A1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157 (29.5)</w:t>
            </w:r>
          </w:p>
        </w:tc>
      </w:tr>
      <w:tr w:rsidR="00AE5A63" w14:paraId="4861EAB1" w14:textId="77777777" w:rsidTr="008363D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BF2" w14:textId="77777777" w:rsidR="00AE5A63" w:rsidRPr="00364D7E" w:rsidRDefault="00AE5A63" w:rsidP="008363D6">
            <w:pPr>
              <w:widowControl w:val="0"/>
              <w:spacing w:line="276" w:lineRule="auto"/>
              <w:rPr>
                <w:rFonts w:cs="Arial"/>
                <w:b/>
                <w:bCs/>
              </w:rPr>
            </w:pPr>
            <w:r w:rsidRPr="00364D7E">
              <w:rPr>
                <w:rFonts w:cs="Arial"/>
                <w:b/>
                <w:bCs/>
              </w:rPr>
              <w:lastRenderedPageBreak/>
              <w:t>Respiratory therapies received, n (%)</w:t>
            </w:r>
          </w:p>
          <w:p w14:paraId="217BCBB5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No use</w:t>
            </w:r>
          </w:p>
          <w:p w14:paraId="25429B99" w14:textId="77777777" w:rsidR="00AE5A63" w:rsidRPr="007D3BDB" w:rsidRDefault="00AE5A63" w:rsidP="008363D6">
            <w:pPr>
              <w:widowControl w:val="0"/>
              <w:spacing w:line="276" w:lineRule="auto"/>
              <w:ind w:left="227"/>
              <w:rPr>
                <w:rFonts w:cs="Arial"/>
              </w:rPr>
            </w:pPr>
            <w:r w:rsidRPr="007D3BDB">
              <w:rPr>
                <w:rFonts w:cs="Arial"/>
              </w:rPr>
              <w:t>Any use</w:t>
            </w:r>
          </w:p>
          <w:p w14:paraId="075802F2" w14:textId="77777777" w:rsidR="00AE5A63" w:rsidRPr="007D3BDB" w:rsidRDefault="00AE5A63" w:rsidP="008363D6">
            <w:pPr>
              <w:widowControl w:val="0"/>
              <w:spacing w:line="276" w:lineRule="auto"/>
              <w:ind w:left="454"/>
              <w:rPr>
                <w:rFonts w:cs="Arial"/>
              </w:rPr>
            </w:pPr>
            <w:proofErr w:type="spellStart"/>
            <w:r w:rsidRPr="007D3BDB">
              <w:rPr>
                <w:rFonts w:cs="Arial"/>
              </w:rPr>
              <w:t>LAMA</w:t>
            </w:r>
            <w:r>
              <w:rPr>
                <w:rFonts w:cs="Arial"/>
                <w:vertAlign w:val="superscript"/>
              </w:rPr>
              <w:t>k</w:t>
            </w:r>
            <w:proofErr w:type="spellEnd"/>
          </w:p>
          <w:p w14:paraId="5675A088" w14:textId="77777777" w:rsidR="00AE5A63" w:rsidRPr="007D3BDB" w:rsidRDefault="00AE5A63" w:rsidP="008363D6">
            <w:pPr>
              <w:widowControl w:val="0"/>
              <w:spacing w:line="276" w:lineRule="auto"/>
              <w:ind w:left="454"/>
              <w:rPr>
                <w:rFonts w:cs="Arial"/>
              </w:rPr>
            </w:pPr>
            <w:r w:rsidRPr="007D3BDB">
              <w:rPr>
                <w:rFonts w:cs="Arial"/>
              </w:rPr>
              <w:t xml:space="preserve">SABA (not overlapping </w:t>
            </w:r>
            <w:proofErr w:type="gramStart"/>
            <w:r w:rsidRPr="007D3BDB">
              <w:rPr>
                <w:rFonts w:cs="Arial"/>
              </w:rPr>
              <w:t>SAMA)</w:t>
            </w:r>
            <w:r>
              <w:rPr>
                <w:rFonts w:cs="Arial"/>
                <w:vertAlign w:val="superscript"/>
              </w:rPr>
              <w:t>k</w:t>
            </w:r>
            <w:proofErr w:type="gramEnd"/>
          </w:p>
          <w:p w14:paraId="799C5818" w14:textId="77777777" w:rsidR="00AE5A63" w:rsidRPr="007D3BDB" w:rsidRDefault="00AE5A63" w:rsidP="008363D6">
            <w:pPr>
              <w:widowControl w:val="0"/>
              <w:spacing w:line="276" w:lineRule="auto"/>
              <w:ind w:left="454"/>
              <w:rPr>
                <w:rFonts w:cs="Arial"/>
              </w:rPr>
            </w:pPr>
            <w:r w:rsidRPr="007D3BDB">
              <w:rPr>
                <w:rFonts w:cs="Arial"/>
              </w:rPr>
              <w:t xml:space="preserve">SAMA (not overlapping </w:t>
            </w:r>
            <w:proofErr w:type="gramStart"/>
            <w:r w:rsidRPr="007D3BDB">
              <w:rPr>
                <w:rFonts w:cs="Arial"/>
              </w:rPr>
              <w:t>SABA)</w:t>
            </w:r>
            <w:r>
              <w:rPr>
                <w:rFonts w:cs="Arial"/>
                <w:vertAlign w:val="superscript"/>
              </w:rPr>
              <w:t>k</w:t>
            </w:r>
            <w:proofErr w:type="gramEnd"/>
          </w:p>
          <w:p w14:paraId="7DEC96FD" w14:textId="77777777" w:rsidR="00AE5A63" w:rsidRPr="007D3BDB" w:rsidRDefault="00AE5A63" w:rsidP="008363D6">
            <w:pPr>
              <w:widowControl w:val="0"/>
              <w:spacing w:line="276" w:lineRule="auto"/>
              <w:ind w:left="454"/>
              <w:rPr>
                <w:rFonts w:cs="Arial"/>
              </w:rPr>
            </w:pPr>
            <w:r w:rsidRPr="007D3BDB">
              <w:rPr>
                <w:rFonts w:cs="Arial"/>
              </w:rPr>
              <w:t xml:space="preserve">SAMA/SABA (FDC and </w:t>
            </w:r>
            <w:proofErr w:type="gramStart"/>
            <w:r w:rsidRPr="007D3BDB">
              <w:rPr>
                <w:rFonts w:cs="Arial"/>
              </w:rPr>
              <w:t>open)</w:t>
            </w:r>
            <w:r>
              <w:rPr>
                <w:rFonts w:cs="Arial"/>
                <w:vertAlign w:val="superscript"/>
              </w:rPr>
              <w:t>k</w:t>
            </w:r>
            <w:proofErr w:type="gramEnd"/>
          </w:p>
          <w:p w14:paraId="786954ED" w14:textId="77777777" w:rsidR="00AE5A63" w:rsidRPr="007D3BDB" w:rsidRDefault="00AE5A63" w:rsidP="008363D6">
            <w:pPr>
              <w:widowControl w:val="0"/>
              <w:spacing w:line="276" w:lineRule="auto"/>
              <w:ind w:left="454"/>
              <w:rPr>
                <w:rFonts w:cs="Arial"/>
              </w:rPr>
            </w:pPr>
            <w:proofErr w:type="spellStart"/>
            <w:r w:rsidRPr="007D3BDB">
              <w:rPr>
                <w:rFonts w:cs="Arial"/>
              </w:rPr>
              <w:t>Xanthine</w:t>
            </w:r>
            <w:r>
              <w:rPr>
                <w:rFonts w:cs="Arial"/>
                <w:vertAlign w:val="superscript"/>
              </w:rPr>
              <w:t>k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136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2AB0B095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418 (12.3)</w:t>
            </w:r>
          </w:p>
          <w:p w14:paraId="57730218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2,973 (87.7)</w:t>
            </w:r>
          </w:p>
          <w:p w14:paraId="722434DF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1,789 (52.8)</w:t>
            </w:r>
          </w:p>
          <w:p w14:paraId="720D4D4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2,624 (77.4)</w:t>
            </w:r>
          </w:p>
          <w:p w14:paraId="035A0618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 (2.0)</w:t>
            </w:r>
          </w:p>
          <w:p w14:paraId="2FA878D9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95 (2.8)</w:t>
            </w:r>
          </w:p>
          <w:p w14:paraId="6D30E429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 (0.2)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F61A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37C70B0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114 (7.5)</w:t>
            </w:r>
          </w:p>
          <w:p w14:paraId="69FDEABF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1,408 (92.5)</w:t>
            </w:r>
          </w:p>
          <w:p w14:paraId="4D2382D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965 (63.4)</w:t>
            </w:r>
          </w:p>
          <w:p w14:paraId="6660648D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1,271 (83.5)</w:t>
            </w:r>
          </w:p>
          <w:p w14:paraId="1AFE5043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 (2.1)</w:t>
            </w:r>
          </w:p>
          <w:p w14:paraId="2959E86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 (2.0)</w:t>
            </w:r>
          </w:p>
          <w:p w14:paraId="79360EAF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 (0.3)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4A29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4FCFC0AA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78 (7.9)</w:t>
            </w:r>
          </w:p>
          <w:p w14:paraId="701F1551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904 (92.1)</w:t>
            </w:r>
          </w:p>
          <w:p w14:paraId="7381C34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558 (56.8)</w:t>
            </w:r>
          </w:p>
          <w:p w14:paraId="542D6890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825 (84.0)</w:t>
            </w:r>
          </w:p>
          <w:p w14:paraId="6D113A32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 (1.4)</w:t>
            </w:r>
          </w:p>
          <w:p w14:paraId="48F280D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 (1.7)</w:t>
            </w:r>
          </w:p>
          <w:p w14:paraId="1A463298" w14:textId="77777777" w:rsidR="00AE5A63" w:rsidRPr="007D3BDB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 (0.3)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AD50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</w:p>
          <w:p w14:paraId="7E78A376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 (3.8)</w:t>
            </w:r>
          </w:p>
          <w:p w14:paraId="7523D80E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512 (96.2)</w:t>
            </w:r>
          </w:p>
          <w:p w14:paraId="7B248A64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341 (64.1)</w:t>
            </w:r>
          </w:p>
          <w:p w14:paraId="43DE218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465 (87.4)</w:t>
            </w:r>
          </w:p>
          <w:p w14:paraId="3BB913FB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 w:rsidRPr="008B033A">
              <w:rPr>
                <w:rFonts w:cs="Arial"/>
              </w:rPr>
              <w:t>11 (2.1)</w:t>
            </w:r>
            <w:r>
              <w:rPr>
                <w:rFonts w:cs="Arial"/>
              </w:rPr>
              <w:t xml:space="preserve"> </w:t>
            </w:r>
          </w:p>
          <w:p w14:paraId="46405927" w14:textId="77777777" w:rsidR="00AE5A63" w:rsidRDefault="00AE5A63" w:rsidP="008363D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 (3.0)</w:t>
            </w:r>
          </w:p>
          <w:p w14:paraId="2DA90642" w14:textId="77777777" w:rsidR="00AE5A63" w:rsidRPr="00E34BDB" w:rsidRDefault="00AE5A63" w:rsidP="008363D6">
            <w:pPr>
              <w:spacing w:line="276" w:lineRule="auto"/>
              <w:jc w:val="center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>0 (0.0)</w:t>
            </w:r>
          </w:p>
        </w:tc>
      </w:tr>
    </w:tbl>
    <w:p w14:paraId="6F756489" w14:textId="77777777" w:rsidR="00AE5A63" w:rsidRPr="006D2216" w:rsidRDefault="00AE5A63" w:rsidP="00AE5A63">
      <w:pPr>
        <w:widowControl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Note: Only patients with a minimum of 12 months were included in the calculations for a</w:t>
      </w:r>
      <w:r w:rsidRPr="006D2216">
        <w:rPr>
          <w:rFonts w:cs="Arial"/>
          <w:bCs/>
          <w:szCs w:val="20"/>
        </w:rPr>
        <w:t xml:space="preserve">dherence </w:t>
      </w:r>
      <w:r>
        <w:rPr>
          <w:rFonts w:cs="Arial"/>
          <w:bCs/>
          <w:szCs w:val="20"/>
        </w:rPr>
        <w:t xml:space="preserve">at </w:t>
      </w:r>
      <w:r w:rsidRPr="006D2216">
        <w:rPr>
          <w:rFonts w:cs="Arial"/>
          <w:bCs/>
          <w:szCs w:val="20"/>
        </w:rPr>
        <w:t>each time point</w:t>
      </w:r>
      <w:r>
        <w:rPr>
          <w:rFonts w:cs="Arial"/>
          <w:bCs/>
          <w:szCs w:val="20"/>
        </w:rPr>
        <w:t>.</w:t>
      </w:r>
    </w:p>
    <w:p w14:paraId="059ECC9E" w14:textId="77777777" w:rsidR="00AE5A63" w:rsidRPr="00173BFD" w:rsidRDefault="00AE5A63" w:rsidP="00AE5A63">
      <w:pPr>
        <w:widowControl w:val="0"/>
        <w:rPr>
          <w:rFonts w:cs="Arial"/>
          <w:bCs/>
          <w:szCs w:val="20"/>
        </w:rPr>
      </w:pPr>
      <w:proofErr w:type="spellStart"/>
      <w:r w:rsidRPr="00173BFD">
        <w:rPr>
          <w:rFonts w:cs="Arial"/>
          <w:bCs/>
          <w:szCs w:val="20"/>
          <w:vertAlign w:val="superscript"/>
        </w:rPr>
        <w:t>a</w:t>
      </w:r>
      <w:r w:rsidRPr="00173BFD">
        <w:rPr>
          <w:rFonts w:cs="Arial"/>
          <w:bCs/>
          <w:szCs w:val="20"/>
        </w:rPr>
        <w:t>At</w:t>
      </w:r>
      <w:proofErr w:type="spellEnd"/>
      <w:r w:rsidRPr="00173BFD">
        <w:rPr>
          <w:rFonts w:cs="Arial"/>
          <w:bCs/>
          <w:szCs w:val="20"/>
        </w:rPr>
        <w:t xml:space="preserve"> index;</w:t>
      </w:r>
      <w:r>
        <w:rPr>
          <w:rFonts w:cs="Arial"/>
          <w:bCs/>
          <w:szCs w:val="20"/>
        </w:rPr>
        <w:t xml:space="preserve"> </w:t>
      </w:r>
      <w:proofErr w:type="spellStart"/>
      <w:r w:rsidRPr="00C510F0">
        <w:rPr>
          <w:rFonts w:cs="Arial"/>
          <w:bCs/>
          <w:szCs w:val="20"/>
          <w:vertAlign w:val="superscript"/>
        </w:rPr>
        <w:t>b</w:t>
      </w:r>
      <w:r w:rsidRPr="00C510F0">
        <w:rPr>
          <w:rFonts w:cs="Arial"/>
          <w:bCs/>
          <w:szCs w:val="20"/>
        </w:rPr>
        <w:t>UMEC</w:t>
      </w:r>
      <w:proofErr w:type="spellEnd"/>
      <w:r w:rsidRPr="00C510F0">
        <w:rPr>
          <w:rFonts w:cs="Arial"/>
          <w:bCs/>
          <w:szCs w:val="20"/>
        </w:rPr>
        <w:t xml:space="preserve">/VI: n=6,438; TIO/OLO: n=2,036; </w:t>
      </w:r>
      <w:proofErr w:type="spellStart"/>
      <w:r w:rsidRPr="00C510F0">
        <w:rPr>
          <w:rFonts w:cs="Arial"/>
          <w:bCs/>
          <w:szCs w:val="20"/>
          <w:vertAlign w:val="superscript"/>
        </w:rPr>
        <w:t>c</w:t>
      </w:r>
      <w:r w:rsidRPr="00C510F0">
        <w:t>UMEC</w:t>
      </w:r>
      <w:proofErr w:type="spellEnd"/>
      <w:r w:rsidRPr="00C510F0">
        <w:t>/VI: n=5,077; TIO/OLO: n=1,651</w:t>
      </w:r>
      <w:r w:rsidRPr="00173BFD">
        <w:t xml:space="preserve">; </w:t>
      </w:r>
      <w:proofErr w:type="spellStart"/>
      <w:r w:rsidRPr="002B1645">
        <w:rPr>
          <w:vertAlign w:val="superscript"/>
        </w:rPr>
        <w:t>d</w:t>
      </w:r>
      <w:r w:rsidRPr="00DA06E9">
        <w:t>A</w:t>
      </w:r>
      <w:proofErr w:type="spellEnd"/>
      <w:r w:rsidRPr="00DA06E9">
        <w:t xml:space="preserve"> composite measure of COPD severity using AECOPD events in the prior 12 months and MRC grade</w:t>
      </w:r>
      <w:r>
        <w:t xml:space="preserve"> in the prior 24 months; </w:t>
      </w:r>
      <w:proofErr w:type="spellStart"/>
      <w:r>
        <w:rPr>
          <w:vertAlign w:val="superscript"/>
        </w:rPr>
        <w:t>e</w:t>
      </w:r>
      <w:r w:rsidRPr="00173BFD">
        <w:t>Most</w:t>
      </w:r>
      <w:proofErr w:type="spellEnd"/>
      <w:r w:rsidRPr="00173BFD">
        <w:t xml:space="preserve"> recent score in the 24 months prior to index; </w:t>
      </w:r>
      <w:r>
        <w:rPr>
          <w:vertAlign w:val="superscript"/>
        </w:rPr>
        <w:t>f1</w:t>
      </w:r>
      <w:r w:rsidRPr="00173BFD">
        <w:t xml:space="preserve">Not troubled by breathlessness except on strenuous exercise; </w:t>
      </w:r>
      <w:r>
        <w:rPr>
          <w:vertAlign w:val="superscript"/>
        </w:rPr>
        <w:t>f5</w:t>
      </w:r>
      <w:r w:rsidRPr="00173BFD">
        <w:t xml:space="preserve">Too breathless to leave the house; </w:t>
      </w:r>
      <w:proofErr w:type="spellStart"/>
      <w:r w:rsidRPr="006F226C">
        <w:rPr>
          <w:vertAlign w:val="superscript"/>
        </w:rPr>
        <w:t>g</w:t>
      </w:r>
      <w:r>
        <w:t>At</w:t>
      </w:r>
      <w:proofErr w:type="spellEnd"/>
      <w:r>
        <w:t xml:space="preserve"> any time in the patients history; </w:t>
      </w:r>
      <w:proofErr w:type="spellStart"/>
      <w:r>
        <w:rPr>
          <w:vertAlign w:val="superscript"/>
        </w:rPr>
        <w:t>h</w:t>
      </w:r>
      <w:r>
        <w:t>At</w:t>
      </w:r>
      <w:proofErr w:type="spellEnd"/>
      <w:r>
        <w:t xml:space="preserve"> any time in the 24 months pre-index (inclusive); </w:t>
      </w:r>
      <w:r>
        <w:rPr>
          <w:vertAlign w:val="superscript"/>
        </w:rPr>
        <w:t>i</w:t>
      </w:r>
      <w:r>
        <w:rPr>
          <w:rFonts w:cs="Arial"/>
        </w:rPr>
        <w:t>≥</w:t>
      </w:r>
      <w:r>
        <w:t xml:space="preserve">24 months pre-index; </w:t>
      </w:r>
      <w:proofErr w:type="spellStart"/>
      <w:r>
        <w:rPr>
          <w:vertAlign w:val="superscript"/>
        </w:rPr>
        <w:t>j</w:t>
      </w:r>
      <w:r>
        <w:t>Based</w:t>
      </w:r>
      <w:proofErr w:type="spellEnd"/>
      <w:r>
        <w:t xml:space="preserve"> on a validated algorithm, defined as the presence of one of the following events: </w:t>
      </w:r>
      <w:r>
        <w:br/>
      </w:r>
      <w:proofErr w:type="spellStart"/>
      <w:r>
        <w:t>i</w:t>
      </w:r>
      <w:proofErr w:type="spellEnd"/>
      <w:r>
        <w:t xml:space="preserve">. Antibiotic and OCS prescriptions for 5–14 days with the same start date; ii. </w:t>
      </w:r>
      <w:r>
        <w:rPr>
          <w:rFonts w:cs="Arial"/>
        </w:rPr>
        <w:t>≥</w:t>
      </w:r>
      <w:r>
        <w:t xml:space="preserve">2 symptoms of breathlessness, cough, sputum volume or purulence and an antibiotic or OCS prescription on the same day; iii. Lower respiratory tract infection code; iv. Exacerbation specific medical code; </w:t>
      </w:r>
      <w:proofErr w:type="spellStart"/>
      <w:r>
        <w:rPr>
          <w:vertAlign w:val="superscript"/>
        </w:rPr>
        <w:t>k</w:t>
      </w:r>
      <w:r w:rsidRPr="00173BFD">
        <w:t>Percentages</w:t>
      </w:r>
      <w:proofErr w:type="spellEnd"/>
      <w:r w:rsidRPr="00173BFD">
        <w:t xml:space="preserve"> calculated for the full cohort.</w:t>
      </w:r>
    </w:p>
    <w:p w14:paraId="381C6BCB" w14:textId="77777777" w:rsidR="00AE5A63" w:rsidRDefault="00AE5A63" w:rsidP="00AE5A63">
      <w:pPr>
        <w:widowControl w:val="0"/>
        <w:rPr>
          <w:rFonts w:cs="Arial"/>
          <w:szCs w:val="20"/>
        </w:rPr>
        <w:sectPr w:rsidR="00AE5A63" w:rsidSect="008B033A">
          <w:pgSz w:w="15840" w:h="12240" w:orient="landscape"/>
          <w:pgMar w:top="1800" w:right="1440" w:bottom="180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173BFD">
        <w:rPr>
          <w:rFonts w:cs="Arial"/>
          <w:b/>
          <w:szCs w:val="20"/>
        </w:rPr>
        <w:t>Abbreviations:</w:t>
      </w:r>
      <w:r w:rsidRPr="00173BF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AECOPD, acute exacerbation of COPD; </w:t>
      </w:r>
      <w:r w:rsidRPr="00173BFD">
        <w:rPr>
          <w:rFonts w:cs="Arial"/>
          <w:szCs w:val="20"/>
        </w:rPr>
        <w:t>BMI, body mass index; COPD, chronic obstructive pulmonary disease; FDC, fixed-dose combination; FEV</w:t>
      </w:r>
      <w:r w:rsidRPr="00173BFD">
        <w:rPr>
          <w:rFonts w:cs="Arial"/>
          <w:szCs w:val="20"/>
          <w:vertAlign w:val="subscript"/>
        </w:rPr>
        <w:t>1</w:t>
      </w:r>
      <w:r w:rsidRPr="00173BFD">
        <w:rPr>
          <w:rFonts w:cs="Arial"/>
          <w:szCs w:val="20"/>
        </w:rPr>
        <w:t xml:space="preserve">, forced expiratory volume in 1 second; GOLD, </w:t>
      </w:r>
      <w:r w:rsidRPr="00173BFD">
        <w:t xml:space="preserve">Global Initiative for Chronic Obstructive Lung Disease; LAMA, long-acting muscarinic antagonist; </w:t>
      </w:r>
      <w:r w:rsidRPr="00173BFD">
        <w:rPr>
          <w:rFonts w:cs="Arial"/>
          <w:szCs w:val="20"/>
        </w:rPr>
        <w:t>MRC, Medical Research Council;</w:t>
      </w:r>
      <w:r>
        <w:rPr>
          <w:rFonts w:cs="Arial"/>
          <w:szCs w:val="20"/>
        </w:rPr>
        <w:t xml:space="preserve"> </w:t>
      </w:r>
      <w:r w:rsidRPr="00076163">
        <w:rPr>
          <w:rFonts w:cs="Arial"/>
          <w:szCs w:val="20"/>
        </w:rPr>
        <w:t>NR, not reported;</w:t>
      </w:r>
      <w:r w:rsidRPr="00173BF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OCS, oral corticosteroid; </w:t>
      </w:r>
      <w:r w:rsidRPr="00173BFD">
        <w:rPr>
          <w:rFonts w:cs="Arial"/>
          <w:szCs w:val="20"/>
        </w:rPr>
        <w:t xml:space="preserve">OLO, </w:t>
      </w:r>
      <w:proofErr w:type="spellStart"/>
      <w:r w:rsidRPr="00173BFD">
        <w:rPr>
          <w:rFonts w:cs="Arial"/>
          <w:szCs w:val="20"/>
        </w:rPr>
        <w:t>olodaterol</w:t>
      </w:r>
      <w:proofErr w:type="spellEnd"/>
      <w:r w:rsidRPr="00173BFD">
        <w:rPr>
          <w:rFonts w:cs="Arial"/>
          <w:szCs w:val="20"/>
        </w:rPr>
        <w:t>; SABA, short-acting β</w:t>
      </w:r>
      <w:r w:rsidRPr="00173BFD">
        <w:rPr>
          <w:rFonts w:cs="Arial"/>
          <w:szCs w:val="20"/>
          <w:vertAlign w:val="subscript"/>
        </w:rPr>
        <w:t>2</w:t>
      </w:r>
      <w:r w:rsidRPr="00173BFD">
        <w:rPr>
          <w:rFonts w:cs="Arial"/>
          <w:szCs w:val="20"/>
        </w:rPr>
        <w:t>-agonist; SD, standard deviation; SAMA, short</w:t>
      </w:r>
      <w:r w:rsidRPr="00173BFD">
        <w:t>-acting muscarinic antagonist; TIO, tiotropium bromide; UMEC; umeclidinium; VI, vilanterol.</w:t>
      </w:r>
    </w:p>
    <w:p w14:paraId="35600C89" w14:textId="77777777" w:rsidR="00AE5A63" w:rsidRPr="00173BFD" w:rsidRDefault="00AE5A63" w:rsidP="00AE5A63">
      <w:pPr>
        <w:rPr>
          <w:rFonts w:cs="Arial"/>
          <w:szCs w:val="20"/>
        </w:rPr>
      </w:pPr>
      <w:r>
        <w:rPr>
          <w:rFonts w:cs="Arial"/>
          <w:b/>
          <w:bCs/>
        </w:rPr>
        <w:lastRenderedPageBreak/>
        <w:t xml:space="preserve">Supplementary Table 4. </w:t>
      </w:r>
      <w:r>
        <w:rPr>
          <w:rFonts w:cs="Arial"/>
          <w:szCs w:val="20"/>
        </w:rPr>
        <w:t>A</w:t>
      </w:r>
      <w:r w:rsidRPr="005B321B">
        <w:rPr>
          <w:szCs w:val="20"/>
        </w:rPr>
        <w:t>dherent</w:t>
      </w:r>
      <w:r>
        <w:rPr>
          <w:szCs w:val="20"/>
        </w:rPr>
        <w:t xml:space="preserve"> patients</w:t>
      </w:r>
      <w:r w:rsidRPr="005B321B">
        <w:rPr>
          <w:szCs w:val="20"/>
        </w:rPr>
        <w:t xml:space="preserve"> (PDC ≥80%) at 6-,</w:t>
      </w:r>
      <w:r>
        <w:rPr>
          <w:szCs w:val="20"/>
        </w:rPr>
        <w:t xml:space="preserve"> 12-,</w:t>
      </w:r>
      <w:r w:rsidRPr="005B321B">
        <w:rPr>
          <w:szCs w:val="20"/>
        </w:rPr>
        <w:t xml:space="preserve"> 18- and 24-months post-index</w:t>
      </w:r>
      <w:r>
        <w:rPr>
          <w:szCs w:val="20"/>
        </w:rPr>
        <w:t xml:space="preserve"> with stockpiling</w:t>
      </w:r>
    </w:p>
    <w:tbl>
      <w:tblPr>
        <w:tblStyle w:val="TableGrid"/>
        <w:tblW w:w="5090" w:type="pct"/>
        <w:tblLook w:val="04A0" w:firstRow="1" w:lastRow="0" w:firstColumn="1" w:lastColumn="0" w:noHBand="0" w:noVBand="1"/>
      </w:tblPr>
      <w:tblGrid>
        <w:gridCol w:w="2432"/>
        <w:gridCol w:w="1646"/>
        <w:gridCol w:w="1652"/>
        <w:gridCol w:w="1641"/>
        <w:gridCol w:w="1644"/>
      </w:tblGrid>
      <w:tr w:rsidR="00AE5A63" w:rsidRPr="000119CB" w14:paraId="009C79B7" w14:textId="77777777" w:rsidTr="008363D6">
        <w:trPr>
          <w:trHeight w:val="149"/>
        </w:trPr>
        <w:tc>
          <w:tcPr>
            <w:tcW w:w="1349" w:type="pct"/>
            <w:vMerge w:val="restart"/>
            <w:shd w:val="clear" w:color="auto" w:fill="auto"/>
            <w:vAlign w:val="center"/>
          </w:tcPr>
          <w:p w14:paraId="40CDA9AE" w14:textId="77777777" w:rsidR="00AE5A63" w:rsidRPr="000119CB" w:rsidRDefault="00AE5A63" w:rsidP="008363D6">
            <w:pPr>
              <w:pStyle w:val="NoSpacing"/>
              <w:rPr>
                <w:rFonts w:ascii="Arial" w:hAnsi="Arial" w:cs="Arial"/>
                <w:b/>
                <w:bCs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Cs w:val="20"/>
              </w:rPr>
              <w:t>Patients with PDC ≥80% (%)</w:t>
            </w: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2CF33DBF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Cs w:val="20"/>
              </w:rPr>
              <w:t>Unweighted</w:t>
            </w:r>
          </w:p>
        </w:tc>
        <w:tc>
          <w:tcPr>
            <w:tcW w:w="1822" w:type="pct"/>
            <w:gridSpan w:val="2"/>
            <w:shd w:val="clear" w:color="auto" w:fill="auto"/>
            <w:vAlign w:val="center"/>
          </w:tcPr>
          <w:p w14:paraId="0A949172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Cs w:val="20"/>
              </w:rPr>
              <w:t>Weighted</w:t>
            </w:r>
          </w:p>
        </w:tc>
      </w:tr>
      <w:tr w:rsidR="00AE5A63" w:rsidRPr="000119CB" w14:paraId="09BC2AA1" w14:textId="77777777" w:rsidTr="008363D6">
        <w:trPr>
          <w:trHeight w:val="158"/>
        </w:trPr>
        <w:tc>
          <w:tcPr>
            <w:tcW w:w="1349" w:type="pct"/>
            <w:vMerge/>
            <w:shd w:val="clear" w:color="auto" w:fill="auto"/>
            <w:vAlign w:val="center"/>
          </w:tcPr>
          <w:p w14:paraId="0DF616E8" w14:textId="77777777" w:rsidR="00AE5A63" w:rsidRPr="000119CB" w:rsidRDefault="00AE5A63" w:rsidP="008363D6">
            <w:pPr>
              <w:pStyle w:val="NoSpacing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34D98951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Cs w:val="20"/>
              </w:rPr>
              <w:t>UMEC/VI</w:t>
            </w:r>
          </w:p>
        </w:tc>
        <w:tc>
          <w:tcPr>
            <w:tcW w:w="916" w:type="pct"/>
          </w:tcPr>
          <w:p w14:paraId="1875AEE6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Cs w:val="20"/>
              </w:rPr>
              <w:t>TIO/OLO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5C36DCE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Cs w:val="20"/>
              </w:rPr>
              <w:t>UMEC/VI</w:t>
            </w:r>
          </w:p>
        </w:tc>
        <w:tc>
          <w:tcPr>
            <w:tcW w:w="912" w:type="pct"/>
          </w:tcPr>
          <w:p w14:paraId="65585B87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Cs w:val="20"/>
              </w:rPr>
              <w:t>TIO/OLO</w:t>
            </w:r>
          </w:p>
        </w:tc>
      </w:tr>
      <w:tr w:rsidR="00AE5A63" w:rsidRPr="000119CB" w14:paraId="7E0FB737" w14:textId="77777777" w:rsidTr="008363D6">
        <w:trPr>
          <w:trHeight w:val="292"/>
        </w:trPr>
        <w:tc>
          <w:tcPr>
            <w:tcW w:w="1349" w:type="pct"/>
            <w:shd w:val="clear" w:color="auto" w:fill="auto"/>
          </w:tcPr>
          <w:p w14:paraId="12BC1B23" w14:textId="77777777" w:rsidR="00AE5A63" w:rsidRPr="000119CB" w:rsidRDefault="00AE5A63" w:rsidP="008363D6">
            <w:pPr>
              <w:pStyle w:val="NoSpacing"/>
              <w:ind w:left="164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6 months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569CD7A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44.3</w:t>
            </w:r>
          </w:p>
        </w:tc>
        <w:tc>
          <w:tcPr>
            <w:tcW w:w="916" w:type="pct"/>
            <w:shd w:val="clear" w:color="auto" w:fill="auto"/>
          </w:tcPr>
          <w:p w14:paraId="56FCB143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49.5</w:t>
            </w:r>
          </w:p>
        </w:tc>
        <w:tc>
          <w:tcPr>
            <w:tcW w:w="910" w:type="pct"/>
            <w:shd w:val="clear" w:color="auto" w:fill="auto"/>
          </w:tcPr>
          <w:p w14:paraId="37293F6B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44.5</w:t>
            </w:r>
          </w:p>
        </w:tc>
        <w:tc>
          <w:tcPr>
            <w:tcW w:w="912" w:type="pct"/>
            <w:shd w:val="clear" w:color="auto" w:fill="auto"/>
          </w:tcPr>
          <w:p w14:paraId="4472AAD0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50.1</w:t>
            </w:r>
          </w:p>
        </w:tc>
      </w:tr>
      <w:tr w:rsidR="00AE5A63" w:rsidRPr="000119CB" w14:paraId="2DA3BEAE" w14:textId="77777777" w:rsidTr="008363D6">
        <w:trPr>
          <w:trHeight w:val="292"/>
        </w:trPr>
        <w:tc>
          <w:tcPr>
            <w:tcW w:w="1349" w:type="pct"/>
            <w:shd w:val="clear" w:color="auto" w:fill="auto"/>
          </w:tcPr>
          <w:p w14:paraId="3BF4A806" w14:textId="77777777" w:rsidR="00AE5A63" w:rsidRPr="000119CB" w:rsidRDefault="00AE5A63" w:rsidP="008363D6">
            <w:pPr>
              <w:pStyle w:val="NoSpacing"/>
              <w:ind w:left="164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12 months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3DECF83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35.8</w:t>
            </w:r>
          </w:p>
        </w:tc>
        <w:tc>
          <w:tcPr>
            <w:tcW w:w="916" w:type="pct"/>
            <w:shd w:val="clear" w:color="auto" w:fill="auto"/>
          </w:tcPr>
          <w:p w14:paraId="05CBAC8F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40.5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1A7A6DD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36.0</w:t>
            </w:r>
          </w:p>
        </w:tc>
        <w:tc>
          <w:tcPr>
            <w:tcW w:w="912" w:type="pct"/>
            <w:shd w:val="clear" w:color="auto" w:fill="auto"/>
          </w:tcPr>
          <w:p w14:paraId="47B95FF9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40.9</w:t>
            </w:r>
          </w:p>
        </w:tc>
      </w:tr>
      <w:tr w:rsidR="00AE5A63" w:rsidRPr="000119CB" w14:paraId="443328B4" w14:textId="77777777" w:rsidTr="008363D6">
        <w:trPr>
          <w:trHeight w:val="292"/>
        </w:trPr>
        <w:tc>
          <w:tcPr>
            <w:tcW w:w="1349" w:type="pct"/>
            <w:shd w:val="clear" w:color="auto" w:fill="auto"/>
          </w:tcPr>
          <w:p w14:paraId="7DD6F046" w14:textId="77777777" w:rsidR="00AE5A63" w:rsidRPr="000119CB" w:rsidRDefault="00AE5A63" w:rsidP="008363D6">
            <w:pPr>
              <w:pStyle w:val="NoSpacing"/>
              <w:ind w:left="164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18 months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9CCB02E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30.6</w:t>
            </w:r>
          </w:p>
        </w:tc>
        <w:tc>
          <w:tcPr>
            <w:tcW w:w="916" w:type="pct"/>
            <w:shd w:val="clear" w:color="auto" w:fill="auto"/>
          </w:tcPr>
          <w:p w14:paraId="7C8FAD33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36.4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EF46B39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31.0</w:t>
            </w:r>
          </w:p>
        </w:tc>
        <w:tc>
          <w:tcPr>
            <w:tcW w:w="912" w:type="pct"/>
            <w:shd w:val="clear" w:color="auto" w:fill="auto"/>
          </w:tcPr>
          <w:p w14:paraId="71C2408C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36.2</w:t>
            </w:r>
          </w:p>
        </w:tc>
      </w:tr>
      <w:tr w:rsidR="00AE5A63" w:rsidRPr="000119CB" w14:paraId="30AA0D30" w14:textId="77777777" w:rsidTr="008363D6">
        <w:trPr>
          <w:trHeight w:val="292"/>
        </w:trPr>
        <w:tc>
          <w:tcPr>
            <w:tcW w:w="1349" w:type="pct"/>
            <w:shd w:val="clear" w:color="auto" w:fill="auto"/>
          </w:tcPr>
          <w:p w14:paraId="79AD6651" w14:textId="77777777" w:rsidR="00AE5A63" w:rsidRPr="000119CB" w:rsidRDefault="00AE5A63" w:rsidP="008363D6">
            <w:pPr>
              <w:pStyle w:val="NoSpacing"/>
              <w:ind w:left="164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24 months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C3B24F8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28.3</w:t>
            </w:r>
          </w:p>
        </w:tc>
        <w:tc>
          <w:tcPr>
            <w:tcW w:w="916" w:type="pct"/>
            <w:shd w:val="clear" w:color="auto" w:fill="auto"/>
          </w:tcPr>
          <w:p w14:paraId="5405F52A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35.9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39B3982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28.8</w:t>
            </w:r>
          </w:p>
        </w:tc>
        <w:tc>
          <w:tcPr>
            <w:tcW w:w="912" w:type="pct"/>
            <w:shd w:val="clear" w:color="auto" w:fill="auto"/>
          </w:tcPr>
          <w:p w14:paraId="74F9DD41" w14:textId="77777777" w:rsidR="00AE5A63" w:rsidRPr="000119CB" w:rsidRDefault="00AE5A63" w:rsidP="008363D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0119CB">
              <w:rPr>
                <w:rFonts w:ascii="Arial" w:hAnsi="Arial" w:cs="Arial"/>
                <w:szCs w:val="20"/>
              </w:rPr>
              <w:t>36.1</w:t>
            </w:r>
          </w:p>
        </w:tc>
      </w:tr>
    </w:tbl>
    <w:p w14:paraId="15C90C53" w14:textId="4054E585" w:rsidR="009B1A25" w:rsidRPr="00AE5A63" w:rsidRDefault="00AE5A63">
      <w:pPr>
        <w:rPr>
          <w:rFonts w:cs="Arial"/>
          <w:szCs w:val="20"/>
        </w:rPr>
      </w:pPr>
      <w:r w:rsidRPr="00977246">
        <w:rPr>
          <w:rFonts w:cs="Arial"/>
          <w:b/>
          <w:bCs/>
          <w:szCs w:val="20"/>
        </w:rPr>
        <w:t>Abbreviations:</w:t>
      </w:r>
      <w:r>
        <w:rPr>
          <w:rFonts w:cs="Arial"/>
          <w:szCs w:val="20"/>
        </w:rPr>
        <w:t xml:space="preserve"> </w:t>
      </w:r>
      <w:r w:rsidRPr="00173BFD">
        <w:rPr>
          <w:rFonts w:cs="Arial"/>
          <w:szCs w:val="20"/>
        </w:rPr>
        <w:t xml:space="preserve">OLO, </w:t>
      </w:r>
      <w:proofErr w:type="spellStart"/>
      <w:r w:rsidRPr="00173BFD">
        <w:rPr>
          <w:rFonts w:cs="Arial"/>
          <w:szCs w:val="20"/>
        </w:rPr>
        <w:t>olodaterol</w:t>
      </w:r>
      <w:proofErr w:type="spellEnd"/>
      <w:r w:rsidRPr="00173BFD">
        <w:rPr>
          <w:rFonts w:cs="Arial"/>
          <w:szCs w:val="20"/>
        </w:rPr>
        <w:t>;</w:t>
      </w:r>
      <w:r>
        <w:rPr>
          <w:rFonts w:cs="Arial"/>
          <w:szCs w:val="20"/>
        </w:rPr>
        <w:t xml:space="preserve"> </w:t>
      </w:r>
      <w:r w:rsidRPr="000119CB">
        <w:rPr>
          <w:rFonts w:cs="Arial"/>
          <w:szCs w:val="20"/>
        </w:rPr>
        <w:t xml:space="preserve">PDC, proportion of days covered; </w:t>
      </w:r>
      <w:r>
        <w:rPr>
          <w:rFonts w:cs="Arial"/>
          <w:szCs w:val="20"/>
        </w:rPr>
        <w:t>T</w:t>
      </w:r>
      <w:r w:rsidRPr="00173BFD">
        <w:t>IO, tiotropium bromide;</w:t>
      </w:r>
      <w:r>
        <w:t xml:space="preserve"> </w:t>
      </w:r>
      <w:r w:rsidRPr="000119CB">
        <w:rPr>
          <w:rFonts w:cs="Arial"/>
          <w:szCs w:val="20"/>
        </w:rPr>
        <w:t>UMEC, umeclidinium; VI, vilanterol.</w:t>
      </w:r>
    </w:p>
    <w:sectPr w:rsidR="009B1A25" w:rsidRPr="00AE5A63" w:rsidSect="00A1271D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A63"/>
    <w:rsid w:val="0001062C"/>
    <w:rsid w:val="0001363D"/>
    <w:rsid w:val="0002482E"/>
    <w:rsid w:val="00057B72"/>
    <w:rsid w:val="0006121F"/>
    <w:rsid w:val="000633BC"/>
    <w:rsid w:val="00063513"/>
    <w:rsid w:val="00081A83"/>
    <w:rsid w:val="00083AAF"/>
    <w:rsid w:val="000A2167"/>
    <w:rsid w:val="000A7D67"/>
    <w:rsid w:val="000C277B"/>
    <w:rsid w:val="000C29CB"/>
    <w:rsid w:val="000D24E9"/>
    <w:rsid w:val="000D57A3"/>
    <w:rsid w:val="000E669A"/>
    <w:rsid w:val="000F3D57"/>
    <w:rsid w:val="000F7E59"/>
    <w:rsid w:val="00111C73"/>
    <w:rsid w:val="00112F07"/>
    <w:rsid w:val="00115388"/>
    <w:rsid w:val="00176EE9"/>
    <w:rsid w:val="00180393"/>
    <w:rsid w:val="00187E2E"/>
    <w:rsid w:val="0019304C"/>
    <w:rsid w:val="00197517"/>
    <w:rsid w:val="001B0A4B"/>
    <w:rsid w:val="001C2612"/>
    <w:rsid w:val="001D22AA"/>
    <w:rsid w:val="001E3D4C"/>
    <w:rsid w:val="001E4BF1"/>
    <w:rsid w:val="001F35F2"/>
    <w:rsid w:val="00205F94"/>
    <w:rsid w:val="00213054"/>
    <w:rsid w:val="00215153"/>
    <w:rsid w:val="00252A8B"/>
    <w:rsid w:val="0025403E"/>
    <w:rsid w:val="00263827"/>
    <w:rsid w:val="00267805"/>
    <w:rsid w:val="00267CA0"/>
    <w:rsid w:val="00272359"/>
    <w:rsid w:val="00274BD1"/>
    <w:rsid w:val="00281154"/>
    <w:rsid w:val="002827E7"/>
    <w:rsid w:val="0028494F"/>
    <w:rsid w:val="002879C7"/>
    <w:rsid w:val="00293E80"/>
    <w:rsid w:val="002B115B"/>
    <w:rsid w:val="002C167A"/>
    <w:rsid w:val="002C26A8"/>
    <w:rsid w:val="002C4705"/>
    <w:rsid w:val="002D1D16"/>
    <w:rsid w:val="002E0A93"/>
    <w:rsid w:val="002E4D22"/>
    <w:rsid w:val="002E6AD8"/>
    <w:rsid w:val="002F1194"/>
    <w:rsid w:val="002F6DA0"/>
    <w:rsid w:val="003000A9"/>
    <w:rsid w:val="00300987"/>
    <w:rsid w:val="00320A0B"/>
    <w:rsid w:val="00320FE7"/>
    <w:rsid w:val="00323870"/>
    <w:rsid w:val="003242AF"/>
    <w:rsid w:val="0033550F"/>
    <w:rsid w:val="00335C9D"/>
    <w:rsid w:val="00354E39"/>
    <w:rsid w:val="0035581B"/>
    <w:rsid w:val="00357913"/>
    <w:rsid w:val="003654AE"/>
    <w:rsid w:val="00373AC6"/>
    <w:rsid w:val="00375665"/>
    <w:rsid w:val="003923EE"/>
    <w:rsid w:val="003925D1"/>
    <w:rsid w:val="00397A7A"/>
    <w:rsid w:val="003A0A5C"/>
    <w:rsid w:val="003B2E68"/>
    <w:rsid w:val="003E3985"/>
    <w:rsid w:val="003E4032"/>
    <w:rsid w:val="003F3300"/>
    <w:rsid w:val="003F3E23"/>
    <w:rsid w:val="003F4E40"/>
    <w:rsid w:val="0040102E"/>
    <w:rsid w:val="0040114B"/>
    <w:rsid w:val="00407BFC"/>
    <w:rsid w:val="00412294"/>
    <w:rsid w:val="0041557D"/>
    <w:rsid w:val="0041683A"/>
    <w:rsid w:val="0041776F"/>
    <w:rsid w:val="00425594"/>
    <w:rsid w:val="0043503A"/>
    <w:rsid w:val="00440B5B"/>
    <w:rsid w:val="00440BFA"/>
    <w:rsid w:val="00450C60"/>
    <w:rsid w:val="00450F7E"/>
    <w:rsid w:val="00451664"/>
    <w:rsid w:val="0046699F"/>
    <w:rsid w:val="004669DD"/>
    <w:rsid w:val="004724AB"/>
    <w:rsid w:val="00476040"/>
    <w:rsid w:val="004778A5"/>
    <w:rsid w:val="004816AF"/>
    <w:rsid w:val="0049584E"/>
    <w:rsid w:val="004A2BF7"/>
    <w:rsid w:val="004B3A41"/>
    <w:rsid w:val="004B798B"/>
    <w:rsid w:val="004D6310"/>
    <w:rsid w:val="004F612C"/>
    <w:rsid w:val="0050139B"/>
    <w:rsid w:val="0050199F"/>
    <w:rsid w:val="0051375A"/>
    <w:rsid w:val="00530B72"/>
    <w:rsid w:val="00531033"/>
    <w:rsid w:val="00537B52"/>
    <w:rsid w:val="005434BA"/>
    <w:rsid w:val="0056480E"/>
    <w:rsid w:val="00565530"/>
    <w:rsid w:val="00572DE3"/>
    <w:rsid w:val="005745BB"/>
    <w:rsid w:val="005833D5"/>
    <w:rsid w:val="00586451"/>
    <w:rsid w:val="00586850"/>
    <w:rsid w:val="00595D27"/>
    <w:rsid w:val="0059625B"/>
    <w:rsid w:val="005B58CA"/>
    <w:rsid w:val="005C2875"/>
    <w:rsid w:val="005C5677"/>
    <w:rsid w:val="005D7944"/>
    <w:rsid w:val="005E2561"/>
    <w:rsid w:val="005E3C72"/>
    <w:rsid w:val="005F2E20"/>
    <w:rsid w:val="005F3D5D"/>
    <w:rsid w:val="005F4ABF"/>
    <w:rsid w:val="005F62C6"/>
    <w:rsid w:val="006061EB"/>
    <w:rsid w:val="006064BF"/>
    <w:rsid w:val="006265E5"/>
    <w:rsid w:val="00627FA5"/>
    <w:rsid w:val="00637190"/>
    <w:rsid w:val="0064117B"/>
    <w:rsid w:val="00652A78"/>
    <w:rsid w:val="0065387A"/>
    <w:rsid w:val="006674A8"/>
    <w:rsid w:val="00671AE0"/>
    <w:rsid w:val="00680757"/>
    <w:rsid w:val="00696207"/>
    <w:rsid w:val="006B1F57"/>
    <w:rsid w:val="006B6637"/>
    <w:rsid w:val="006D160C"/>
    <w:rsid w:val="006D358A"/>
    <w:rsid w:val="006D4BF4"/>
    <w:rsid w:val="006D7FA5"/>
    <w:rsid w:val="006F13CE"/>
    <w:rsid w:val="006F6B1D"/>
    <w:rsid w:val="007066DD"/>
    <w:rsid w:val="007126D7"/>
    <w:rsid w:val="00713445"/>
    <w:rsid w:val="00724D35"/>
    <w:rsid w:val="00730BBB"/>
    <w:rsid w:val="00731B83"/>
    <w:rsid w:val="007403E8"/>
    <w:rsid w:val="00746161"/>
    <w:rsid w:val="0075041A"/>
    <w:rsid w:val="00756E94"/>
    <w:rsid w:val="00766BAD"/>
    <w:rsid w:val="00777D40"/>
    <w:rsid w:val="00785501"/>
    <w:rsid w:val="00786C83"/>
    <w:rsid w:val="007876C1"/>
    <w:rsid w:val="007901AD"/>
    <w:rsid w:val="007A36B3"/>
    <w:rsid w:val="007A4054"/>
    <w:rsid w:val="007B727C"/>
    <w:rsid w:val="007C346F"/>
    <w:rsid w:val="007C798A"/>
    <w:rsid w:val="007D46B3"/>
    <w:rsid w:val="007E285A"/>
    <w:rsid w:val="007F3FA9"/>
    <w:rsid w:val="00803ADB"/>
    <w:rsid w:val="00805BF8"/>
    <w:rsid w:val="0080709C"/>
    <w:rsid w:val="00820788"/>
    <w:rsid w:val="00824710"/>
    <w:rsid w:val="00840CE7"/>
    <w:rsid w:val="008611ED"/>
    <w:rsid w:val="008642B7"/>
    <w:rsid w:val="008671DB"/>
    <w:rsid w:val="0088275F"/>
    <w:rsid w:val="00893552"/>
    <w:rsid w:val="008978D7"/>
    <w:rsid w:val="008B5568"/>
    <w:rsid w:val="008B6EE6"/>
    <w:rsid w:val="008B7A3F"/>
    <w:rsid w:val="008C19AA"/>
    <w:rsid w:val="008C2E81"/>
    <w:rsid w:val="008C7FBA"/>
    <w:rsid w:val="008E232C"/>
    <w:rsid w:val="008E2DD3"/>
    <w:rsid w:val="008E3BDA"/>
    <w:rsid w:val="008E467F"/>
    <w:rsid w:val="008F52EF"/>
    <w:rsid w:val="0090003F"/>
    <w:rsid w:val="009028C2"/>
    <w:rsid w:val="00904CE1"/>
    <w:rsid w:val="00905769"/>
    <w:rsid w:val="009252B0"/>
    <w:rsid w:val="00934FE6"/>
    <w:rsid w:val="00942B20"/>
    <w:rsid w:val="00944708"/>
    <w:rsid w:val="00947E63"/>
    <w:rsid w:val="00956DCC"/>
    <w:rsid w:val="00972173"/>
    <w:rsid w:val="00972BF4"/>
    <w:rsid w:val="009761C6"/>
    <w:rsid w:val="009778FF"/>
    <w:rsid w:val="009A045C"/>
    <w:rsid w:val="009A758D"/>
    <w:rsid w:val="009B1A25"/>
    <w:rsid w:val="009B20BA"/>
    <w:rsid w:val="009C0F14"/>
    <w:rsid w:val="009D191E"/>
    <w:rsid w:val="009D70AB"/>
    <w:rsid w:val="009F0C66"/>
    <w:rsid w:val="00A22A68"/>
    <w:rsid w:val="00A23531"/>
    <w:rsid w:val="00A24FE5"/>
    <w:rsid w:val="00A32B4B"/>
    <w:rsid w:val="00A525BA"/>
    <w:rsid w:val="00A67088"/>
    <w:rsid w:val="00A74A01"/>
    <w:rsid w:val="00A85804"/>
    <w:rsid w:val="00A868AB"/>
    <w:rsid w:val="00A91A24"/>
    <w:rsid w:val="00AA675A"/>
    <w:rsid w:val="00AA70EC"/>
    <w:rsid w:val="00AB4FC4"/>
    <w:rsid w:val="00AB71A7"/>
    <w:rsid w:val="00AC1588"/>
    <w:rsid w:val="00AC2143"/>
    <w:rsid w:val="00AC49C0"/>
    <w:rsid w:val="00AD4865"/>
    <w:rsid w:val="00AD671B"/>
    <w:rsid w:val="00AE5A63"/>
    <w:rsid w:val="00AF2586"/>
    <w:rsid w:val="00B05AA5"/>
    <w:rsid w:val="00B12CAB"/>
    <w:rsid w:val="00B13CB0"/>
    <w:rsid w:val="00B17756"/>
    <w:rsid w:val="00B17E48"/>
    <w:rsid w:val="00B342A9"/>
    <w:rsid w:val="00B417D3"/>
    <w:rsid w:val="00B45DCD"/>
    <w:rsid w:val="00B50CC6"/>
    <w:rsid w:val="00B567E2"/>
    <w:rsid w:val="00B617BA"/>
    <w:rsid w:val="00B620AB"/>
    <w:rsid w:val="00B65676"/>
    <w:rsid w:val="00B66462"/>
    <w:rsid w:val="00B67320"/>
    <w:rsid w:val="00B72050"/>
    <w:rsid w:val="00B732F1"/>
    <w:rsid w:val="00B7387F"/>
    <w:rsid w:val="00BA454B"/>
    <w:rsid w:val="00BB1369"/>
    <w:rsid w:val="00BB269D"/>
    <w:rsid w:val="00BB286E"/>
    <w:rsid w:val="00BC0BF7"/>
    <w:rsid w:val="00BC2C85"/>
    <w:rsid w:val="00BD0546"/>
    <w:rsid w:val="00BD4D12"/>
    <w:rsid w:val="00BD6C7A"/>
    <w:rsid w:val="00BF23AB"/>
    <w:rsid w:val="00BF59B7"/>
    <w:rsid w:val="00C015BE"/>
    <w:rsid w:val="00C11B17"/>
    <w:rsid w:val="00C12B80"/>
    <w:rsid w:val="00C13CD2"/>
    <w:rsid w:val="00C227DA"/>
    <w:rsid w:val="00C3163C"/>
    <w:rsid w:val="00C43367"/>
    <w:rsid w:val="00C52E3B"/>
    <w:rsid w:val="00C547D3"/>
    <w:rsid w:val="00C55619"/>
    <w:rsid w:val="00C63C05"/>
    <w:rsid w:val="00C650FC"/>
    <w:rsid w:val="00C71EBB"/>
    <w:rsid w:val="00C86F4F"/>
    <w:rsid w:val="00CA0111"/>
    <w:rsid w:val="00CA037B"/>
    <w:rsid w:val="00CA0BEA"/>
    <w:rsid w:val="00CA69F9"/>
    <w:rsid w:val="00CB0365"/>
    <w:rsid w:val="00CB186A"/>
    <w:rsid w:val="00CB1FD7"/>
    <w:rsid w:val="00CB2EC9"/>
    <w:rsid w:val="00CC3A70"/>
    <w:rsid w:val="00CE0C5C"/>
    <w:rsid w:val="00CE178C"/>
    <w:rsid w:val="00CE5F94"/>
    <w:rsid w:val="00D10D23"/>
    <w:rsid w:val="00D14AED"/>
    <w:rsid w:val="00D21A9D"/>
    <w:rsid w:val="00D36956"/>
    <w:rsid w:val="00D404FC"/>
    <w:rsid w:val="00D4657B"/>
    <w:rsid w:val="00D625FE"/>
    <w:rsid w:val="00D71714"/>
    <w:rsid w:val="00D7182C"/>
    <w:rsid w:val="00D7413E"/>
    <w:rsid w:val="00D75A37"/>
    <w:rsid w:val="00D771FE"/>
    <w:rsid w:val="00D772FA"/>
    <w:rsid w:val="00D86EF3"/>
    <w:rsid w:val="00D94010"/>
    <w:rsid w:val="00D9766C"/>
    <w:rsid w:val="00D9793A"/>
    <w:rsid w:val="00DA03D3"/>
    <w:rsid w:val="00DB14F0"/>
    <w:rsid w:val="00DB31C9"/>
    <w:rsid w:val="00DC0A60"/>
    <w:rsid w:val="00DD2D75"/>
    <w:rsid w:val="00DE00C1"/>
    <w:rsid w:val="00DE4E5D"/>
    <w:rsid w:val="00E05839"/>
    <w:rsid w:val="00E23C96"/>
    <w:rsid w:val="00E3120E"/>
    <w:rsid w:val="00E34DB5"/>
    <w:rsid w:val="00E4048C"/>
    <w:rsid w:val="00E416CA"/>
    <w:rsid w:val="00E56456"/>
    <w:rsid w:val="00E62121"/>
    <w:rsid w:val="00E6381B"/>
    <w:rsid w:val="00E72A8D"/>
    <w:rsid w:val="00E73E31"/>
    <w:rsid w:val="00E81BB8"/>
    <w:rsid w:val="00E851FD"/>
    <w:rsid w:val="00E8665B"/>
    <w:rsid w:val="00EB78FB"/>
    <w:rsid w:val="00EC051F"/>
    <w:rsid w:val="00EC2261"/>
    <w:rsid w:val="00EC33AF"/>
    <w:rsid w:val="00EC7D4D"/>
    <w:rsid w:val="00ED6B33"/>
    <w:rsid w:val="00EE44E3"/>
    <w:rsid w:val="00EE7DAB"/>
    <w:rsid w:val="00EF4AC7"/>
    <w:rsid w:val="00EF5551"/>
    <w:rsid w:val="00F253C2"/>
    <w:rsid w:val="00F26ED5"/>
    <w:rsid w:val="00F31A34"/>
    <w:rsid w:val="00F43C2F"/>
    <w:rsid w:val="00F4696D"/>
    <w:rsid w:val="00F6055B"/>
    <w:rsid w:val="00F64D4E"/>
    <w:rsid w:val="00F678D5"/>
    <w:rsid w:val="00F67A2C"/>
    <w:rsid w:val="00F722D2"/>
    <w:rsid w:val="00F746EC"/>
    <w:rsid w:val="00F769BB"/>
    <w:rsid w:val="00F85FE9"/>
    <w:rsid w:val="00F92078"/>
    <w:rsid w:val="00FD5FA0"/>
    <w:rsid w:val="00FD7C8E"/>
    <w:rsid w:val="00FE18AD"/>
    <w:rsid w:val="00FE2EF2"/>
    <w:rsid w:val="00FF616B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7BC2"/>
  <w15:chartTrackingRefBased/>
  <w15:docId w15:val="{152D98C2-2780-4CA9-B790-CC0399C4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A63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5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AU"/>
    </w:rPr>
  </w:style>
  <w:style w:type="table" w:styleId="TableGrid">
    <w:name w:val="Table Grid"/>
    <w:basedOn w:val="TableNormal"/>
    <w:uiPriority w:val="39"/>
    <w:rsid w:val="00AE5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5A63"/>
    <w:pPr>
      <w:spacing w:after="0" w:line="240" w:lineRule="auto"/>
    </w:pPr>
    <w:rPr>
      <w:rFonts w:ascii="Calibri" w:eastAsia="Times New Roman" w:hAnsi="Calibri" w:cs="Calibri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AE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Fishawack Indicia</dc:creator>
  <cp:keywords/>
  <dc:description/>
  <cp:lastModifiedBy>Fishawack Indicia</cp:lastModifiedBy>
  <cp:revision>1</cp:revision>
  <dcterms:created xsi:type="dcterms:W3CDTF">2023-03-06T13:13:00Z</dcterms:created>
  <dcterms:modified xsi:type="dcterms:W3CDTF">2023-03-06T13:13:00Z</dcterms:modified>
</cp:coreProperties>
</file>