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0A1A" w:rsidRPr="00DA4693" w:rsidRDefault="00AB6561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AB6561">
        <w:rPr>
          <w:rFonts w:ascii="Times New Roman" w:hAnsi="Times New Roman" w:cs="Times New Roman"/>
          <w:sz w:val="20"/>
          <w:szCs w:val="20"/>
          <w:lang w:val="en-US"/>
        </w:rPr>
        <w:t xml:space="preserve">Supplementary File </w:t>
      </w:r>
      <w:r w:rsidR="008C0A1A" w:rsidRPr="00DA4693">
        <w:rPr>
          <w:rFonts w:ascii="Times New Roman" w:hAnsi="Times New Roman" w:cs="Times New Roman"/>
          <w:sz w:val="20"/>
          <w:szCs w:val="20"/>
          <w:lang w:val="en-US"/>
        </w:rPr>
        <w:t xml:space="preserve">1 </w:t>
      </w:r>
    </w:p>
    <w:p w:rsidR="008C0A1A" w:rsidRPr="00DA4693" w:rsidRDefault="008C0A1A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8C0A1A" w:rsidRPr="008C0A1A" w:rsidRDefault="008C0A1A" w:rsidP="008C0A1A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8C0A1A">
        <w:rPr>
          <w:rFonts w:ascii="Times New Roman" w:hAnsi="Times New Roman" w:cs="Times New Roman"/>
          <w:b/>
          <w:bCs/>
          <w:sz w:val="20"/>
          <w:szCs w:val="20"/>
          <w:lang w:val="en-US"/>
        </w:rPr>
        <w:t>Differences in the cell type-specific toxicity of diamond nanoparticles to endothelial cells depending on the exposure of the cell to the nanoparticle</w:t>
      </w:r>
    </w:p>
    <w:p w:rsidR="008C0A1A" w:rsidRPr="008C0A1A" w:rsidRDefault="008C0A1A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C0A1A">
        <w:rPr>
          <w:rFonts w:ascii="Times New Roman" w:hAnsi="Times New Roman" w:cs="Times New Roman"/>
          <w:sz w:val="20"/>
          <w:szCs w:val="20"/>
        </w:rPr>
        <w:t>Mateusz Wierzbicki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*1</w:t>
      </w:r>
      <w:r w:rsidRPr="008C0A1A">
        <w:rPr>
          <w:rFonts w:ascii="Times New Roman" w:hAnsi="Times New Roman" w:cs="Times New Roman"/>
          <w:sz w:val="20"/>
          <w:szCs w:val="20"/>
        </w:rPr>
        <w:t>, Katarzyna Zawadzka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C0A1A">
        <w:rPr>
          <w:rFonts w:ascii="Times New Roman" w:hAnsi="Times New Roman" w:cs="Times New Roman"/>
          <w:sz w:val="20"/>
          <w:szCs w:val="20"/>
        </w:rPr>
        <w:t>, Barbara Wójcik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C0A1A">
        <w:rPr>
          <w:rFonts w:ascii="Times New Roman" w:hAnsi="Times New Roman" w:cs="Times New Roman"/>
          <w:sz w:val="20"/>
          <w:szCs w:val="20"/>
        </w:rPr>
        <w:t>, Sławomir Jaworski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C0A1A">
        <w:rPr>
          <w:rFonts w:ascii="Times New Roman" w:hAnsi="Times New Roman" w:cs="Times New Roman"/>
          <w:sz w:val="20"/>
          <w:szCs w:val="20"/>
        </w:rPr>
        <w:t>, Barbara Strojny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C0A1A">
        <w:rPr>
          <w:rFonts w:ascii="Times New Roman" w:hAnsi="Times New Roman" w:cs="Times New Roman"/>
          <w:sz w:val="20"/>
          <w:szCs w:val="20"/>
        </w:rPr>
        <w:t>, Agnieszka Ostrowska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C0A1A">
        <w:rPr>
          <w:rFonts w:ascii="Times New Roman" w:hAnsi="Times New Roman" w:cs="Times New Roman"/>
          <w:sz w:val="20"/>
          <w:szCs w:val="20"/>
        </w:rPr>
        <w:t>, Artur Małolepszy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C0A1A">
        <w:rPr>
          <w:rFonts w:ascii="Times New Roman" w:hAnsi="Times New Roman" w:cs="Times New Roman"/>
          <w:sz w:val="20"/>
          <w:szCs w:val="20"/>
        </w:rPr>
        <w:t>, Marta Mazurkiewicz-Pawlicka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C0A1A">
        <w:rPr>
          <w:rFonts w:ascii="Times New Roman" w:hAnsi="Times New Roman" w:cs="Times New Roman"/>
          <w:sz w:val="20"/>
          <w:szCs w:val="20"/>
        </w:rPr>
        <w:t>, Ewa Sawosz</w:t>
      </w:r>
      <w:r w:rsidRPr="008C0A1A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:rsidR="008C0A1A" w:rsidRPr="008C0A1A" w:rsidRDefault="008C0A1A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C0A1A" w:rsidRPr="008C0A1A" w:rsidRDefault="008C0A1A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C0A1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1 </w:t>
      </w:r>
      <w:r w:rsidRPr="008C0A1A">
        <w:rPr>
          <w:rFonts w:ascii="Times New Roman" w:hAnsi="Times New Roman" w:cs="Times New Roman"/>
          <w:sz w:val="20"/>
          <w:szCs w:val="20"/>
          <w:lang w:val="en-US"/>
        </w:rPr>
        <w:t xml:space="preserve">Department of Nanobiotechnology, Institute of Biology, Warsaw University of Life Sciences, </w:t>
      </w:r>
      <w:proofErr w:type="spellStart"/>
      <w:r w:rsidRPr="008C0A1A">
        <w:rPr>
          <w:rFonts w:ascii="Times New Roman" w:hAnsi="Times New Roman" w:cs="Times New Roman"/>
          <w:sz w:val="20"/>
          <w:szCs w:val="20"/>
          <w:lang w:val="en-US"/>
        </w:rPr>
        <w:t>Ciszewskiego</w:t>
      </w:r>
      <w:proofErr w:type="spellEnd"/>
      <w:r w:rsidRPr="008C0A1A">
        <w:rPr>
          <w:rFonts w:ascii="Times New Roman" w:hAnsi="Times New Roman" w:cs="Times New Roman"/>
          <w:sz w:val="20"/>
          <w:szCs w:val="20"/>
          <w:lang w:val="en-US"/>
        </w:rPr>
        <w:t xml:space="preserve"> 8, 02-786 Warsaw, </w:t>
      </w:r>
      <w:proofErr w:type="gramStart"/>
      <w:r w:rsidRPr="008C0A1A">
        <w:rPr>
          <w:rFonts w:ascii="Times New Roman" w:hAnsi="Times New Roman" w:cs="Times New Roman"/>
          <w:sz w:val="20"/>
          <w:szCs w:val="20"/>
          <w:lang w:val="en-US"/>
        </w:rPr>
        <w:t>Poland;</w:t>
      </w:r>
      <w:proofErr w:type="gramEnd"/>
      <w:r w:rsidRPr="008C0A1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8C0A1A" w:rsidRPr="008C0A1A" w:rsidRDefault="008C0A1A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C0A1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C0A1A">
        <w:rPr>
          <w:rFonts w:ascii="Times New Roman" w:hAnsi="Times New Roman" w:cs="Times New Roman"/>
          <w:sz w:val="20"/>
          <w:szCs w:val="20"/>
          <w:lang w:val="en-US"/>
        </w:rPr>
        <w:t xml:space="preserve"> Faculty of Chemical and Process Engineering, Warsaw University of Technology, 00-654 Warsaw, </w:t>
      </w:r>
      <w:proofErr w:type="gramStart"/>
      <w:r w:rsidRPr="008C0A1A">
        <w:rPr>
          <w:rFonts w:ascii="Times New Roman" w:hAnsi="Times New Roman" w:cs="Times New Roman"/>
          <w:sz w:val="20"/>
          <w:szCs w:val="20"/>
          <w:lang w:val="en-US"/>
        </w:rPr>
        <w:t>Poland;</w:t>
      </w:r>
      <w:proofErr w:type="gramEnd"/>
      <w:r w:rsidRPr="008C0A1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8C0A1A" w:rsidRDefault="008C0A1A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C0A1A">
        <w:rPr>
          <w:rFonts w:ascii="Times New Roman" w:hAnsi="Times New Roman" w:cs="Times New Roman"/>
          <w:sz w:val="20"/>
          <w:szCs w:val="20"/>
          <w:lang w:val="en-US"/>
        </w:rPr>
        <w:t xml:space="preserve">*  Correspondence: </w:t>
      </w:r>
      <w:hyperlink r:id="rId4" w:history="1">
        <w:r w:rsidRPr="001F1717">
          <w:rPr>
            <w:rStyle w:val="Hipercze"/>
            <w:rFonts w:ascii="Times New Roman" w:hAnsi="Times New Roman" w:cs="Times New Roman"/>
            <w:sz w:val="20"/>
            <w:szCs w:val="20"/>
            <w:lang w:val="en-US"/>
          </w:rPr>
          <w:t>mateusz_wierzbicki@sggw.edu.pl</w:t>
        </w:r>
      </w:hyperlink>
    </w:p>
    <w:p w:rsidR="008C0A1A" w:rsidRDefault="008C0A1A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8C0A1A" w:rsidRDefault="008C0A1A" w:rsidP="008C0A1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397500" cy="2743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1A" w:rsidRDefault="008C0A1A" w:rsidP="008C0A1A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8C0A1A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Figure 1S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Interference analysis of LDH and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Prestoblue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assays.  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Analysis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of</w:t>
      </w:r>
      <w:r w:rsidR="00AB656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the</w:t>
      </w:r>
      <w:r w:rsidR="00AB6561" w:rsidRPr="00AB656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interference was performed in </w:t>
      </w:r>
      <w:proofErr w:type="gramStart"/>
      <w:r w:rsidR="00AB6561" w:rsidRPr="00AB656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exactly the same</w:t>
      </w:r>
      <w:proofErr w:type="gramEnd"/>
      <w:r w:rsidR="00AB6561" w:rsidRPr="00AB656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way as the actual analysis but without the presence of cells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using ND at a concentration of 100 mg/l</w:t>
      </w:r>
      <w:r w:rsidRPr="008C0A1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Analysis</w:t>
      </w:r>
      <w:r w:rsidR="00AC02FD" w:rsidRP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showed no statistical significance 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at</w:t>
      </w:r>
      <w:r w:rsidR="00AC02FD" w:rsidRP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</w:t>
      </w:r>
      <w:r w:rsidR="00AC02FD" w:rsidRP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&lt;0.05 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for LDH assay </w:t>
      </w:r>
      <w:r w:rsidR="00AB656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(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P= 0.0566</w:t>
      </w:r>
      <w:r w:rsidR="00AB656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)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(A) and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Prestoblue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assay </w:t>
      </w:r>
      <w:r w:rsidR="00AB656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(</w:t>
      </w:r>
      <w:r w:rsidR="00AC02FD" w:rsidRP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P 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= </w:t>
      </w:r>
      <w:r w:rsidR="00AC02FD" w:rsidRP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0,0679 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(B)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(n=3, with four individual </w:t>
      </w:r>
      <w:r w:rsidR="00AB6561" w:rsidRPr="00AB656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replicates</w:t>
      </w:r>
      <w:r w:rsidR="00AC02F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).</w:t>
      </w:r>
    </w:p>
    <w:p w:rsidR="007D50AC" w:rsidRDefault="007D50AC" w:rsidP="008C0A1A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7D50AC" w:rsidRDefault="007D50AC" w:rsidP="008C0A1A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7D50AC" w:rsidRDefault="007D50AC" w:rsidP="008C0A1A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>
            <wp:extent cx="5715000" cy="3842457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t="22320" r="9525" b="6033"/>
                    <a:stretch/>
                  </pic:blipFill>
                  <pic:spPr bwMode="auto">
                    <a:xfrm>
                      <a:off x="0" y="0"/>
                      <a:ext cx="5732173" cy="385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128" w:rsidRDefault="007D50AC" w:rsidP="008C0A1A">
      <w:pPr>
        <w:spacing w:line="480" w:lineRule="auto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7D50AC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Figure 2S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7D50AC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Raw image of membranes after visualization</w:t>
      </w:r>
      <w:r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. Left membranes show analysis of control HUVEC extract. Right membranes show analysis of HUVEC </w:t>
      </w:r>
      <w:r w:rsidR="009A4D02">
        <w:rPr>
          <w:rFonts w:ascii="Times New Roman" w:hAnsi="Times New Roman"/>
          <w:color w:val="000000" w:themeColor="text1"/>
          <w:sz w:val="22"/>
          <w:szCs w:val="22"/>
          <w:lang w:val="en-US"/>
        </w:rPr>
        <w:t>extracts</w:t>
      </w:r>
      <w:r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that were incubated with ND at a concentration of </w:t>
      </w:r>
      <w:r w:rsidRPr="00FB46F8">
        <w:rPr>
          <w:rFonts w:ascii="Times New Roman" w:hAnsi="Times New Roman"/>
          <w:color w:val="000000" w:themeColor="text1"/>
          <w:sz w:val="22"/>
          <w:szCs w:val="22"/>
          <w:lang w:val="en-US"/>
        </w:rPr>
        <w:t>20 mg/l for 24 h</w:t>
      </w:r>
      <w:r w:rsidR="0014145B">
        <w:rPr>
          <w:rFonts w:ascii="Times New Roman" w:hAnsi="Times New Roman"/>
          <w:color w:val="000000" w:themeColor="text1"/>
          <w:sz w:val="22"/>
          <w:szCs w:val="22"/>
          <w:lang w:val="en-US"/>
        </w:rPr>
        <w:t>.</w:t>
      </w:r>
    </w:p>
    <w:p w:rsidR="008A361C" w:rsidRDefault="008A361C" w:rsidP="008C0A1A">
      <w:pPr>
        <w:spacing w:line="480" w:lineRule="auto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</w:p>
    <w:p w:rsidR="00DA4693" w:rsidRDefault="00DA4693" w:rsidP="008C0A1A">
      <w:pPr>
        <w:spacing w:line="480" w:lineRule="auto"/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</w:pPr>
      <w:r w:rsidRPr="00DA4693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Table S1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. Array map of the membrane I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006"/>
        <w:gridCol w:w="1007"/>
        <w:gridCol w:w="1007"/>
        <w:gridCol w:w="1007"/>
        <w:gridCol w:w="1007"/>
        <w:gridCol w:w="1007"/>
        <w:gridCol w:w="1007"/>
        <w:gridCol w:w="1007"/>
        <w:gridCol w:w="1154"/>
      </w:tblGrid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</w:t>
            </w:r>
          </w:p>
        </w:tc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F</w:t>
            </w:r>
          </w:p>
        </w:tc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H</w:t>
            </w:r>
          </w:p>
        </w:tc>
      </w:tr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NEG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NEG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ANG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EGF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ENA-78</w:t>
            </w:r>
          </w:p>
        </w:tc>
        <w:tc>
          <w:tcPr>
            <w:tcW w:w="1154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bFGF</w:t>
            </w:r>
            <w:proofErr w:type="spellEnd"/>
          </w:p>
        </w:tc>
      </w:tr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NEG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NEG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ANG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EGF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ENA-78</w:t>
            </w:r>
          </w:p>
        </w:tc>
        <w:tc>
          <w:tcPr>
            <w:tcW w:w="1154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bFGF</w:t>
            </w:r>
            <w:proofErr w:type="spellEnd"/>
          </w:p>
        </w:tc>
      </w:tr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GRO</w:t>
            </w:r>
            <w:r w:rsidR="003C5E1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A</w:t>
            </w:r>
          </w:p>
        </w:tc>
        <w:tc>
          <w:tcPr>
            <w:tcW w:w="1007" w:type="dxa"/>
            <w:vAlign w:val="center"/>
          </w:tcPr>
          <w:p w:rsidR="00DA4693" w:rsidRPr="00355128" w:rsidRDefault="003C0CC9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C0CC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IFN-γ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IGF-1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IL-6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IL-8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MCP-1</w:t>
            </w:r>
          </w:p>
        </w:tc>
        <w:tc>
          <w:tcPr>
            <w:tcW w:w="1154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PDGF-BB</w:t>
            </w:r>
          </w:p>
        </w:tc>
      </w:tr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GRO</w:t>
            </w:r>
            <w:r w:rsidR="003C5E1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A</w:t>
            </w:r>
          </w:p>
        </w:tc>
        <w:tc>
          <w:tcPr>
            <w:tcW w:w="1007" w:type="dxa"/>
            <w:vAlign w:val="center"/>
          </w:tcPr>
          <w:p w:rsidR="00DA4693" w:rsidRPr="00355128" w:rsidRDefault="003C0CC9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C0CC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IFN-γ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IGF-1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IL-6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IL-8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MCP-1</w:t>
            </w:r>
          </w:p>
        </w:tc>
        <w:tc>
          <w:tcPr>
            <w:tcW w:w="1154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PDGF-BB</w:t>
            </w:r>
          </w:p>
        </w:tc>
      </w:tr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PLGF</w:t>
            </w:r>
          </w:p>
        </w:tc>
        <w:tc>
          <w:tcPr>
            <w:tcW w:w="1007" w:type="dxa"/>
            <w:vAlign w:val="center"/>
          </w:tcPr>
          <w:p w:rsidR="00DA4693" w:rsidRPr="00DA4693" w:rsidRDefault="003C0CC9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CCL5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TGF </w:t>
            </w:r>
            <w:r w:rsidR="003C0CC9" w:rsidRPr="003C0C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β1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TIMP-1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TIMP-2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THPO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VEGF</w:t>
            </w:r>
          </w:p>
        </w:tc>
        <w:tc>
          <w:tcPr>
            <w:tcW w:w="1154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VEGF-D</w:t>
            </w:r>
          </w:p>
        </w:tc>
      </w:tr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PLGF</w:t>
            </w:r>
          </w:p>
        </w:tc>
        <w:tc>
          <w:tcPr>
            <w:tcW w:w="1007" w:type="dxa"/>
            <w:vAlign w:val="center"/>
          </w:tcPr>
          <w:p w:rsidR="00DA4693" w:rsidRPr="00DA4693" w:rsidRDefault="003C0CC9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CCL5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TGF </w:t>
            </w:r>
            <w:r w:rsidR="003C0CC9" w:rsidRPr="003C0C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β1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TIMP-1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TIMP-2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THPO</w:t>
            </w:r>
          </w:p>
        </w:tc>
        <w:tc>
          <w:tcPr>
            <w:tcW w:w="1007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VEGF</w:t>
            </w:r>
          </w:p>
        </w:tc>
        <w:tc>
          <w:tcPr>
            <w:tcW w:w="1154" w:type="dxa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VEGF-D</w:t>
            </w:r>
          </w:p>
        </w:tc>
      </w:tr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NEG</w:t>
            </w:r>
          </w:p>
        </w:tc>
        <w:tc>
          <w:tcPr>
            <w:tcW w:w="1154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POS</w:t>
            </w:r>
          </w:p>
        </w:tc>
      </w:tr>
      <w:tr w:rsidR="00DA4693" w:rsidRPr="00355128" w:rsidTr="003C0CC9"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blank</w:t>
            </w:r>
          </w:p>
        </w:tc>
        <w:tc>
          <w:tcPr>
            <w:tcW w:w="1007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NEG</w:t>
            </w:r>
          </w:p>
        </w:tc>
        <w:tc>
          <w:tcPr>
            <w:tcW w:w="1154" w:type="dxa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POS</w:t>
            </w:r>
          </w:p>
        </w:tc>
      </w:tr>
    </w:tbl>
    <w:p w:rsidR="00355128" w:rsidRPr="008A361C" w:rsidRDefault="00355128" w:rsidP="008A361C">
      <w:pPr>
        <w:spacing w:line="480" w:lineRule="auto"/>
        <w:jc w:val="both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  <w:r w:rsidRPr="008A361C">
        <w:rPr>
          <w:rFonts w:ascii="Times New Roman" w:hAnsi="Times New Roman"/>
          <w:color w:val="000000" w:themeColor="text1"/>
          <w:sz w:val="20"/>
          <w:szCs w:val="20"/>
          <w:lang w:val="en-US"/>
        </w:rPr>
        <w:t>Abbreviations:</w:t>
      </w:r>
      <w:r w:rsidR="003C5E17" w:rsidRPr="008A361C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POS, positive control; NEG, negative control; ANG, angiogenin; EGF, epidermal growth factor; ENA-78, CXCL5; </w:t>
      </w:r>
      <w:proofErr w:type="spellStart"/>
      <w:r w:rsidR="003C5E17" w:rsidRPr="008A361C">
        <w:rPr>
          <w:rFonts w:ascii="Times New Roman" w:hAnsi="Times New Roman"/>
          <w:color w:val="000000" w:themeColor="text1"/>
          <w:sz w:val="20"/>
          <w:szCs w:val="20"/>
          <w:lang w:val="en-US"/>
        </w:rPr>
        <w:t>bFGF</w:t>
      </w:r>
      <w:proofErr w:type="spellEnd"/>
      <w:r w:rsidR="003C5E17" w:rsidRPr="008A361C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, basic fibroblast growth factor; </w:t>
      </w:r>
      <w:r w:rsidR="003C5E17" w:rsidRPr="008A361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GRO A, growth regulated oncogene-alpha;</w:t>
      </w:r>
      <w:r w:rsidR="003C0CC9" w:rsidRPr="008A361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IFN-γ, </w:t>
      </w:r>
      <w:r w:rsidR="003C0CC9" w:rsidRPr="008A361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lastRenderedPageBreak/>
        <w:t xml:space="preserve">interferon gamma; IGF-1, insulin-like growth factor 1; IL-6, interleukin 6; IL-8, interleukin 8; MCP-1, monocyte chemoattractant protein-1; PDGF-BB,  platelet-derived growth factor-BB; PLGF, placenta growth factor; </w:t>
      </w:r>
      <w:r w:rsidR="003C0CC9" w:rsidRPr="00DA469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TGF b1</w:t>
      </w:r>
      <w:r w:rsidR="003C0CC9" w:rsidRPr="008A361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 xml:space="preserve">, transforming growth factor β1; </w:t>
      </w:r>
      <w:r w:rsidR="003C0CC9" w:rsidRPr="00DA469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TIMP-1</w:t>
      </w:r>
      <w:r w:rsidR="003C0CC9" w:rsidRPr="008A361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 xml:space="preserve">, tissue inhibitor of metalloproteinases 1; </w:t>
      </w:r>
      <w:r w:rsidR="003C0CC9" w:rsidRPr="00DA469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TIMP-2</w:t>
      </w:r>
      <w:r w:rsidR="003C0CC9" w:rsidRPr="008A361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, tissue inhibitor of metalloproteinases 2; THPO, thrombopoietin; VEGF, vascular endothelial growth factor</w:t>
      </w:r>
      <w:r w:rsidR="008A361C" w:rsidRPr="008A361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; VEGF D, vascular endothelial growth factor D.</w:t>
      </w:r>
    </w:p>
    <w:p w:rsidR="00355128" w:rsidRDefault="00355128" w:rsidP="008C0A1A">
      <w:pPr>
        <w:spacing w:line="480" w:lineRule="auto"/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</w:pPr>
    </w:p>
    <w:p w:rsidR="00DA4693" w:rsidRDefault="00DA4693" w:rsidP="008C0A1A">
      <w:pPr>
        <w:spacing w:line="480" w:lineRule="auto"/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</w:pPr>
      <w:r w:rsidRPr="00DA4693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Table S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2. Array map of the membrane II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6"/>
        <w:gridCol w:w="1005"/>
        <w:gridCol w:w="1005"/>
        <w:gridCol w:w="1005"/>
        <w:gridCol w:w="996"/>
        <w:gridCol w:w="1006"/>
        <w:gridCol w:w="1006"/>
        <w:gridCol w:w="991"/>
        <w:gridCol w:w="1072"/>
      </w:tblGrid>
      <w:tr w:rsidR="00355128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05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1005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1005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</w:t>
            </w:r>
          </w:p>
        </w:tc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F</w:t>
            </w:r>
          </w:p>
        </w:tc>
        <w:tc>
          <w:tcPr>
            <w:tcW w:w="991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</w:t>
            </w: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:rsidR="00DA4693" w:rsidRPr="00DA4693" w:rsidRDefault="00DA4693" w:rsidP="003C0C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H</w:t>
            </w:r>
          </w:p>
        </w:tc>
      </w:tr>
      <w:tr w:rsidR="00355128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005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POS</w:t>
            </w:r>
          </w:p>
        </w:tc>
        <w:tc>
          <w:tcPr>
            <w:tcW w:w="1005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POS</w:t>
            </w:r>
          </w:p>
        </w:tc>
        <w:tc>
          <w:tcPr>
            <w:tcW w:w="1005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NEG</w:t>
            </w:r>
          </w:p>
        </w:tc>
        <w:tc>
          <w:tcPr>
            <w:tcW w:w="996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NEG</w:t>
            </w:r>
          </w:p>
        </w:tc>
        <w:tc>
          <w:tcPr>
            <w:tcW w:w="1006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ANGPT1</w:t>
            </w:r>
          </w:p>
        </w:tc>
        <w:tc>
          <w:tcPr>
            <w:tcW w:w="1006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ANGPT2</w:t>
            </w:r>
          </w:p>
        </w:tc>
        <w:tc>
          <w:tcPr>
            <w:tcW w:w="991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PLG</w:t>
            </w:r>
          </w:p>
        </w:tc>
        <w:tc>
          <w:tcPr>
            <w:tcW w:w="1072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Endostatin</w:t>
            </w:r>
            <w:proofErr w:type="spellEnd"/>
          </w:p>
        </w:tc>
      </w:tr>
      <w:tr w:rsidR="00355128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005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POS</w:t>
            </w:r>
          </w:p>
        </w:tc>
        <w:tc>
          <w:tcPr>
            <w:tcW w:w="1005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POS</w:t>
            </w:r>
          </w:p>
        </w:tc>
        <w:tc>
          <w:tcPr>
            <w:tcW w:w="1005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NEG</w:t>
            </w:r>
          </w:p>
        </w:tc>
        <w:tc>
          <w:tcPr>
            <w:tcW w:w="996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NEG</w:t>
            </w:r>
          </w:p>
        </w:tc>
        <w:tc>
          <w:tcPr>
            <w:tcW w:w="1006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ANGPT1</w:t>
            </w:r>
          </w:p>
        </w:tc>
        <w:tc>
          <w:tcPr>
            <w:tcW w:w="1006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ANGPT2</w:t>
            </w:r>
          </w:p>
        </w:tc>
        <w:tc>
          <w:tcPr>
            <w:tcW w:w="991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PLG</w:t>
            </w:r>
          </w:p>
        </w:tc>
        <w:tc>
          <w:tcPr>
            <w:tcW w:w="1072" w:type="dxa"/>
            <w:vAlign w:val="center"/>
          </w:tcPr>
          <w:p w:rsidR="00DA4693" w:rsidRPr="00DA4693" w:rsidRDefault="00DA4693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Endostatin</w:t>
            </w:r>
            <w:proofErr w:type="spellEnd"/>
          </w:p>
        </w:tc>
      </w:tr>
      <w:tr w:rsidR="003C0CC9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1005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G-CSF</w:t>
            </w:r>
          </w:p>
        </w:tc>
        <w:tc>
          <w:tcPr>
            <w:tcW w:w="1005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G</w:t>
            </w:r>
            <w:r w:rsidRPr="003551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M</w:t>
            </w: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-CSF</w:t>
            </w:r>
          </w:p>
        </w:tc>
        <w:tc>
          <w:tcPr>
            <w:tcW w:w="1005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I-309</w:t>
            </w:r>
          </w:p>
        </w:tc>
        <w:tc>
          <w:tcPr>
            <w:tcW w:w="996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IL-10</w:t>
            </w:r>
          </w:p>
        </w:tc>
        <w:tc>
          <w:tcPr>
            <w:tcW w:w="1006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IL-1 a</w:t>
            </w:r>
          </w:p>
        </w:tc>
        <w:tc>
          <w:tcPr>
            <w:tcW w:w="1006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IL-1 b</w:t>
            </w:r>
          </w:p>
        </w:tc>
        <w:tc>
          <w:tcPr>
            <w:tcW w:w="991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IL-2</w:t>
            </w:r>
          </w:p>
        </w:tc>
        <w:tc>
          <w:tcPr>
            <w:tcW w:w="1072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IL-4</w:t>
            </w:r>
          </w:p>
        </w:tc>
      </w:tr>
      <w:tr w:rsidR="003C0CC9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DA4693" w:rsidRPr="00355128" w:rsidRDefault="00DA4693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1005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G-CSF</w:t>
            </w:r>
          </w:p>
        </w:tc>
        <w:tc>
          <w:tcPr>
            <w:tcW w:w="1005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G</w:t>
            </w:r>
            <w:r w:rsidRPr="003551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M</w:t>
            </w: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-CSF</w:t>
            </w:r>
          </w:p>
        </w:tc>
        <w:tc>
          <w:tcPr>
            <w:tcW w:w="1005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I-309</w:t>
            </w:r>
          </w:p>
        </w:tc>
        <w:tc>
          <w:tcPr>
            <w:tcW w:w="996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IL-10</w:t>
            </w:r>
          </w:p>
        </w:tc>
        <w:tc>
          <w:tcPr>
            <w:tcW w:w="1006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IL-1 a</w:t>
            </w:r>
          </w:p>
        </w:tc>
        <w:tc>
          <w:tcPr>
            <w:tcW w:w="1006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IL-1 b</w:t>
            </w:r>
          </w:p>
        </w:tc>
        <w:tc>
          <w:tcPr>
            <w:tcW w:w="991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IL-2</w:t>
            </w:r>
          </w:p>
        </w:tc>
        <w:tc>
          <w:tcPr>
            <w:tcW w:w="1072" w:type="dxa"/>
            <w:vAlign w:val="center"/>
          </w:tcPr>
          <w:p w:rsidR="00DA4693" w:rsidRPr="00355128" w:rsidRDefault="00DA4693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IL-4</w:t>
            </w:r>
          </w:p>
        </w:tc>
      </w:tr>
      <w:tr w:rsidR="00355128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355128" w:rsidRPr="00355128" w:rsidRDefault="00355128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1005" w:type="dxa"/>
            <w:vAlign w:val="center"/>
          </w:tcPr>
          <w:p w:rsidR="00355128" w:rsidRPr="00DA4693" w:rsidRDefault="003C0CC9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C0CC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CXCL11</w:t>
            </w:r>
          </w:p>
        </w:tc>
        <w:tc>
          <w:tcPr>
            <w:tcW w:w="1005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MCP-3</w:t>
            </w:r>
          </w:p>
        </w:tc>
        <w:tc>
          <w:tcPr>
            <w:tcW w:w="1005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MCP-4</w:t>
            </w:r>
          </w:p>
        </w:tc>
        <w:tc>
          <w:tcPr>
            <w:tcW w:w="996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MMP-1</w:t>
            </w:r>
          </w:p>
        </w:tc>
        <w:tc>
          <w:tcPr>
            <w:tcW w:w="1006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MMP-9</w:t>
            </w:r>
          </w:p>
        </w:tc>
        <w:tc>
          <w:tcPr>
            <w:tcW w:w="1006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PECAM-1</w:t>
            </w:r>
          </w:p>
        </w:tc>
        <w:tc>
          <w:tcPr>
            <w:tcW w:w="991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TIE-2</w:t>
            </w:r>
          </w:p>
        </w:tc>
        <w:tc>
          <w:tcPr>
            <w:tcW w:w="1072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TNF a</w:t>
            </w:r>
          </w:p>
        </w:tc>
      </w:tr>
      <w:tr w:rsidR="00355128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355128" w:rsidRPr="00355128" w:rsidRDefault="00355128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1005" w:type="dxa"/>
            <w:vAlign w:val="center"/>
          </w:tcPr>
          <w:p w:rsidR="00355128" w:rsidRPr="00DA4693" w:rsidRDefault="003C0CC9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C0CC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CXCL11</w:t>
            </w:r>
          </w:p>
        </w:tc>
        <w:tc>
          <w:tcPr>
            <w:tcW w:w="1005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MCP-3</w:t>
            </w:r>
          </w:p>
        </w:tc>
        <w:tc>
          <w:tcPr>
            <w:tcW w:w="1005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MCP-4</w:t>
            </w:r>
          </w:p>
        </w:tc>
        <w:tc>
          <w:tcPr>
            <w:tcW w:w="996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MMP-1</w:t>
            </w:r>
          </w:p>
        </w:tc>
        <w:tc>
          <w:tcPr>
            <w:tcW w:w="1006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MMP-9</w:t>
            </w:r>
          </w:p>
        </w:tc>
        <w:tc>
          <w:tcPr>
            <w:tcW w:w="1006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PECAM-1</w:t>
            </w:r>
          </w:p>
        </w:tc>
        <w:tc>
          <w:tcPr>
            <w:tcW w:w="991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TIE-2</w:t>
            </w:r>
          </w:p>
        </w:tc>
        <w:tc>
          <w:tcPr>
            <w:tcW w:w="1072" w:type="dxa"/>
            <w:vAlign w:val="center"/>
          </w:tcPr>
          <w:p w:rsidR="00355128" w:rsidRPr="00DA4693" w:rsidRDefault="00355128" w:rsidP="003C0C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A46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TNF a</w:t>
            </w:r>
          </w:p>
        </w:tc>
      </w:tr>
      <w:tr w:rsidR="003C0CC9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355128" w:rsidRPr="00355128" w:rsidRDefault="00355128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1005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uPAR</w:t>
            </w:r>
            <w:proofErr w:type="spellEnd"/>
          </w:p>
        </w:tc>
        <w:tc>
          <w:tcPr>
            <w:tcW w:w="1005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VEGFR2</w:t>
            </w:r>
          </w:p>
        </w:tc>
        <w:tc>
          <w:tcPr>
            <w:tcW w:w="1005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VEGFR3</w:t>
            </w:r>
          </w:p>
        </w:tc>
        <w:tc>
          <w:tcPr>
            <w:tcW w:w="996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blank</w:t>
            </w:r>
          </w:p>
        </w:tc>
        <w:tc>
          <w:tcPr>
            <w:tcW w:w="1006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blank</w:t>
            </w:r>
          </w:p>
        </w:tc>
        <w:tc>
          <w:tcPr>
            <w:tcW w:w="1006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blank</w:t>
            </w:r>
          </w:p>
        </w:tc>
        <w:tc>
          <w:tcPr>
            <w:tcW w:w="991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NEG</w:t>
            </w:r>
          </w:p>
        </w:tc>
        <w:tc>
          <w:tcPr>
            <w:tcW w:w="1072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POS</w:t>
            </w:r>
          </w:p>
        </w:tc>
      </w:tr>
      <w:tr w:rsidR="003C0CC9" w:rsidRPr="00355128" w:rsidTr="008A361C">
        <w:tc>
          <w:tcPr>
            <w:tcW w:w="976" w:type="dxa"/>
            <w:shd w:val="clear" w:color="auto" w:fill="D9D9D9" w:themeFill="background1" w:themeFillShade="D9"/>
            <w:vAlign w:val="center"/>
          </w:tcPr>
          <w:p w:rsidR="00355128" w:rsidRPr="00355128" w:rsidRDefault="00355128" w:rsidP="003C0CC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35512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1005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uPAR</w:t>
            </w:r>
            <w:proofErr w:type="spellEnd"/>
          </w:p>
        </w:tc>
        <w:tc>
          <w:tcPr>
            <w:tcW w:w="1005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VEGFR2</w:t>
            </w:r>
          </w:p>
        </w:tc>
        <w:tc>
          <w:tcPr>
            <w:tcW w:w="1005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VEGFR3</w:t>
            </w:r>
          </w:p>
        </w:tc>
        <w:tc>
          <w:tcPr>
            <w:tcW w:w="996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blank</w:t>
            </w:r>
          </w:p>
        </w:tc>
        <w:tc>
          <w:tcPr>
            <w:tcW w:w="1006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blank</w:t>
            </w:r>
          </w:p>
        </w:tc>
        <w:tc>
          <w:tcPr>
            <w:tcW w:w="1006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blank</w:t>
            </w:r>
          </w:p>
        </w:tc>
        <w:tc>
          <w:tcPr>
            <w:tcW w:w="991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NEG</w:t>
            </w:r>
          </w:p>
        </w:tc>
        <w:tc>
          <w:tcPr>
            <w:tcW w:w="1072" w:type="dxa"/>
            <w:vAlign w:val="center"/>
          </w:tcPr>
          <w:p w:rsidR="00355128" w:rsidRPr="00355128" w:rsidRDefault="00355128" w:rsidP="003C0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128">
              <w:rPr>
                <w:rFonts w:ascii="Times New Roman" w:hAnsi="Times New Roman" w:cs="Times New Roman"/>
                <w:sz w:val="20"/>
                <w:szCs w:val="20"/>
              </w:rPr>
              <w:t>POS</w:t>
            </w:r>
          </w:p>
        </w:tc>
      </w:tr>
    </w:tbl>
    <w:p w:rsidR="008A361C" w:rsidRPr="00310133" w:rsidRDefault="008A361C" w:rsidP="00310133">
      <w:pPr>
        <w:spacing w:line="480" w:lineRule="auto"/>
        <w:jc w:val="both"/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</w:pPr>
      <w:r w:rsidRPr="008A361C">
        <w:rPr>
          <w:rFonts w:ascii="Times New Roman" w:hAnsi="Times New Roman"/>
          <w:color w:val="000000" w:themeColor="text1"/>
          <w:sz w:val="20"/>
          <w:szCs w:val="20"/>
          <w:lang w:val="en-US"/>
        </w:rPr>
        <w:t>Abbreviations: POS, positive control; NEG, negative control;</w:t>
      </w:r>
      <w:r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ANGPT1, </w:t>
      </w:r>
      <w:r w:rsidRPr="008A361C">
        <w:rPr>
          <w:rFonts w:ascii="Times New Roman" w:hAnsi="Times New Roman"/>
          <w:color w:val="000000" w:themeColor="text1"/>
          <w:sz w:val="20"/>
          <w:szCs w:val="20"/>
          <w:lang w:val="en-US"/>
        </w:rPr>
        <w:t>Angiopoietin 1</w:t>
      </w:r>
      <w:r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; ANGPT2, </w:t>
      </w:r>
      <w:r w:rsidRPr="008A361C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Angiopoietin </w:t>
      </w:r>
      <w:r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2; PLG, </w:t>
      </w:r>
      <w:r w:rsidRPr="008A361C">
        <w:rPr>
          <w:rFonts w:ascii="Times New Roman" w:hAnsi="Times New Roman"/>
          <w:color w:val="000000" w:themeColor="text1"/>
          <w:sz w:val="20"/>
          <w:szCs w:val="20"/>
          <w:lang w:val="en-US"/>
        </w:rPr>
        <w:t>Plasminogen</w:t>
      </w:r>
      <w:r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; 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G-CSF, g</w:t>
      </w:r>
      <w:r w:rsidRPr="008A361C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ranulocyte-colony stimulating factor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; </w:t>
      </w:r>
      <w:r w:rsidRPr="00DA469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I-309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, CCL1; IL-10, interleukin 10 ; IL-1 a, interleukin 1 alpha; IL-1 b, interleukin 1 beta; IL-2, interleukin 2; IL-4, interleukin 4; MCP-3, m</w:t>
      </w:r>
      <w:r w:rsidRPr="008A361C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onocyte chemotactic protein-3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; MCP-4, m</w:t>
      </w:r>
      <w:r w:rsidRPr="008A361C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onocyte chemotactic protein-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4; MMP-1, </w:t>
      </w:r>
      <w:r w:rsidRPr="008A361C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matrix metalloproteinase-1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; MMP-9, </w:t>
      </w:r>
      <w:r w:rsidRPr="008A361C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matrix metalloproteinase-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9; PECAM-1, p</w:t>
      </w:r>
      <w:r w:rsidRPr="008A361C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latelet endothelial cell adhesion molecule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 1; TIE-2, </w:t>
      </w:r>
      <w:r w:rsidRPr="008A361C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Angiopoietin-1 receptor</w:t>
      </w:r>
      <w:r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; </w:t>
      </w:r>
      <w:r w:rsidR="00310133" w:rsidRPr="00DA469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TNF a</w:t>
      </w:r>
      <w:r w:rsidR="0031013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, </w:t>
      </w:r>
      <w:r w:rsidR="00310133" w:rsidRPr="0031013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tumor necrosis factor </w:t>
      </w:r>
      <w:r w:rsidR="0031013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alpha; </w:t>
      </w:r>
      <w:proofErr w:type="spellStart"/>
      <w:r w:rsidR="0031013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uPAR</w:t>
      </w:r>
      <w:proofErr w:type="spellEnd"/>
      <w:r w:rsidR="0031013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, </w:t>
      </w:r>
      <w:r w:rsidR="00310133" w:rsidRPr="0031013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>urokinase plasminogen activator surface receptor</w:t>
      </w:r>
      <w:r w:rsidR="00310133">
        <w:rPr>
          <w:rFonts w:ascii="Times New Roman" w:eastAsia="Times New Roman" w:hAnsi="Times New Roman" w:cs="Times New Roman"/>
          <w:sz w:val="20"/>
          <w:szCs w:val="20"/>
          <w:lang w:val="en-US" w:eastAsia="pl-PL"/>
        </w:rPr>
        <w:t xml:space="preserve">; </w:t>
      </w:r>
      <w:r w:rsidR="00310133" w:rsidRPr="00310133">
        <w:rPr>
          <w:rFonts w:ascii="Times New Roman" w:hAnsi="Times New Roman" w:cs="Times New Roman"/>
          <w:sz w:val="20"/>
          <w:szCs w:val="20"/>
          <w:lang w:val="en-US"/>
        </w:rPr>
        <w:t>VEGFR2</w:t>
      </w:r>
      <w:r w:rsidR="00310133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310133" w:rsidRPr="008A361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vascular endothelial growth factor</w:t>
      </w:r>
      <w:r w:rsidR="0031013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 xml:space="preserve"> receptor 2; </w:t>
      </w:r>
      <w:r w:rsidR="00310133" w:rsidRPr="00310133">
        <w:rPr>
          <w:rFonts w:ascii="Times New Roman" w:hAnsi="Times New Roman" w:cs="Times New Roman"/>
          <w:sz w:val="20"/>
          <w:szCs w:val="20"/>
          <w:lang w:val="en-US"/>
        </w:rPr>
        <w:t>VEGFR</w:t>
      </w:r>
      <w:r w:rsidR="00310133">
        <w:rPr>
          <w:rFonts w:ascii="Times New Roman" w:hAnsi="Times New Roman" w:cs="Times New Roman"/>
          <w:sz w:val="20"/>
          <w:szCs w:val="20"/>
          <w:lang w:val="en-US"/>
        </w:rPr>
        <w:t xml:space="preserve">3, </w:t>
      </w:r>
      <w:r w:rsidR="00310133" w:rsidRPr="008A361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vascular endothelial growth factor</w:t>
      </w:r>
      <w:r w:rsidR="0031013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 xml:space="preserve"> receptor 3.</w:t>
      </w:r>
    </w:p>
    <w:p w:rsidR="00DA4693" w:rsidRPr="008A361C" w:rsidRDefault="00DA4693" w:rsidP="008C0A1A">
      <w:pPr>
        <w:spacing w:line="480" w:lineRule="auto"/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</w:pPr>
    </w:p>
    <w:sectPr w:rsidR="00DA4693" w:rsidRPr="008A3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1A"/>
    <w:rsid w:val="0014145B"/>
    <w:rsid w:val="00310133"/>
    <w:rsid w:val="00355128"/>
    <w:rsid w:val="003C0CC9"/>
    <w:rsid w:val="003C5E17"/>
    <w:rsid w:val="007D50AC"/>
    <w:rsid w:val="008A361C"/>
    <w:rsid w:val="008C0A1A"/>
    <w:rsid w:val="009A4D02"/>
    <w:rsid w:val="00AB6561"/>
    <w:rsid w:val="00AC02FD"/>
    <w:rsid w:val="00DA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A44AA7"/>
  <w15:chartTrackingRefBased/>
  <w15:docId w15:val="{83ADEE02-D331-0640-8AA6-273D0312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0A1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0A1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A46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4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4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60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3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8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9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74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5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43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2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3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76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45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5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5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0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8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9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8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5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3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4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98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31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2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5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5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5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5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9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0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90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30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84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5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7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48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7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0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49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9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3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0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8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6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58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1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11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3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67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0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2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2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4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1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3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3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6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03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4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9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0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8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2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9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3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3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9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1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0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75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9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41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65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4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34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4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7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5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6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6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4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hyperlink" Target="mailto:mateusz_wierzbicki@sgg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519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Wierzbicki</dc:creator>
  <cp:keywords/>
  <dc:description/>
  <cp:lastModifiedBy>Mateusz Wierzbicki</cp:lastModifiedBy>
  <cp:revision>3</cp:revision>
  <dcterms:created xsi:type="dcterms:W3CDTF">2023-02-02T13:20:00Z</dcterms:created>
  <dcterms:modified xsi:type="dcterms:W3CDTF">2023-02-06T16:14:00Z</dcterms:modified>
</cp:coreProperties>
</file>