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spacing w:beforeAutospacing="0" w:afterAutospacing="0" w:line="480" w:lineRule="auto"/>
        <w:jc w:val="center"/>
        <w:rPr>
          <w:rFonts w:ascii="Times New Roman" w:hAnsi="Times New Roman" w:eastAsia="等线"/>
          <w:b/>
          <w:bCs/>
          <w:kern w:val="24"/>
          <w:sz w:val="28"/>
          <w:szCs w:val="28"/>
        </w:rPr>
      </w:pPr>
      <w:bookmarkStart w:id="0" w:name="_Hlk106896952"/>
      <w:r>
        <w:rPr>
          <w:rFonts w:ascii="Times New Roman" w:hAnsi="Times New Roman" w:eastAsia="等线"/>
          <w:b/>
          <w:bCs/>
          <w:kern w:val="24"/>
          <w:sz w:val="32"/>
          <w:szCs w:val="32"/>
        </w:rPr>
        <w:t>A sustained-release nanosystem with MRSA biofilm-dispersing and -eradicating abilities accelerates diabetic ulcer healing</w:t>
      </w:r>
    </w:p>
    <w:bookmarkEnd w:id="0"/>
    <w:p>
      <w:pPr>
        <w:pStyle w:val="7"/>
        <w:widowControl/>
        <w:spacing w:beforeAutospacing="0" w:afterAutospacing="0" w:line="480" w:lineRule="auto"/>
        <w:rPr>
          <w:rFonts w:ascii="Times New Roman" w:hAnsi="Times New Roman" w:eastAsia="等线"/>
          <w:b/>
          <w:bCs/>
          <w:kern w:val="24"/>
          <w:sz w:val="28"/>
          <w:szCs w:val="28"/>
        </w:rPr>
      </w:pPr>
    </w:p>
    <w:p>
      <w:pPr>
        <w:pStyle w:val="17"/>
        <w:adjustRightInd w:val="0"/>
        <w:snapToGrid w:val="0"/>
        <w:spacing w:after="0" w:line="480" w:lineRule="auto"/>
        <w:jc w:val="both"/>
        <w:rPr>
          <w:sz w:val="28"/>
          <w:szCs w:val="28"/>
        </w:rPr>
      </w:pPr>
      <w:bookmarkStart w:id="1" w:name="_Hlk107235101"/>
      <w:r>
        <w:rPr>
          <w:rFonts w:ascii="Times New Roman" w:hAnsi="Times New Roman" w:cs="Times New Roman"/>
          <w:sz w:val="28"/>
          <w:szCs w:val="28"/>
        </w:rPr>
        <w:t xml:space="preserve">Shan He </w:t>
      </w:r>
      <w:r>
        <w:rPr>
          <w:rFonts w:hint="eastAsia" w:ascii="Times New Roman" w:hAnsi="Times New Roman" w:eastAsia="宋体" w:cs="Times New Roman"/>
          <w:sz w:val="28"/>
          <w:szCs w:val="28"/>
          <w:vertAlign w:val="superscript"/>
          <w:lang w:val="en-US" w:eastAsia="zh-CN"/>
        </w:rPr>
        <w:t>1</w:t>
      </w:r>
      <w:r>
        <w:rPr>
          <w:rFonts w:ascii="Times New Roman" w:hAnsi="Times New Roman" w:cs="Times New Roman"/>
          <w:sz w:val="28"/>
          <w:szCs w:val="28"/>
        </w:rPr>
        <w:t xml:space="preserve">†, Huangding Wen </w:t>
      </w:r>
      <w:r>
        <w:rPr>
          <w:rFonts w:hint="eastAsia" w:ascii="Times New Roman" w:hAnsi="Times New Roman" w:eastAsia="宋体" w:cs="Times New Roman"/>
          <w:sz w:val="28"/>
          <w:szCs w:val="28"/>
          <w:vertAlign w:val="superscript"/>
          <w:lang w:val="en-US" w:eastAsia="zh-CN"/>
        </w:rPr>
        <w:t>1</w:t>
      </w:r>
      <w:r>
        <w:rPr>
          <w:rFonts w:ascii="Times New Roman" w:hAnsi="Times New Roman" w:cs="Times New Roman"/>
          <w:sz w:val="28"/>
          <w:szCs w:val="28"/>
        </w:rPr>
        <w:t xml:space="preserve">†, Nannan Yao </w:t>
      </w:r>
      <w:r>
        <w:rPr>
          <w:rFonts w:hint="eastAsia" w:ascii="Times New Roman" w:hAnsi="Times New Roman" w:cs="Times New Roman"/>
          <w:sz w:val="28"/>
          <w:szCs w:val="28"/>
          <w:vertAlign w:val="superscript"/>
          <w:lang w:val="en-US" w:eastAsia="zh-CN"/>
        </w:rPr>
        <w:t>2</w:t>
      </w:r>
      <w:r>
        <w:rPr>
          <w:rFonts w:ascii="Times New Roman" w:hAnsi="Times New Roman" w:cs="Times New Roman"/>
          <w:sz w:val="28"/>
          <w:szCs w:val="28"/>
        </w:rPr>
        <w:t xml:space="preserve">, Lu Wang </w:t>
      </w:r>
      <w:r>
        <w:rPr>
          <w:rFonts w:hint="eastAsia" w:ascii="Times New Roman" w:hAnsi="Times New Roman" w:cs="Times New Roman"/>
          <w:sz w:val="28"/>
          <w:szCs w:val="28"/>
          <w:vertAlign w:val="superscript"/>
          <w:lang w:val="en-US" w:eastAsia="zh-CN"/>
        </w:rPr>
        <w:t>3</w:t>
      </w:r>
      <w:r>
        <w:rPr>
          <w:rFonts w:ascii="Times New Roman" w:hAnsi="Times New Roman" w:cs="Times New Roman"/>
          <w:sz w:val="28"/>
          <w:szCs w:val="28"/>
        </w:rPr>
        <w:t xml:space="preserve">, Junqun Huang </w:t>
      </w:r>
      <w:bookmarkEnd w:id="1"/>
      <w:r>
        <w:rPr>
          <w:rFonts w:hint="eastAsia" w:ascii="Times New Roman" w:hAnsi="Times New Roman" w:cs="Times New Roman"/>
          <w:sz w:val="28"/>
          <w:szCs w:val="28"/>
          <w:vertAlign w:val="superscript"/>
          <w:lang w:val="en-US" w:eastAsia="zh-CN"/>
        </w:rPr>
        <w:t>4</w:t>
      </w:r>
      <w:r>
        <w:rPr>
          <w:rFonts w:ascii="Times New Roman" w:hAnsi="Times New Roman" w:eastAsia="Songti SC" w:cs="Times New Roman"/>
          <w:bCs/>
          <w:kern w:val="0"/>
          <w:sz w:val="28"/>
          <w:szCs w:val="28"/>
        </w:rPr>
        <w:t>,</w:t>
      </w:r>
      <w:r>
        <w:rPr>
          <w:rFonts w:ascii="Times New Roman" w:hAnsi="Times New Roman" w:cs="Times New Roman"/>
          <w:sz w:val="28"/>
          <w:szCs w:val="28"/>
        </w:rPr>
        <w:t xml:space="preserve"> Zhiqing Li </w:t>
      </w:r>
      <w:r>
        <w:rPr>
          <w:rFonts w:hint="eastAsia" w:ascii="Times New Roman" w:hAnsi="Times New Roman" w:eastAsia="宋体" w:cs="Times New Roman"/>
          <w:sz w:val="28"/>
          <w:szCs w:val="28"/>
          <w:vertAlign w:val="superscript"/>
          <w:lang w:val="en-US" w:eastAsia="zh-CN"/>
        </w:rPr>
        <w:t>1</w:t>
      </w:r>
      <w:r>
        <w:rPr>
          <w:rFonts w:ascii="Times New Roman" w:hAnsi="Times New Roman" w:cs="Times New Roman"/>
          <w:sz w:val="28"/>
          <w:szCs w:val="28"/>
          <w:vertAlign w:val="superscript"/>
        </w:rPr>
        <w:t>,</w:t>
      </w:r>
      <w:r>
        <w:rPr>
          <w:rFonts w:ascii="Times New Roman" w:hAnsi="Times New Roman" w:cs="Times New Roman"/>
          <w:sz w:val="28"/>
          <w:szCs w:val="28"/>
        </w:rPr>
        <w:t>*</w:t>
      </w:r>
    </w:p>
    <w:p>
      <w:pPr>
        <w:pStyle w:val="18"/>
        <w:adjustRightInd w:val="0"/>
        <w:snapToGrid w:val="0"/>
        <w:spacing w:after="0" w:line="480" w:lineRule="auto"/>
        <w:jc w:val="left"/>
        <w:rPr>
          <w:rFonts w:ascii="Times New Roman" w:hAnsi="Times New Roman" w:cs="Times New Roman"/>
          <w:sz w:val="18"/>
          <w:szCs w:val="21"/>
          <w:vertAlign w:val="superscript"/>
        </w:rPr>
      </w:pPr>
    </w:p>
    <w:p>
      <w:pPr>
        <w:pStyle w:val="18"/>
        <w:adjustRightInd w:val="0"/>
        <w:snapToGrid w:val="0"/>
        <w:spacing w:after="0" w:line="480" w:lineRule="auto"/>
        <w:jc w:val="left"/>
        <w:rPr>
          <w:rFonts w:ascii="Times New Roman" w:hAnsi="Times New Roman" w:cs="Times New Roman"/>
          <w:sz w:val="18"/>
          <w:szCs w:val="21"/>
        </w:rPr>
      </w:pPr>
      <w:r>
        <w:rPr>
          <w:rFonts w:hint="eastAsia" w:ascii="Times New Roman" w:hAnsi="Times New Roman" w:eastAsia="宋体" w:cs="Times New Roman"/>
          <w:sz w:val="18"/>
          <w:szCs w:val="21"/>
          <w:vertAlign w:val="superscript"/>
          <w:lang w:val="en-US" w:eastAsia="zh-CN"/>
        </w:rPr>
        <w:t>1</w:t>
      </w:r>
      <w:r>
        <w:rPr>
          <w:rFonts w:ascii="Times New Roman" w:hAnsi="Times New Roman" w:cs="Times New Roman"/>
          <w:sz w:val="18"/>
          <w:szCs w:val="21"/>
        </w:rPr>
        <w:t xml:space="preserve"> Department of Burns, Nanfang Hospital, Southern Medical University, Guangzhou 510</w:t>
      </w:r>
      <w:r>
        <w:rPr>
          <w:rFonts w:hint="eastAsia" w:ascii="Times New Roman" w:hAnsi="Times New Roman" w:cs="Times New Roman"/>
          <w:sz w:val="18"/>
          <w:szCs w:val="21"/>
          <w:lang w:val="en-US" w:eastAsia="zh-CN"/>
        </w:rPr>
        <w:t>515</w:t>
      </w:r>
      <w:r>
        <w:rPr>
          <w:rFonts w:ascii="Times New Roman" w:hAnsi="Times New Roman" w:cs="Times New Roman"/>
          <w:sz w:val="18"/>
          <w:szCs w:val="21"/>
        </w:rPr>
        <w:t>, China</w:t>
      </w:r>
    </w:p>
    <w:p>
      <w:pPr>
        <w:widowControl/>
        <w:spacing w:line="480" w:lineRule="auto"/>
        <w:jc w:val="left"/>
        <w:rPr>
          <w:rFonts w:ascii="Times New Roman" w:hAnsi="Times New Roman" w:cs="Times New Roman"/>
          <w:sz w:val="18"/>
          <w:szCs w:val="21"/>
          <w:vertAlign w:val="superscript"/>
        </w:rPr>
      </w:pPr>
      <w:r>
        <w:rPr>
          <w:rFonts w:hint="eastAsia" w:ascii="Times New Roman" w:hAnsi="Times New Roman" w:cs="Times New Roman"/>
          <w:sz w:val="18"/>
          <w:szCs w:val="21"/>
          <w:vertAlign w:val="superscript"/>
          <w:lang w:val="en-US" w:eastAsia="zh-CN"/>
        </w:rPr>
        <w:t>2</w:t>
      </w:r>
      <w:r>
        <w:rPr>
          <w:rFonts w:ascii="Times New Roman" w:hAnsi="Times New Roman" w:cs="Times New Roman"/>
          <w:sz w:val="18"/>
          <w:szCs w:val="21"/>
          <w:vertAlign w:val="superscript"/>
        </w:rPr>
        <w:t xml:space="preserve"> </w:t>
      </w:r>
      <w:r>
        <w:rPr>
          <w:rFonts w:ascii="Times New Roman" w:hAnsi="Times New Roman" w:cs="Times New Roman"/>
          <w:sz w:val="18"/>
          <w:szCs w:val="21"/>
        </w:rPr>
        <w:t>Department of Neurology, Cangzhou Central Hospital, Cangzhou 061000, China</w:t>
      </w:r>
    </w:p>
    <w:p>
      <w:pPr>
        <w:widowControl/>
        <w:spacing w:line="480" w:lineRule="auto"/>
        <w:jc w:val="left"/>
        <w:rPr>
          <w:rFonts w:ascii="Times New Roman" w:hAnsi="Times New Roman" w:cs="Times New Roman"/>
          <w:sz w:val="18"/>
          <w:szCs w:val="21"/>
        </w:rPr>
      </w:pPr>
      <w:r>
        <w:rPr>
          <w:rFonts w:hint="eastAsia" w:ascii="Times New Roman" w:hAnsi="Times New Roman" w:cs="Times New Roman"/>
          <w:sz w:val="18"/>
          <w:szCs w:val="21"/>
          <w:vertAlign w:val="superscript"/>
          <w:lang w:val="en-US" w:eastAsia="zh-CN"/>
        </w:rPr>
        <w:t>3</w:t>
      </w:r>
      <w:r>
        <w:rPr>
          <w:rFonts w:ascii="Times New Roman" w:hAnsi="Times New Roman" w:cs="Times New Roman"/>
          <w:sz w:val="18"/>
          <w:szCs w:val="21"/>
          <w:vertAlign w:val="superscript"/>
        </w:rPr>
        <w:t xml:space="preserve"> </w:t>
      </w:r>
      <w:r>
        <w:rPr>
          <w:rFonts w:ascii="Times New Roman" w:hAnsi="Times New Roman" w:cs="Times New Roman"/>
          <w:sz w:val="18"/>
          <w:szCs w:val="21"/>
        </w:rPr>
        <w:t>Department of Neurology, Hebei General Hospital, Shijiazhuang 050000, China</w:t>
      </w:r>
    </w:p>
    <w:p>
      <w:pPr>
        <w:widowControl/>
        <w:spacing w:line="480" w:lineRule="auto"/>
        <w:jc w:val="left"/>
        <w:rPr>
          <w:rFonts w:ascii="Times New Roman" w:hAnsi="Times New Roman" w:cs="Times New Roman"/>
          <w:sz w:val="18"/>
          <w:szCs w:val="21"/>
        </w:rPr>
      </w:pPr>
      <w:r>
        <w:rPr>
          <w:rFonts w:hint="eastAsia" w:ascii="Times New Roman" w:hAnsi="Times New Roman" w:cs="Times New Roman"/>
          <w:sz w:val="18"/>
          <w:szCs w:val="21"/>
          <w:vertAlign w:val="superscript"/>
          <w:lang w:val="en-US" w:eastAsia="zh-CN"/>
        </w:rPr>
        <w:t xml:space="preserve">4 </w:t>
      </w:r>
      <w:r>
        <w:rPr>
          <w:rFonts w:ascii="Times New Roman" w:hAnsi="Times New Roman" w:cs="Times New Roman"/>
          <w:sz w:val="18"/>
          <w:szCs w:val="21"/>
          <w:lang w:eastAsia="zh-CN"/>
        </w:rPr>
        <w:t>Department of Anaesthesia, The Seventh Affiliated Hospital, Southern Medical University, Foshan 528000, China</w:t>
      </w:r>
    </w:p>
    <w:p>
      <w:pPr>
        <w:pStyle w:val="18"/>
        <w:adjustRightInd w:val="0"/>
        <w:snapToGrid w:val="0"/>
        <w:spacing w:after="0" w:line="480" w:lineRule="auto"/>
        <w:jc w:val="left"/>
        <w:rPr>
          <w:rFonts w:ascii="Times New Roman" w:hAnsi="Times New Roman" w:cs="Times New Roman"/>
          <w:sz w:val="18"/>
          <w:szCs w:val="21"/>
        </w:rPr>
      </w:pPr>
    </w:p>
    <w:p>
      <w:pPr>
        <w:pStyle w:val="18"/>
        <w:adjustRightInd w:val="0"/>
        <w:snapToGrid w:val="0"/>
        <w:spacing w:after="0" w:line="480" w:lineRule="auto"/>
        <w:jc w:val="left"/>
        <w:rPr>
          <w:rFonts w:ascii="Times New Roman" w:hAnsi="Times New Roman" w:cs="Times New Roman"/>
          <w:sz w:val="18"/>
          <w:szCs w:val="21"/>
        </w:rPr>
      </w:pPr>
      <w:r>
        <w:rPr>
          <w:rFonts w:ascii="Times New Roman" w:hAnsi="Times New Roman" w:cs="Times New Roman"/>
          <w:sz w:val="18"/>
          <w:szCs w:val="21"/>
        </w:rPr>
        <w:t>†S.H.</w:t>
      </w:r>
      <w:r>
        <w:rPr>
          <w:rFonts w:hint="eastAsia" w:ascii="Times New Roman" w:hAnsi="Times New Roman" w:cs="Times New Roman"/>
          <w:sz w:val="18"/>
          <w:szCs w:val="21"/>
          <w:lang w:val="en-US" w:eastAsia="zh-CN"/>
        </w:rPr>
        <w:t xml:space="preserve"> </w:t>
      </w:r>
      <w:r>
        <w:rPr>
          <w:rFonts w:ascii="Times New Roman" w:hAnsi="Times New Roman" w:cs="Times New Roman"/>
          <w:sz w:val="18"/>
          <w:szCs w:val="21"/>
        </w:rPr>
        <w:t>and H.W</w:t>
      </w:r>
      <w:r>
        <w:rPr>
          <w:rFonts w:hint="eastAsia" w:ascii="Times New Roman" w:hAnsi="Times New Roman" w:cs="Times New Roman"/>
          <w:sz w:val="18"/>
          <w:szCs w:val="21"/>
          <w:lang w:val="en-US" w:eastAsia="zh-CN"/>
        </w:rPr>
        <w:t>.</w:t>
      </w:r>
      <w:r>
        <w:rPr>
          <w:rFonts w:ascii="Times New Roman" w:hAnsi="Times New Roman" w:cs="Times New Roman"/>
          <w:sz w:val="18"/>
          <w:szCs w:val="21"/>
        </w:rPr>
        <w:t xml:space="preserve"> contributed equally to this article.</w:t>
      </w:r>
    </w:p>
    <w:p>
      <w:pPr>
        <w:pStyle w:val="7"/>
        <w:widowControl/>
        <w:spacing w:beforeAutospacing="0" w:afterAutospacing="0" w:line="480" w:lineRule="auto"/>
        <w:rPr>
          <w:rFonts w:ascii="Times New Roman" w:hAnsi="Times New Roman" w:eastAsia="等线"/>
          <w:b/>
          <w:bCs/>
          <w:kern w:val="24"/>
          <w:sz w:val="21"/>
          <w:szCs w:val="21"/>
        </w:rPr>
      </w:pPr>
    </w:p>
    <w:p>
      <w:pPr>
        <w:pStyle w:val="18"/>
        <w:adjustRightInd w:val="0"/>
        <w:snapToGrid w:val="0"/>
        <w:spacing w:after="0" w:line="480" w:lineRule="auto"/>
        <w:jc w:val="left"/>
        <w:rPr>
          <w:rFonts w:ascii="Times New Roman" w:hAnsi="Times New Roman" w:cs="Times New Roman"/>
          <w:b/>
        </w:rPr>
      </w:pPr>
      <w:r>
        <w:rPr>
          <w:rFonts w:ascii="Times New Roman" w:hAnsi="Times New Roman" w:cs="Times New Roman"/>
          <w:b/>
        </w:rPr>
        <w:t xml:space="preserve">* Correspondence: </w:t>
      </w:r>
    </w:p>
    <w:p>
      <w:pPr>
        <w:pStyle w:val="18"/>
        <w:adjustRightInd w:val="0"/>
        <w:snapToGrid w:val="0"/>
        <w:spacing w:after="0" w:line="480" w:lineRule="auto"/>
        <w:jc w:val="left"/>
        <w:rPr>
          <w:rFonts w:ascii="Times New Roman" w:hAnsi="Times New Roman" w:cs="Times New Roman"/>
        </w:rPr>
      </w:pPr>
      <w:bookmarkStart w:id="2" w:name="_Hlk107235146"/>
      <w:r>
        <w:rPr>
          <w:rFonts w:ascii="Times New Roman" w:hAnsi="Times New Roman" w:cs="Times New Roman"/>
        </w:rPr>
        <w:t>Zhiqing Li, M.D.</w:t>
      </w:r>
      <w:r>
        <w:rPr>
          <w:rFonts w:hint="eastAsia" w:ascii="Times New Roman" w:hAnsi="Times New Roman" w:cs="Times New Roman"/>
          <w:lang w:val="en-US" w:eastAsia="zh-CN"/>
        </w:rPr>
        <w:t>,</w:t>
      </w:r>
      <w:r>
        <w:rPr>
          <w:rFonts w:ascii="Times New Roman" w:hAnsi="Times New Roman" w:cs="Times New Roman"/>
        </w:rPr>
        <w:t xml:space="preserve"> Department of Burns, Nanfang Hospital, Southern Medical University, Guangzhou 510515, China; </w:t>
      </w:r>
      <w:r>
        <w:rPr>
          <w:rFonts w:ascii="Times New Roman" w:hAnsi="Times New Roman" w:cs="Times New Roman"/>
          <w:b/>
        </w:rPr>
        <w:t>Email</w:t>
      </w:r>
      <w:r>
        <w:rPr>
          <w:rFonts w:ascii="Times New Roman" w:hAnsi="Times New Roman" w:cs="Times New Roman"/>
        </w:rPr>
        <w:t>: lizq@smu.edu.cn</w:t>
      </w:r>
    </w:p>
    <w:bookmarkEnd w:id="2"/>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pStyle w:val="7"/>
        <w:widowControl/>
        <w:spacing w:beforeAutospacing="0" w:afterAutospacing="0"/>
        <w:jc w:val="center"/>
        <w:rPr>
          <w:rFonts w:ascii="Times New Roman" w:hAnsi="Times New Roman" w:eastAsia="宋体"/>
          <w:b/>
          <w:bCs/>
          <w:kern w:val="2"/>
          <w:sz w:val="22"/>
          <w:szCs w:val="22"/>
        </w:rPr>
      </w:pPr>
      <w:r>
        <w:rPr>
          <w:rFonts w:ascii="Times New Roman" w:hAnsi="Times New Roman" w:eastAsia="等线"/>
          <w:kern w:val="24"/>
          <w:sz w:val="19"/>
          <w:szCs w:val="19"/>
        </w:rPr>
        <w:t xml:space="preserve">     </w:t>
      </w:r>
      <w:r>
        <w:rPr>
          <w:rFonts w:ascii="Times New Roman" w:hAnsi="Times New Roman" w:eastAsia="等线"/>
          <w:kern w:val="24"/>
          <w:sz w:val="19"/>
          <w:szCs w:val="19"/>
          <w:lang w:eastAsia="en-US"/>
        </w:rPr>
        <w:drawing>
          <wp:inline distT="0" distB="0" distL="114300" distR="114300">
            <wp:extent cx="3989705" cy="2531745"/>
            <wp:effectExtent l="0" t="0" r="10795" b="8255"/>
            <wp:docPr id="42" name="图片 42" descr="FIG.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FIG.S9"/>
                    <pic:cNvPicPr>
                      <a:picLocks noChangeAspect="1"/>
                    </pic:cNvPicPr>
                  </pic:nvPicPr>
                  <pic:blipFill>
                    <a:blip r:embed="rId6"/>
                    <a:srcRect t="5033" r="43672" b="31430"/>
                    <a:stretch>
                      <a:fillRect/>
                    </a:stretch>
                  </pic:blipFill>
                  <pic:spPr>
                    <a:xfrm>
                      <a:off x="0" y="0"/>
                      <a:ext cx="3989705" cy="2531745"/>
                    </a:xfrm>
                    <a:prstGeom prst="rect">
                      <a:avLst/>
                    </a:prstGeom>
                  </pic:spPr>
                </pic:pic>
              </a:graphicData>
            </a:graphic>
          </wp:inline>
        </w:drawing>
      </w:r>
    </w:p>
    <w:p>
      <w:pPr>
        <w:pStyle w:val="7"/>
        <w:widowControl/>
        <w:spacing w:beforeAutospacing="0" w:afterAutospacing="0" w:line="360" w:lineRule="auto"/>
        <w:jc w:val="both"/>
        <w:rPr>
          <w:rFonts w:ascii="Times New Roman" w:hAnsi="Times New Roman" w:eastAsia="宋体"/>
          <w:b/>
          <w:bCs/>
          <w:kern w:val="2"/>
          <w:sz w:val="19"/>
          <w:szCs w:val="19"/>
        </w:rPr>
      </w:pPr>
    </w:p>
    <w:p>
      <w:pPr>
        <w:pStyle w:val="7"/>
        <w:widowControl/>
        <w:spacing w:beforeAutospacing="0" w:afterAutospacing="0" w:line="360" w:lineRule="auto"/>
        <w:jc w:val="both"/>
        <w:rPr>
          <w:rFonts w:ascii="Times New Roman" w:hAnsi="Times New Roman"/>
          <w:sz w:val="19"/>
          <w:szCs w:val="19"/>
        </w:rPr>
      </w:pPr>
      <w:r>
        <w:rPr>
          <w:rFonts w:ascii="Times New Roman" w:hAnsi="Times New Roman" w:eastAsia="宋体"/>
          <w:b/>
          <w:bCs/>
          <w:kern w:val="2"/>
          <w:sz w:val="19"/>
          <w:szCs w:val="19"/>
        </w:rPr>
        <w:t>Fig. S</w:t>
      </w:r>
      <w:r>
        <w:rPr>
          <w:rFonts w:hint="eastAsia" w:ascii="Times New Roman" w:hAnsi="Times New Roman" w:eastAsia="宋体"/>
          <w:b/>
          <w:bCs/>
          <w:kern w:val="2"/>
          <w:sz w:val="19"/>
          <w:szCs w:val="19"/>
          <w:lang w:val="en-US" w:eastAsia="zh-CN"/>
        </w:rPr>
        <w:t>1</w:t>
      </w:r>
      <w:r>
        <w:rPr>
          <w:rFonts w:ascii="Times New Roman" w:hAnsi="Times New Roman" w:eastAsia="宋体"/>
          <w:b/>
          <w:bCs/>
          <w:kern w:val="2"/>
          <w:sz w:val="19"/>
          <w:szCs w:val="19"/>
        </w:rPr>
        <w:t xml:space="preserve">. </w:t>
      </w:r>
      <w:r>
        <w:rPr>
          <w:rFonts w:ascii="Times New Roman" w:hAnsi="Times New Roman" w:eastAsia="等线"/>
          <w:kern w:val="24"/>
          <w:sz w:val="19"/>
          <w:szCs w:val="19"/>
        </w:rPr>
        <w:t>MRSA infection wound were treated with increasing concentrations of PGF</w:t>
      </w:r>
      <w:r>
        <w:rPr>
          <w:rFonts w:ascii="Times New Roman" w:hAnsi="Times New Roman" w:eastAsia="等线"/>
          <w:kern w:val="24"/>
          <w:sz w:val="19"/>
          <w:szCs w:val="19"/>
          <w:vertAlign w:val="subscript"/>
        </w:rPr>
        <w:t>2a</w:t>
      </w:r>
      <w:r>
        <w:rPr>
          <w:rFonts w:ascii="Times New Roman" w:hAnsi="Times New Roman" w:eastAsia="等线"/>
          <w:kern w:val="24"/>
          <w:sz w:val="19"/>
          <w:szCs w:val="19"/>
        </w:rPr>
        <w:t xml:space="preserve"> (10</w:t>
      </w:r>
      <w:r>
        <w:rPr>
          <w:rFonts w:ascii="Times New Roman" w:hAnsi="Times New Roman" w:eastAsia="等线"/>
          <w:kern w:val="24"/>
          <w:sz w:val="19"/>
          <w:szCs w:val="19"/>
          <w:vertAlign w:val="superscript"/>
        </w:rPr>
        <w:t>-4</w:t>
      </w:r>
      <w:r>
        <w:rPr>
          <w:rFonts w:ascii="Times New Roman" w:hAnsi="Times New Roman" w:eastAsia="等线"/>
          <w:kern w:val="24"/>
          <w:sz w:val="19"/>
          <w:szCs w:val="19"/>
        </w:rPr>
        <w:t xml:space="preserve"> – 10</w:t>
      </w:r>
      <w:r>
        <w:rPr>
          <w:rFonts w:ascii="Times New Roman" w:hAnsi="Times New Roman" w:eastAsia="等线"/>
          <w:kern w:val="24"/>
          <w:sz w:val="19"/>
          <w:szCs w:val="19"/>
          <w:vertAlign w:val="superscript"/>
        </w:rPr>
        <w:t>-7</w:t>
      </w:r>
      <w:r>
        <w:rPr>
          <w:rFonts w:ascii="Times New Roman" w:hAnsi="Times New Roman" w:eastAsia="等线"/>
          <w:kern w:val="24"/>
          <w:sz w:val="19"/>
          <w:szCs w:val="19"/>
        </w:rPr>
        <w:t xml:space="preserve"> M) for 6 h. The wound exudates were collected and analyzed by </w:t>
      </w:r>
      <w:r>
        <w:rPr>
          <w:rFonts w:ascii="Times New Roman" w:hAnsi="Times New Roman" w:eastAsia="宋体"/>
          <w:kern w:val="24"/>
          <w:sz w:val="19"/>
          <w:szCs w:val="19"/>
        </w:rPr>
        <w:t xml:space="preserve">specific </w:t>
      </w:r>
      <w:r>
        <w:rPr>
          <w:rFonts w:ascii="Times New Roman" w:hAnsi="Times New Roman" w:eastAsia="等线"/>
          <w:kern w:val="24"/>
          <w:sz w:val="19"/>
          <w:szCs w:val="19"/>
        </w:rPr>
        <w:t xml:space="preserve">enzyme-linked immunosorbent assays (ELISA; R&amp;D Systems, Inc., Minneapolis, MN, USA) according to the manufacturer’s instructions to determine concentration of </w:t>
      </w:r>
      <w:r>
        <w:rPr>
          <w:rFonts w:ascii="Times New Roman" w:hAnsi="Times New Roman" w:eastAsia="等线"/>
          <w:b/>
          <w:bCs/>
          <w:kern w:val="24"/>
          <w:sz w:val="19"/>
          <w:szCs w:val="19"/>
        </w:rPr>
        <w:t>(A)</w:t>
      </w:r>
      <w:r>
        <w:rPr>
          <w:rFonts w:ascii="Times New Roman" w:hAnsi="Times New Roman" w:eastAsia="等线"/>
          <w:kern w:val="24"/>
          <w:sz w:val="19"/>
          <w:szCs w:val="19"/>
        </w:rPr>
        <w:t xml:space="preserve"> interleukin (IL)-1β and </w:t>
      </w:r>
      <w:r>
        <w:rPr>
          <w:rFonts w:ascii="Times New Roman" w:hAnsi="Times New Roman" w:eastAsia="等线"/>
          <w:b/>
          <w:bCs/>
          <w:kern w:val="24"/>
          <w:sz w:val="19"/>
          <w:szCs w:val="19"/>
        </w:rPr>
        <w:t>(B)</w:t>
      </w:r>
      <w:r>
        <w:rPr>
          <w:rFonts w:ascii="Times New Roman" w:hAnsi="Times New Roman" w:eastAsia="等线"/>
          <w:kern w:val="24"/>
          <w:sz w:val="19"/>
          <w:szCs w:val="19"/>
        </w:rPr>
        <w:t xml:space="preserve"> IL-6. Values are presented as mean±SEM. n = 3 (from three mice), *P &lt; 0.05. </w:t>
      </w:r>
      <w:r>
        <w:rPr>
          <w:rFonts w:ascii="Times New Roman" w:hAnsi="Times New Roman" w:eastAsia="等线"/>
          <w:b/>
          <w:bCs/>
          <w:kern w:val="24"/>
          <w:sz w:val="19"/>
          <w:szCs w:val="19"/>
        </w:rPr>
        <w:t xml:space="preserve">(C) </w:t>
      </w:r>
      <w:r>
        <w:rPr>
          <w:rFonts w:ascii="Times New Roman" w:hAnsi="Times New Roman" w:eastAsia="等线"/>
          <w:kern w:val="24"/>
          <w:sz w:val="19"/>
          <w:szCs w:val="19"/>
        </w:rPr>
        <w:t>Cell viability of HUVEC and HaCaT.</w:t>
      </w:r>
      <w:r>
        <w:rPr>
          <w:rFonts w:ascii="Times New Roman" w:hAnsi="Times New Roman" w:eastAsia="宋体"/>
          <w:kern w:val="2"/>
          <w:sz w:val="19"/>
          <w:szCs w:val="19"/>
        </w:rPr>
        <w:t xml:space="preserve"> </w:t>
      </w:r>
      <w:r>
        <w:rPr>
          <w:rFonts w:ascii="Times New Roman" w:hAnsi="Times New Roman" w:eastAsia="等线"/>
          <w:kern w:val="24"/>
          <w:sz w:val="19"/>
          <w:szCs w:val="19"/>
        </w:rPr>
        <w:t>The cytotoxicity of PGF</w:t>
      </w:r>
      <w:r>
        <w:rPr>
          <w:rFonts w:ascii="Times New Roman" w:hAnsi="Times New Roman" w:eastAsia="等线"/>
          <w:kern w:val="24"/>
          <w:sz w:val="19"/>
          <w:szCs w:val="19"/>
          <w:vertAlign w:val="subscript"/>
        </w:rPr>
        <w:t>2a</w:t>
      </w:r>
      <w:r>
        <w:rPr>
          <w:rFonts w:ascii="Times New Roman" w:hAnsi="Times New Roman" w:eastAsia="等线"/>
          <w:kern w:val="24"/>
          <w:sz w:val="19"/>
          <w:szCs w:val="19"/>
        </w:rPr>
        <w:t xml:space="preserve"> was assessed using a CCK-8 kit. Specifically, HUVEC and HaCaT were seeded in a 96-well plate at a density of 2.0 × 10</w:t>
      </w:r>
      <w:r>
        <w:rPr>
          <w:rFonts w:ascii="Times New Roman" w:hAnsi="Times New Roman" w:eastAsia="等线"/>
          <w:kern w:val="24"/>
          <w:sz w:val="19"/>
          <w:szCs w:val="19"/>
          <w:vertAlign w:val="superscript"/>
        </w:rPr>
        <w:t>3</w:t>
      </w:r>
      <w:r>
        <w:rPr>
          <w:rFonts w:ascii="Times New Roman" w:hAnsi="Times New Roman" w:eastAsia="等线"/>
          <w:kern w:val="24"/>
          <w:sz w:val="19"/>
          <w:szCs w:val="19"/>
        </w:rPr>
        <w:t xml:space="preserve"> cells per well and cultured for 24 h, then incubated with various concentration. After incubation for 24 h, the cells were washed twice with PBS and 100 μL of CCK-8 solution was added in each well for 2 h co-cultivation. Finally, Cell viability was measured by a microplate reader (Bio-Rad; Model 680, CA, USA) in absorbance mode at 450nm to obtain the optical density. n=6-8, *P &lt; 0.05, n.s.=no significance.    </w:t>
      </w: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pStyle w:val="7"/>
        <w:widowControl/>
        <w:spacing w:beforeAutospacing="0" w:afterAutospacing="0" w:line="360" w:lineRule="auto"/>
        <w:jc w:val="center"/>
        <w:rPr>
          <w:rFonts w:ascii="Times New Roman" w:hAnsi="Times New Roman"/>
          <w:sz w:val="19"/>
          <w:szCs w:val="19"/>
        </w:rPr>
      </w:pPr>
      <w:r>
        <w:drawing>
          <wp:inline distT="0" distB="0" distL="114300" distR="114300">
            <wp:extent cx="4700270" cy="2804160"/>
            <wp:effectExtent l="0" t="0" r="1143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4700270" cy="2804160"/>
                    </a:xfrm>
                    <a:prstGeom prst="rect">
                      <a:avLst/>
                    </a:prstGeom>
                    <a:noFill/>
                    <a:ln>
                      <a:noFill/>
                    </a:ln>
                  </pic:spPr>
                </pic:pic>
              </a:graphicData>
            </a:graphic>
          </wp:inline>
        </w:drawing>
      </w:r>
    </w:p>
    <w:p>
      <w:pPr>
        <w:pStyle w:val="7"/>
        <w:widowControl/>
        <w:spacing w:beforeAutospacing="0" w:afterAutospacing="0" w:line="360" w:lineRule="auto"/>
        <w:jc w:val="both"/>
        <w:rPr>
          <w:rFonts w:ascii="Times New Roman" w:hAnsi="Times New Roman" w:eastAsia="宋体"/>
          <w:b/>
          <w:bCs/>
          <w:kern w:val="2"/>
          <w:sz w:val="19"/>
          <w:szCs w:val="19"/>
        </w:rPr>
      </w:pPr>
    </w:p>
    <w:p>
      <w:pPr>
        <w:pStyle w:val="7"/>
        <w:widowControl/>
        <w:spacing w:beforeAutospacing="0" w:afterAutospacing="0" w:line="360" w:lineRule="auto"/>
        <w:jc w:val="both"/>
        <w:rPr>
          <w:sz w:val="19"/>
          <w:szCs w:val="19"/>
        </w:rPr>
      </w:pPr>
      <w:r>
        <w:rPr>
          <w:rFonts w:ascii="Times New Roman" w:hAnsi="Times New Roman" w:eastAsia="宋体"/>
          <w:b/>
          <w:bCs/>
          <w:kern w:val="2"/>
          <w:sz w:val="19"/>
          <w:szCs w:val="19"/>
        </w:rPr>
        <w:t>Fig. S</w:t>
      </w:r>
      <w:r>
        <w:rPr>
          <w:rFonts w:hint="eastAsia" w:ascii="Times New Roman" w:hAnsi="Times New Roman" w:eastAsia="宋体"/>
          <w:b/>
          <w:bCs/>
          <w:kern w:val="2"/>
          <w:sz w:val="19"/>
          <w:szCs w:val="19"/>
          <w:lang w:val="en-US" w:eastAsia="zh-CN"/>
        </w:rPr>
        <w:t>2</w:t>
      </w:r>
      <w:r>
        <w:rPr>
          <w:rFonts w:ascii="Times New Roman" w:hAnsi="Times New Roman" w:eastAsia="宋体"/>
          <w:b/>
          <w:bCs/>
          <w:kern w:val="2"/>
          <w:sz w:val="19"/>
          <w:szCs w:val="19"/>
        </w:rPr>
        <w:t xml:space="preserve">. </w:t>
      </w:r>
      <w:r>
        <w:rPr>
          <w:rFonts w:ascii="Times New Roman" w:hAnsi="Times New Roman" w:eastAsia="宋体"/>
          <w:kern w:val="2"/>
          <w:sz w:val="19"/>
          <w:szCs w:val="19"/>
        </w:rPr>
        <w:t>PCA score plot of mass spectrometry data of each group and quality control samples. PC1 represents the first principal component, PC2 represents the second principal component, PC3 represents the third principal component and percentage represents the principal component interprets the data set. Each point in the figure represents a sample. The same group of samples using the same color.</w:t>
      </w: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jc w:val="center"/>
        <w:rPr>
          <w:rFonts w:ascii="Times New Roman" w:hAnsi="Times New Roman" w:cs="Times New Roman"/>
        </w:rPr>
      </w:pPr>
      <w:r>
        <w:drawing>
          <wp:inline distT="0" distB="0" distL="114300" distR="114300">
            <wp:extent cx="5654675" cy="21983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rcRect l="7719"/>
                    <a:stretch>
                      <a:fillRect/>
                    </a:stretch>
                  </pic:blipFill>
                  <pic:spPr>
                    <a:xfrm>
                      <a:off x="0" y="0"/>
                      <a:ext cx="5654675" cy="2198370"/>
                    </a:xfrm>
                    <a:prstGeom prst="rect">
                      <a:avLst/>
                    </a:prstGeom>
                    <a:noFill/>
                    <a:ln>
                      <a:noFill/>
                    </a:ln>
                  </pic:spPr>
                </pic:pic>
              </a:graphicData>
            </a:graphic>
          </wp:inline>
        </w:drawing>
      </w:r>
    </w:p>
    <w:p>
      <w:pPr>
        <w:pStyle w:val="7"/>
        <w:widowControl/>
        <w:spacing w:beforeAutospacing="0" w:afterAutospacing="0" w:line="360" w:lineRule="auto"/>
        <w:rPr>
          <w:rFonts w:ascii="Times New Roman" w:hAnsi="Times New Roman" w:eastAsia="宋体"/>
          <w:b/>
          <w:bCs/>
          <w:kern w:val="2"/>
          <w:sz w:val="19"/>
          <w:szCs w:val="19"/>
        </w:rPr>
      </w:pPr>
    </w:p>
    <w:p>
      <w:pPr>
        <w:pStyle w:val="7"/>
        <w:widowControl/>
        <w:spacing w:beforeAutospacing="0" w:afterAutospacing="0" w:line="360" w:lineRule="auto"/>
        <w:rPr>
          <w:sz w:val="19"/>
          <w:szCs w:val="19"/>
        </w:rPr>
      </w:pPr>
      <w:r>
        <w:rPr>
          <w:rFonts w:ascii="Times New Roman" w:hAnsi="Times New Roman" w:eastAsia="宋体"/>
          <w:b/>
          <w:bCs/>
          <w:kern w:val="2"/>
          <w:sz w:val="19"/>
          <w:szCs w:val="19"/>
        </w:rPr>
        <w:t>Fig. S</w:t>
      </w:r>
      <w:r>
        <w:rPr>
          <w:rFonts w:hint="eastAsia" w:ascii="Times New Roman" w:hAnsi="Times New Roman" w:eastAsia="宋体"/>
          <w:b/>
          <w:bCs/>
          <w:kern w:val="2"/>
          <w:sz w:val="19"/>
          <w:szCs w:val="19"/>
          <w:lang w:val="en-US" w:eastAsia="zh-CN"/>
        </w:rPr>
        <w:t>3</w:t>
      </w:r>
      <w:r>
        <w:rPr>
          <w:rFonts w:ascii="Times New Roman" w:hAnsi="Times New Roman" w:eastAsia="宋体"/>
          <w:b/>
          <w:bCs/>
          <w:kern w:val="2"/>
          <w:sz w:val="19"/>
          <w:szCs w:val="19"/>
        </w:rPr>
        <w:t xml:space="preserve">. </w:t>
      </w:r>
      <w:r>
        <w:rPr>
          <w:rFonts w:ascii="Times New Roman" w:hAnsi="Times New Roman" w:eastAsia="宋体"/>
          <w:kern w:val="2"/>
          <w:sz w:val="19"/>
          <w:szCs w:val="19"/>
        </w:rPr>
        <w:t xml:space="preserve">Circular plot of the metabolite class composition. Each color represents a metabolite category, and the color block area indicates the proportion of that category. </w:t>
      </w:r>
    </w:p>
    <w:p>
      <w:pPr>
        <w:spacing w:line="360" w:lineRule="auto"/>
        <w:rPr>
          <w:rFonts w:ascii="Times New Roman" w:hAnsi="Times New Roman" w:cs="Times New Roman"/>
        </w:rPr>
      </w:pPr>
    </w:p>
    <w:p>
      <w:pPr>
        <w:spacing w:line="360" w:lineRule="auto"/>
      </w:pPr>
    </w:p>
    <w:p>
      <w:pPr>
        <w:spacing w:line="360" w:lineRule="auto"/>
      </w:pPr>
    </w:p>
    <w:p>
      <w:pPr>
        <w:spacing w:line="360" w:lineRule="auto"/>
        <w:jc w:val="center"/>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5640705" cy="4380230"/>
            <wp:effectExtent l="0" t="0" r="0" b="0"/>
            <wp:docPr id="2" name="图片 2" descr="neg_Sham_vs_TTO_TopFcBarChart_Comp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neg_Sham_vs_TTO_TopFcBarChart_Compounds"/>
                    <pic:cNvPicPr>
                      <a:picLocks noChangeAspect="1"/>
                    </pic:cNvPicPr>
                  </pic:nvPicPr>
                  <pic:blipFill>
                    <a:blip r:embed="rId9"/>
                    <a:srcRect l="1131" t="344" r="355" b="845"/>
                    <a:stretch>
                      <a:fillRect/>
                    </a:stretch>
                  </pic:blipFill>
                  <pic:spPr>
                    <a:xfrm>
                      <a:off x="0" y="0"/>
                      <a:ext cx="5640705" cy="4380230"/>
                    </a:xfrm>
                    <a:prstGeom prst="rect">
                      <a:avLst/>
                    </a:prstGeom>
                  </pic:spPr>
                </pic:pic>
              </a:graphicData>
            </a:graphic>
          </wp:inline>
        </w:drawing>
      </w:r>
    </w:p>
    <w:p>
      <w:pPr>
        <w:pStyle w:val="7"/>
        <w:widowControl/>
        <w:spacing w:beforeAutospacing="0" w:afterAutospacing="0" w:line="360" w:lineRule="auto"/>
        <w:jc w:val="both"/>
        <w:rPr>
          <w:rFonts w:ascii="Times New Roman" w:hAnsi="Times New Roman" w:eastAsia="宋体"/>
          <w:b/>
          <w:bCs/>
          <w:kern w:val="2"/>
          <w:sz w:val="19"/>
          <w:szCs w:val="19"/>
        </w:rPr>
      </w:pPr>
    </w:p>
    <w:p>
      <w:pPr>
        <w:pStyle w:val="7"/>
        <w:widowControl/>
        <w:spacing w:beforeAutospacing="0" w:afterAutospacing="0" w:line="360" w:lineRule="auto"/>
        <w:jc w:val="both"/>
        <w:rPr>
          <w:sz w:val="19"/>
          <w:szCs w:val="19"/>
        </w:rPr>
      </w:pPr>
      <w:r>
        <w:rPr>
          <w:rFonts w:ascii="Times New Roman" w:hAnsi="Times New Roman" w:eastAsia="宋体"/>
          <w:b/>
          <w:bCs/>
          <w:kern w:val="2"/>
          <w:sz w:val="19"/>
          <w:szCs w:val="19"/>
        </w:rPr>
        <w:t>Fig. S</w:t>
      </w:r>
      <w:r>
        <w:rPr>
          <w:rFonts w:hint="eastAsia" w:ascii="Times New Roman" w:hAnsi="Times New Roman" w:eastAsia="宋体"/>
          <w:b/>
          <w:bCs/>
          <w:kern w:val="2"/>
          <w:sz w:val="19"/>
          <w:szCs w:val="19"/>
          <w:lang w:val="en-US" w:eastAsia="zh-CN"/>
        </w:rPr>
        <w:t>4</w:t>
      </w:r>
      <w:r>
        <w:rPr>
          <w:rFonts w:ascii="Times New Roman" w:hAnsi="Times New Roman" w:eastAsia="宋体"/>
          <w:b/>
          <w:bCs/>
          <w:kern w:val="2"/>
          <w:sz w:val="19"/>
          <w:szCs w:val="19"/>
        </w:rPr>
        <w:t xml:space="preserve">. </w:t>
      </w:r>
      <w:r>
        <w:rPr>
          <w:rFonts w:ascii="Times New Roman" w:hAnsi="Times New Roman" w:eastAsia="宋体"/>
          <w:kern w:val="2"/>
          <w:sz w:val="19"/>
          <w:szCs w:val="19"/>
        </w:rPr>
        <w:t>Differential multiple-fold bars. The abscissa is the log</w:t>
      </w:r>
      <w:r>
        <w:rPr>
          <w:rFonts w:ascii="Times New Roman" w:hAnsi="Times New Roman" w:eastAsia="宋体"/>
          <w:kern w:val="2"/>
          <w:sz w:val="19"/>
          <w:szCs w:val="19"/>
          <w:vertAlign w:val="subscript"/>
        </w:rPr>
        <w:t>2</w:t>
      </w:r>
      <w:r>
        <w:rPr>
          <w:rFonts w:ascii="Times New Roman" w:hAnsi="Times New Roman" w:eastAsia="宋体"/>
          <w:kern w:val="2"/>
          <w:sz w:val="19"/>
          <w:szCs w:val="19"/>
        </w:rPr>
        <w:t xml:space="preserve">FC of the differential metabolite, that is, the difference multiple of the differential metabolite takes 2 as the base of the logarithmic value, and the ordinate takes as the differential metabolite. Red represents upregulated metabolite content, and green represents downregulated metabolite content. </w:t>
      </w:r>
    </w:p>
    <w:p>
      <w:pPr>
        <w:spacing w:line="360" w:lineRule="auto"/>
        <w:rPr>
          <w:rFonts w:ascii="Times New Roman" w:hAnsi="Times New Roman" w:cs="Times New Roman"/>
          <w:sz w:val="19"/>
          <w:szCs w:val="19"/>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jc w:val="center"/>
        <w:rPr>
          <w:rFonts w:hint="eastAsia" w:eastAsia="宋体"/>
          <w:lang w:eastAsia="zh-CN"/>
        </w:rPr>
      </w:pPr>
      <w:r>
        <w:rPr>
          <w:rFonts w:hint="eastAsia" w:eastAsia="宋体"/>
          <w:lang w:eastAsia="zh-CN"/>
        </w:rPr>
        <w:drawing>
          <wp:inline distT="0" distB="0" distL="114300" distR="114300">
            <wp:extent cx="5666740" cy="4769485"/>
            <wp:effectExtent l="0" t="0" r="0" b="0"/>
            <wp:docPr id="5" name="图片 5" descr="neg_Sham_vs_TTO_OPLS-DA_score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neg_Sham_vs_TTO_OPLS-DA_scorePlot"/>
                    <pic:cNvPicPr>
                      <a:picLocks noChangeAspect="1"/>
                    </pic:cNvPicPr>
                  </pic:nvPicPr>
                  <pic:blipFill>
                    <a:blip r:embed="rId10"/>
                    <a:srcRect r="987"/>
                    <a:stretch>
                      <a:fillRect/>
                    </a:stretch>
                  </pic:blipFill>
                  <pic:spPr>
                    <a:xfrm>
                      <a:off x="0" y="0"/>
                      <a:ext cx="5666740" cy="4769485"/>
                    </a:xfrm>
                    <a:prstGeom prst="rect">
                      <a:avLst/>
                    </a:prstGeom>
                  </pic:spPr>
                </pic:pic>
              </a:graphicData>
            </a:graphic>
          </wp:inline>
        </w:drawing>
      </w:r>
    </w:p>
    <w:p>
      <w:pPr>
        <w:pStyle w:val="7"/>
        <w:widowControl/>
        <w:spacing w:beforeAutospacing="0" w:afterAutospacing="0" w:line="360" w:lineRule="auto"/>
        <w:jc w:val="both"/>
        <w:rPr>
          <w:rFonts w:ascii="Times New Roman" w:hAnsi="Times New Roman" w:eastAsia="宋体"/>
          <w:b/>
          <w:bCs/>
          <w:kern w:val="2"/>
          <w:sz w:val="19"/>
          <w:szCs w:val="19"/>
        </w:rPr>
      </w:pPr>
    </w:p>
    <w:p>
      <w:pPr>
        <w:pStyle w:val="7"/>
        <w:widowControl/>
        <w:spacing w:beforeAutospacing="0" w:afterAutospacing="0" w:line="360" w:lineRule="auto"/>
        <w:jc w:val="both"/>
        <w:rPr>
          <w:sz w:val="19"/>
          <w:szCs w:val="19"/>
        </w:rPr>
      </w:pPr>
      <w:r>
        <w:rPr>
          <w:rFonts w:ascii="Times New Roman" w:hAnsi="Times New Roman" w:eastAsia="宋体"/>
          <w:b/>
          <w:bCs/>
          <w:kern w:val="2"/>
          <w:sz w:val="19"/>
          <w:szCs w:val="19"/>
        </w:rPr>
        <w:t>Fig. S</w:t>
      </w:r>
      <w:r>
        <w:rPr>
          <w:rFonts w:hint="eastAsia" w:ascii="Times New Roman" w:hAnsi="Times New Roman" w:eastAsia="宋体"/>
          <w:b/>
          <w:bCs/>
          <w:kern w:val="2"/>
          <w:sz w:val="19"/>
          <w:szCs w:val="19"/>
          <w:lang w:val="en-US" w:eastAsia="zh-CN"/>
        </w:rPr>
        <w:t>5</w:t>
      </w:r>
      <w:r>
        <w:rPr>
          <w:rFonts w:ascii="Times New Roman" w:hAnsi="Times New Roman" w:eastAsia="宋体"/>
          <w:b/>
          <w:bCs/>
          <w:kern w:val="2"/>
          <w:sz w:val="19"/>
          <w:szCs w:val="19"/>
        </w:rPr>
        <w:t xml:space="preserve">. </w:t>
      </w:r>
      <w:r>
        <w:rPr>
          <w:rFonts w:ascii="Times New Roman" w:hAnsi="Times New Roman" w:eastAsia="宋体"/>
          <w:kern w:val="2"/>
          <w:sz w:val="19"/>
          <w:szCs w:val="19"/>
        </w:rPr>
        <w:t>OPLS-DA score plot. The abscissa represents the score of the predicted component, the ordinate direction shows the gap between the groups, the ordinate represents the orthogonal component, the ordinate direction shows the gap within the group, and the percentage indicates the interpretation rate of the component to the data set.</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jc w:val="center"/>
      </w:pPr>
      <w:r>
        <w:rPr>
          <w:lang w:eastAsia="en-US"/>
        </w:rPr>
        <w:drawing>
          <wp:inline distT="0" distB="0" distL="114300" distR="114300">
            <wp:extent cx="5461000" cy="4351020"/>
            <wp:effectExtent l="0" t="0" r="0" b="0"/>
            <wp:docPr id="38" name="图片 38" descr="FIG.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FIG.S5"/>
                    <pic:cNvPicPr>
                      <a:picLocks noChangeAspect="1"/>
                    </pic:cNvPicPr>
                  </pic:nvPicPr>
                  <pic:blipFill>
                    <a:blip r:embed="rId11"/>
                    <a:srcRect l="16142" t="3607" r="24728" b="12623"/>
                    <a:stretch>
                      <a:fillRect/>
                    </a:stretch>
                  </pic:blipFill>
                  <pic:spPr>
                    <a:xfrm>
                      <a:off x="0" y="0"/>
                      <a:ext cx="5461000" cy="4351020"/>
                    </a:xfrm>
                    <a:prstGeom prst="rect">
                      <a:avLst/>
                    </a:prstGeom>
                  </pic:spPr>
                </pic:pic>
              </a:graphicData>
            </a:graphic>
          </wp:inline>
        </w:drawing>
      </w:r>
      <w:bookmarkStart w:id="3" w:name="_GoBack"/>
      <w:bookmarkEnd w:id="3"/>
    </w:p>
    <w:p>
      <w:pPr>
        <w:pStyle w:val="7"/>
        <w:widowControl/>
        <w:spacing w:beforeAutospacing="0" w:afterAutospacing="0" w:line="360" w:lineRule="auto"/>
        <w:jc w:val="both"/>
        <w:rPr>
          <w:rFonts w:ascii="Times New Roman" w:hAnsi="Times New Roman" w:eastAsia="宋体"/>
          <w:b/>
          <w:bCs/>
          <w:kern w:val="2"/>
          <w:sz w:val="19"/>
          <w:szCs w:val="19"/>
        </w:rPr>
      </w:pPr>
    </w:p>
    <w:p>
      <w:pPr>
        <w:pStyle w:val="7"/>
        <w:widowControl/>
        <w:spacing w:beforeAutospacing="0" w:afterAutospacing="0" w:line="360" w:lineRule="auto"/>
        <w:jc w:val="both"/>
        <w:rPr>
          <w:sz w:val="19"/>
          <w:szCs w:val="19"/>
        </w:rPr>
      </w:pPr>
      <w:r>
        <w:rPr>
          <w:rFonts w:ascii="Times New Roman" w:hAnsi="Times New Roman" w:eastAsia="宋体"/>
          <w:b/>
          <w:bCs/>
          <w:kern w:val="2"/>
          <w:sz w:val="19"/>
          <w:szCs w:val="19"/>
        </w:rPr>
        <w:t>Fig. S</w:t>
      </w:r>
      <w:r>
        <w:rPr>
          <w:rFonts w:hint="eastAsia" w:ascii="Times New Roman" w:hAnsi="Times New Roman" w:eastAsia="宋体"/>
          <w:b/>
          <w:bCs/>
          <w:kern w:val="2"/>
          <w:sz w:val="19"/>
          <w:szCs w:val="19"/>
          <w:lang w:val="en-US" w:eastAsia="zh-CN"/>
        </w:rPr>
        <w:t>6</w:t>
      </w:r>
      <w:r>
        <w:rPr>
          <w:rFonts w:ascii="Times New Roman" w:hAnsi="Times New Roman" w:eastAsia="宋体"/>
          <w:b/>
          <w:bCs/>
          <w:kern w:val="2"/>
          <w:sz w:val="19"/>
          <w:szCs w:val="19"/>
        </w:rPr>
        <w:t xml:space="preserve">. </w:t>
      </w:r>
      <w:r>
        <w:rPr>
          <w:rFonts w:ascii="Times New Roman" w:hAnsi="Times New Roman" w:eastAsia="宋体"/>
          <w:kern w:val="2"/>
          <w:sz w:val="19"/>
          <w:szCs w:val="19"/>
        </w:rPr>
        <w:t xml:space="preserve">Plot of the differential metabolite VIP scores. Abscissa represents VIP values, vertical coordinate indicates differential metabolites, red represents upregulated differential metabolites, green represents downregulated differential metabolites, and yellow represents metabolites that differ significantly in the three or more differential comparison groups. </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jc w:val="center"/>
      </w:pPr>
      <w:r>
        <w:rPr>
          <w:rFonts w:ascii="Times New Roman" w:hAnsi="Times New Roman" w:eastAsia="宋体"/>
          <w:b/>
          <w:bCs/>
          <w:kern w:val="2"/>
          <w:sz w:val="19"/>
          <w:szCs w:val="19"/>
          <w:lang w:eastAsia="en-US"/>
        </w:rPr>
        <w:drawing>
          <wp:inline distT="0" distB="0" distL="114300" distR="114300">
            <wp:extent cx="5306695" cy="3813810"/>
            <wp:effectExtent l="0" t="0" r="1905" b="8890"/>
            <wp:docPr id="40" name="图片 40" descr="FIG.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FIG.S6"/>
                    <pic:cNvPicPr>
                      <a:picLocks noChangeAspect="1"/>
                    </pic:cNvPicPr>
                  </pic:nvPicPr>
                  <pic:blipFill>
                    <a:blip r:embed="rId12"/>
                    <a:srcRect l="25432" r="17657" b="27308"/>
                    <a:stretch>
                      <a:fillRect/>
                    </a:stretch>
                  </pic:blipFill>
                  <pic:spPr>
                    <a:xfrm>
                      <a:off x="0" y="0"/>
                      <a:ext cx="5306695" cy="3813810"/>
                    </a:xfrm>
                    <a:prstGeom prst="rect">
                      <a:avLst/>
                    </a:prstGeom>
                  </pic:spPr>
                </pic:pic>
              </a:graphicData>
            </a:graphic>
          </wp:inline>
        </w:drawing>
      </w:r>
    </w:p>
    <w:p>
      <w:pPr>
        <w:pStyle w:val="7"/>
        <w:widowControl/>
        <w:spacing w:beforeAutospacing="0" w:afterAutospacing="0" w:line="360" w:lineRule="auto"/>
        <w:jc w:val="both"/>
        <w:rPr>
          <w:rFonts w:ascii="Times New Roman" w:hAnsi="Times New Roman" w:eastAsia="宋体"/>
          <w:b/>
          <w:bCs/>
          <w:kern w:val="2"/>
          <w:sz w:val="19"/>
          <w:szCs w:val="19"/>
        </w:rPr>
      </w:pPr>
    </w:p>
    <w:p>
      <w:pPr>
        <w:pStyle w:val="7"/>
        <w:widowControl/>
        <w:spacing w:beforeAutospacing="0" w:afterAutospacing="0" w:line="360" w:lineRule="auto"/>
        <w:jc w:val="both"/>
        <w:rPr>
          <w:sz w:val="19"/>
          <w:szCs w:val="19"/>
        </w:rPr>
      </w:pPr>
      <w:r>
        <w:rPr>
          <w:rFonts w:ascii="Times New Roman" w:hAnsi="Times New Roman" w:eastAsia="宋体"/>
          <w:b/>
          <w:bCs/>
          <w:kern w:val="2"/>
          <w:sz w:val="19"/>
          <w:szCs w:val="19"/>
        </w:rPr>
        <w:t>Fig. S</w:t>
      </w:r>
      <w:r>
        <w:rPr>
          <w:rFonts w:hint="eastAsia" w:ascii="Times New Roman" w:hAnsi="Times New Roman" w:eastAsia="宋体"/>
          <w:b/>
          <w:bCs/>
          <w:kern w:val="2"/>
          <w:sz w:val="19"/>
          <w:szCs w:val="19"/>
          <w:lang w:val="en-US" w:eastAsia="zh-CN"/>
        </w:rPr>
        <w:t>7</w:t>
      </w:r>
      <w:r>
        <w:rPr>
          <w:rFonts w:ascii="Times New Roman" w:hAnsi="Times New Roman" w:eastAsia="宋体"/>
          <w:b/>
          <w:bCs/>
          <w:kern w:val="2"/>
          <w:sz w:val="19"/>
          <w:szCs w:val="19"/>
        </w:rPr>
        <w:t xml:space="preserve">. </w:t>
      </w:r>
      <w:r>
        <w:rPr>
          <w:rFonts w:ascii="Times New Roman" w:hAnsi="Times New Roman" w:eastAsia="宋体"/>
          <w:kern w:val="2"/>
          <w:sz w:val="19"/>
          <w:szCs w:val="19"/>
        </w:rPr>
        <w:t>Volcano plots of the differential metabolites. Each point in the volcano diagram represents a metabolite, the green point represents the downregulated differential metabolites, the red point represents the increased differential metabolites, the gray represents the detected but insignificant metabolites; the abscissa represents the log value (log</w:t>
      </w:r>
      <w:r>
        <w:rPr>
          <w:rFonts w:ascii="Times New Roman" w:hAnsi="Times New Roman" w:eastAsia="宋体"/>
          <w:kern w:val="2"/>
          <w:sz w:val="19"/>
          <w:szCs w:val="19"/>
          <w:vertAlign w:val="subscript"/>
        </w:rPr>
        <w:t>2</w:t>
      </w:r>
      <w:r>
        <w:rPr>
          <w:rFonts w:ascii="Times New Roman" w:hAnsi="Times New Roman" w:eastAsia="宋体"/>
          <w:kern w:val="2"/>
          <w:sz w:val="19"/>
          <w:szCs w:val="19"/>
        </w:rPr>
        <w:t xml:space="preserve">FC) of a metabolite in the two samples, the greater the abscissa, the greater the relative content difference of the substance between the two samples. Under the </w:t>
      </w:r>
      <w:r>
        <w:rPr>
          <w:rFonts w:ascii="Times New Roman" w:hAnsi="Times New Roman" w:eastAsia="宋体"/>
          <w:i/>
          <w:iCs/>
          <w:kern w:val="2"/>
          <w:sz w:val="19"/>
          <w:szCs w:val="19"/>
        </w:rPr>
        <w:t xml:space="preserve">VIP + FC + P-value </w:t>
      </w:r>
      <w:r>
        <w:rPr>
          <w:rFonts w:ascii="Times New Roman" w:hAnsi="Times New Roman" w:eastAsia="宋体"/>
          <w:kern w:val="2"/>
          <w:sz w:val="19"/>
          <w:szCs w:val="19"/>
        </w:rPr>
        <w:t>triple screening condition: the ordinate represents the difference significance level (- log</w:t>
      </w:r>
      <w:r>
        <w:rPr>
          <w:rFonts w:ascii="Times New Roman" w:hAnsi="Times New Roman" w:eastAsia="宋体"/>
          <w:kern w:val="2"/>
          <w:sz w:val="19"/>
          <w:szCs w:val="19"/>
          <w:vertAlign w:val="subscript"/>
        </w:rPr>
        <w:t>10</w:t>
      </w:r>
      <w:r>
        <w:rPr>
          <w:rFonts w:ascii="Times New Roman" w:hAnsi="Times New Roman" w:eastAsia="宋体"/>
          <w:kern w:val="2"/>
          <w:sz w:val="19"/>
          <w:szCs w:val="19"/>
        </w:rPr>
        <w:t>P-value), and the size of the dot represents the VIP value.</w:t>
      </w:r>
    </w:p>
    <w:p>
      <w:pPr>
        <w:spacing w:line="360" w:lineRule="auto"/>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pPr>
    </w:p>
    <w:p>
      <w:pPr>
        <w:spacing w:line="360" w:lineRule="auto"/>
      </w:pPr>
    </w:p>
    <w:p>
      <w:pPr>
        <w:spacing w:line="360" w:lineRule="auto"/>
      </w:pPr>
    </w:p>
    <w:p>
      <w:pPr>
        <w:spacing w:line="360" w:lineRule="auto"/>
      </w:pPr>
      <w:r>
        <w:rPr>
          <w:lang w:eastAsia="en-US"/>
        </w:rPr>
        <mc:AlternateContent>
          <mc:Choice Requires="wps">
            <w:drawing>
              <wp:anchor distT="0" distB="0" distL="114300" distR="114300" simplePos="0" relativeHeight="251659264" behindDoc="0" locked="0" layoutInCell="1" allowOverlap="1">
                <wp:simplePos x="0" y="0"/>
                <wp:positionH relativeFrom="column">
                  <wp:posOffset>3556635</wp:posOffset>
                </wp:positionH>
                <wp:positionV relativeFrom="paragraph">
                  <wp:posOffset>-460375</wp:posOffset>
                </wp:positionV>
                <wp:extent cx="2524125" cy="2781300"/>
                <wp:effectExtent l="0" t="0" r="0" b="0"/>
                <wp:wrapNone/>
                <wp:docPr id="25" name="文本框 25"/>
                <wp:cNvGraphicFramePr/>
                <a:graphic xmlns:a="http://schemas.openxmlformats.org/drawingml/2006/main">
                  <a:graphicData uri="http://schemas.microsoft.com/office/word/2010/wordprocessingShape">
                    <wps:wsp>
                      <wps:cNvSpPr txBox="1"/>
                      <wps:spPr>
                        <a:xfrm>
                          <a:off x="4776470" y="1172845"/>
                          <a:ext cx="2524125" cy="2781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eastAsia="en-US"/>
                              </w:rPr>
                              <w:drawing>
                                <wp:inline distT="0" distB="0" distL="114300" distR="114300">
                                  <wp:extent cx="1767205" cy="2420620"/>
                                  <wp:effectExtent l="0" t="0" r="635" b="2540"/>
                                  <wp:docPr id="601307006" name="图片 78" descr="neg_Sham_vs_TTO_cpdCorrCir_Comp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07006" name="图片 78" descr="neg_Sham_vs_TTO_cpdCorrCir_Compounds"/>
                                          <pic:cNvPicPr>
                                            <a:picLocks noChangeAspect="1"/>
                                          </pic:cNvPicPr>
                                        </pic:nvPicPr>
                                        <pic:blipFill>
                                          <a:blip r:embed="rId13"/>
                                          <a:srcRect l="78070" t="33859" b="36113"/>
                                          <a:stretch>
                                            <a:fillRect/>
                                          </a:stretch>
                                        </pic:blipFill>
                                        <pic:spPr>
                                          <a:xfrm>
                                            <a:off x="0" y="0"/>
                                            <a:ext cx="1767205" cy="2420620"/>
                                          </a:xfrm>
                                          <a:prstGeom prst="rect">
                                            <a:avLst/>
                                          </a:prstGeom>
                                        </pic:spPr>
                                      </pic:pic>
                                    </a:graphicData>
                                  </a:graphic>
                                </wp:inline>
                              </w:drawing>
                            </w:r>
                          </w:p>
                          <w:p/>
                        </w:txbxContent>
                      </wps:txbx>
                      <wps:bodyPr rot="0" spcFirstLastPara="0" vertOverflow="overflow" horzOverflow="overflow" vert="horz" wrap="square" numCol="1" spcCol="0" rtlCol="0" fromWordArt="0" anchor="t" anchorCtr="0" forceAA="0" compatLnSpc="1"/>
                    </wps:wsp>
                  </a:graphicData>
                </a:graphic>
              </wp:anchor>
            </w:drawing>
          </mc:Choice>
          <mc:Fallback>
            <w:pict>
              <v:shape id="_x0000_s1026" o:spid="_x0000_s1026" o:spt="202" type="#_x0000_t202" style="position:absolute;left:0pt;margin-left:280.05pt;margin-top:-36.25pt;height:219pt;width:198.75pt;z-index:251659264;mso-width-relative:page;mso-height-relative:page;" filled="f" stroked="f" coordsize="21600,21600" o:gfxdata="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UPR48NwAAAALAQAADwAAAAAAAAABACAAAAAiAAAAZHJzL2Rvd25yZXYueG1sUEsBAhQA&#10;FAAAAAgAh07iQP8LfT0nAgAAJwQAAA4AAAAAAAAAAQAgAAAAKwEAAGRycy9lMm9Eb2MueG1sUEsF&#10;BgAAAAAGAAYAWQEAAMQFAAAAAA==&#10;">
                <v:fill on="f" focussize="0,0"/>
                <v:stroke on="f" weight="0.5pt"/>
                <v:imagedata o:title=""/>
                <o:lock v:ext="edit" aspectratio="f"/>
                <v:textbox>
                  <w:txbxContent>
                    <w:p>
                      <w:r>
                        <w:rPr>
                          <w:rFonts w:hint="eastAsia"/>
                          <w:lang w:eastAsia="en-US"/>
                        </w:rPr>
                        <w:drawing>
                          <wp:inline distT="0" distB="0" distL="114300" distR="114300">
                            <wp:extent cx="1767205" cy="2420620"/>
                            <wp:effectExtent l="0" t="0" r="635" b="2540"/>
                            <wp:docPr id="601307006" name="图片 78" descr="neg_Sham_vs_TTO_cpdCorrCir_Comp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07006" name="图片 78" descr="neg_Sham_vs_TTO_cpdCorrCir_Compounds"/>
                                    <pic:cNvPicPr>
                                      <a:picLocks noChangeAspect="1"/>
                                    </pic:cNvPicPr>
                                  </pic:nvPicPr>
                                  <pic:blipFill>
                                    <a:blip r:embed="rId13"/>
                                    <a:srcRect l="78070" t="33859" b="36113"/>
                                    <a:stretch>
                                      <a:fillRect/>
                                    </a:stretch>
                                  </pic:blipFill>
                                  <pic:spPr>
                                    <a:xfrm>
                                      <a:off x="0" y="0"/>
                                      <a:ext cx="1767205" cy="2420620"/>
                                    </a:xfrm>
                                    <a:prstGeom prst="rect">
                                      <a:avLst/>
                                    </a:prstGeom>
                                  </pic:spPr>
                                </pic:pic>
                              </a:graphicData>
                            </a:graphic>
                          </wp:inline>
                        </w:drawing>
                      </w:r>
                    </w:p>
                    <w:p/>
                  </w:txbxContent>
                </v:textbox>
              </v:shape>
            </w:pict>
          </mc:Fallback>
        </mc:AlternateContent>
      </w:r>
      <w:r>
        <w:rPr>
          <w:lang w:eastAsia="en-US"/>
        </w:rPr>
        <w:drawing>
          <wp:inline distT="0" distB="0" distL="114300" distR="114300">
            <wp:extent cx="4841875" cy="5485130"/>
            <wp:effectExtent l="0" t="0" r="4445" b="1270"/>
            <wp:docPr id="77" name="图片 77" descr="neg_Sham_vs_TTO_cpdCorrCir_Comp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neg_Sham_vs_TTO_cpdCorrCir_Compounds"/>
                    <pic:cNvPicPr>
                      <a:picLocks noChangeAspect="1"/>
                    </pic:cNvPicPr>
                  </pic:nvPicPr>
                  <pic:blipFill>
                    <a:blip r:embed="rId13"/>
                    <a:srcRect l="13087" t="8605" r="23685" b="19776"/>
                    <a:stretch>
                      <a:fillRect/>
                    </a:stretch>
                  </pic:blipFill>
                  <pic:spPr>
                    <a:xfrm>
                      <a:off x="0" y="0"/>
                      <a:ext cx="4841875" cy="5485130"/>
                    </a:xfrm>
                    <a:prstGeom prst="rect">
                      <a:avLst/>
                    </a:prstGeom>
                  </pic:spPr>
                </pic:pic>
              </a:graphicData>
            </a:graphic>
          </wp:inline>
        </w:drawing>
      </w:r>
    </w:p>
    <w:p>
      <w:pPr>
        <w:pStyle w:val="7"/>
        <w:widowControl/>
        <w:spacing w:beforeAutospacing="0" w:afterAutospacing="0" w:line="360" w:lineRule="auto"/>
        <w:jc w:val="both"/>
        <w:rPr>
          <w:rFonts w:ascii="Times New Roman" w:hAnsi="Times New Roman" w:eastAsia="宋体"/>
          <w:b/>
          <w:bCs/>
          <w:kern w:val="2"/>
          <w:sz w:val="22"/>
          <w:szCs w:val="22"/>
        </w:rPr>
      </w:pPr>
    </w:p>
    <w:p>
      <w:pPr>
        <w:pStyle w:val="7"/>
        <w:widowControl/>
        <w:spacing w:beforeAutospacing="0" w:afterAutospacing="0" w:line="360" w:lineRule="auto"/>
        <w:jc w:val="both"/>
        <w:rPr>
          <w:rFonts w:ascii="Times New Roman" w:hAnsi="Times New Roman" w:cs="Times New Roman"/>
          <w:sz w:val="36"/>
          <w:szCs w:val="21"/>
        </w:rPr>
      </w:pPr>
      <w:r>
        <w:rPr>
          <w:rFonts w:ascii="Times New Roman" w:hAnsi="Times New Roman" w:eastAsia="宋体"/>
          <w:b/>
          <w:bCs/>
          <w:kern w:val="2"/>
          <w:sz w:val="19"/>
          <w:szCs w:val="19"/>
        </w:rPr>
        <w:t>Fig. S</w:t>
      </w:r>
      <w:r>
        <w:rPr>
          <w:rFonts w:hint="eastAsia" w:ascii="Times New Roman" w:hAnsi="Times New Roman" w:eastAsia="宋体"/>
          <w:b/>
          <w:bCs/>
          <w:kern w:val="2"/>
          <w:sz w:val="19"/>
          <w:szCs w:val="19"/>
          <w:lang w:val="en-US" w:eastAsia="zh-CN"/>
        </w:rPr>
        <w:t>8</w:t>
      </w:r>
      <w:r>
        <w:rPr>
          <w:rFonts w:ascii="Times New Roman" w:hAnsi="Times New Roman" w:eastAsia="宋体"/>
          <w:b/>
          <w:bCs/>
          <w:kern w:val="2"/>
          <w:sz w:val="19"/>
          <w:szCs w:val="19"/>
        </w:rPr>
        <w:t xml:space="preserve">. </w:t>
      </w:r>
      <w:r>
        <w:rPr>
          <w:rFonts w:ascii="Times New Roman" w:hAnsi="Times New Roman" w:eastAsia="宋体"/>
          <w:kern w:val="2"/>
          <w:sz w:val="19"/>
          <w:szCs w:val="19"/>
        </w:rPr>
        <w:t>Differential metabolite and string diagram. The outermost layer in the figure is the differential metabolite name, the point size represents the log</w:t>
      </w:r>
      <w:r>
        <w:rPr>
          <w:rFonts w:ascii="Times New Roman" w:hAnsi="Times New Roman" w:eastAsia="宋体"/>
          <w:kern w:val="2"/>
          <w:sz w:val="19"/>
          <w:szCs w:val="19"/>
          <w:vertAlign w:val="subscript"/>
        </w:rPr>
        <w:t>2</w:t>
      </w:r>
      <w:r>
        <w:rPr>
          <w:rFonts w:ascii="Times New Roman" w:hAnsi="Times New Roman" w:eastAsia="宋体"/>
          <w:kern w:val="2"/>
          <w:sz w:val="19"/>
          <w:szCs w:val="19"/>
        </w:rPr>
        <w:t>FC value of the corresponding different metabolites; different colors represent different categories (Class); the connection represents the size of the Pearson correlation coefficient between the corresponding different metabolites, the red line represents positive correlation, and the blue line represents negative correlation</w:t>
      </w:r>
      <w:r>
        <w:rPr>
          <w:rFonts w:hint="eastAsia" w:ascii="Times New Roman" w:hAnsi="Times New Roman" w:eastAsia="宋体"/>
          <w:kern w:val="2"/>
          <w:sz w:val="19"/>
          <w:szCs w:val="19"/>
          <w:lang w:val="en-US" w:eastAsia="zh-CN"/>
        </w:rPr>
        <w:t>.</w:t>
      </w:r>
    </w:p>
    <w:p>
      <w:pPr>
        <w:spacing w:line="360" w:lineRule="auto"/>
        <w:rPr>
          <w:rFonts w:ascii="Times New Roman" w:hAnsi="Times New Roman" w:cs="Times New Roman"/>
          <w:sz w:val="36"/>
          <w:szCs w:val="21"/>
        </w:rPr>
      </w:pPr>
      <w:r>
        <w:rPr>
          <w:rFonts w:ascii="Times New Roman" w:hAnsi="Times New Roman" w:eastAsia="宋体" w:cs="Times New Roman"/>
          <w:sz w:val="18"/>
          <w:szCs w:val="18"/>
          <w:lang w:eastAsia="en-US"/>
        </w:rPr>
        <w:drawing>
          <wp:inline distT="0" distB="0" distL="114300" distR="114300">
            <wp:extent cx="5765165" cy="3871595"/>
            <wp:effectExtent l="0" t="0" r="635" b="1905"/>
            <wp:docPr id="41" name="图片 41" descr="FIG.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FIG.S8"/>
                    <pic:cNvPicPr>
                      <a:picLocks noChangeAspect="1"/>
                    </pic:cNvPicPr>
                  </pic:nvPicPr>
                  <pic:blipFill>
                    <a:blip r:embed="rId14"/>
                    <a:srcRect l="15195" r="14599" b="16187"/>
                    <a:stretch>
                      <a:fillRect/>
                    </a:stretch>
                  </pic:blipFill>
                  <pic:spPr>
                    <a:xfrm>
                      <a:off x="0" y="0"/>
                      <a:ext cx="5765165" cy="3871595"/>
                    </a:xfrm>
                    <a:prstGeom prst="rect">
                      <a:avLst/>
                    </a:prstGeom>
                  </pic:spPr>
                </pic:pic>
              </a:graphicData>
            </a:graphic>
          </wp:inline>
        </w:drawing>
      </w:r>
    </w:p>
    <w:p>
      <w:pPr>
        <w:pStyle w:val="7"/>
        <w:widowControl/>
        <w:spacing w:beforeAutospacing="0" w:afterAutospacing="0" w:line="360" w:lineRule="auto"/>
        <w:jc w:val="both"/>
        <w:rPr>
          <w:rFonts w:ascii="Times New Roman" w:hAnsi="Times New Roman" w:eastAsia="宋体"/>
          <w:b/>
          <w:bCs/>
          <w:kern w:val="2"/>
          <w:sz w:val="19"/>
          <w:szCs w:val="19"/>
        </w:rPr>
      </w:pPr>
    </w:p>
    <w:p>
      <w:pPr>
        <w:pStyle w:val="7"/>
        <w:widowControl/>
        <w:spacing w:beforeAutospacing="0" w:afterAutospacing="0" w:line="360" w:lineRule="auto"/>
        <w:jc w:val="both"/>
        <w:rPr>
          <w:rFonts w:ascii="Times New Roman" w:hAnsi="Times New Roman" w:eastAsia="宋体"/>
          <w:kern w:val="2"/>
          <w:sz w:val="19"/>
          <w:szCs w:val="19"/>
        </w:rPr>
      </w:pPr>
      <w:r>
        <w:rPr>
          <w:rFonts w:ascii="Times New Roman" w:hAnsi="Times New Roman" w:eastAsia="宋体"/>
          <w:b/>
          <w:bCs/>
          <w:kern w:val="2"/>
          <w:sz w:val="19"/>
          <w:szCs w:val="19"/>
        </w:rPr>
        <w:t>Fig. S</w:t>
      </w:r>
      <w:r>
        <w:rPr>
          <w:rFonts w:hint="eastAsia" w:ascii="Times New Roman" w:hAnsi="Times New Roman" w:eastAsia="宋体"/>
          <w:b/>
          <w:bCs/>
          <w:kern w:val="2"/>
          <w:sz w:val="19"/>
          <w:szCs w:val="19"/>
          <w:lang w:val="en-US" w:eastAsia="zh-CN"/>
        </w:rPr>
        <w:t>9</w:t>
      </w:r>
      <w:r>
        <w:rPr>
          <w:rFonts w:ascii="Times New Roman" w:hAnsi="Times New Roman" w:eastAsia="宋体"/>
          <w:b/>
          <w:bCs/>
          <w:kern w:val="2"/>
          <w:sz w:val="19"/>
          <w:szCs w:val="19"/>
        </w:rPr>
        <w:t xml:space="preserve">. </w:t>
      </w:r>
      <w:r>
        <w:rPr>
          <w:rFonts w:ascii="Times New Roman" w:hAnsi="Times New Roman" w:eastAsia="宋体"/>
          <w:kern w:val="2"/>
          <w:sz w:val="19"/>
          <w:szCs w:val="19"/>
        </w:rPr>
        <w:t>Network plot of differential metabolite correlations. The dots in the figure represent significant difference metabolites. The size of the dots is related to the connectivity degree, the larger the connection, the larger the dots, that is, the more points (neighbors) connected with it. Pink lines represent a positive correlation, and blue lines represent a negative corelation. The thickness of the line represents the magnitude of the absolute value of the correlation coefficient, the thicker the line, the greater the correlation.</w:t>
      </w:r>
    </w:p>
    <w:p>
      <w:pPr>
        <w:pStyle w:val="7"/>
        <w:widowControl/>
        <w:spacing w:beforeAutospacing="0" w:afterAutospacing="0" w:line="360" w:lineRule="auto"/>
        <w:jc w:val="both"/>
        <w:rPr>
          <w:rFonts w:ascii="Times New Roman" w:hAnsi="Times New Roman" w:eastAsia="宋体"/>
          <w:kern w:val="2"/>
          <w:sz w:val="18"/>
          <w:szCs w:val="18"/>
        </w:rPr>
      </w:pPr>
    </w:p>
    <w:p>
      <w:pPr>
        <w:pStyle w:val="7"/>
        <w:widowControl/>
        <w:spacing w:beforeAutospacing="0" w:afterAutospacing="0"/>
        <w:jc w:val="both"/>
        <w:rPr>
          <w:rFonts w:ascii="Times New Roman" w:hAnsi="Times New Roman" w:eastAsia="宋体"/>
          <w:kern w:val="2"/>
          <w:sz w:val="18"/>
          <w:szCs w:val="18"/>
        </w:rPr>
      </w:pPr>
    </w:p>
    <w:p>
      <w:pPr>
        <w:pStyle w:val="7"/>
        <w:widowControl/>
        <w:spacing w:beforeAutospacing="0" w:afterAutospacing="0"/>
        <w:jc w:val="both"/>
        <w:rPr>
          <w:rFonts w:ascii="Times New Roman" w:hAnsi="Times New Roman" w:eastAsia="宋体"/>
          <w:kern w:val="2"/>
          <w:sz w:val="18"/>
          <w:szCs w:val="18"/>
        </w:rPr>
      </w:pPr>
    </w:p>
    <w:p>
      <w:pPr>
        <w:pStyle w:val="7"/>
        <w:widowControl/>
        <w:spacing w:beforeAutospacing="0" w:afterAutospacing="0"/>
        <w:jc w:val="both"/>
        <w:rPr>
          <w:rFonts w:ascii="Times New Roman" w:hAnsi="Times New Roman" w:eastAsia="宋体"/>
          <w:kern w:val="2"/>
          <w:sz w:val="18"/>
          <w:szCs w:val="18"/>
        </w:rPr>
      </w:pPr>
    </w:p>
    <w:p>
      <w:pPr>
        <w:pStyle w:val="7"/>
        <w:widowControl/>
        <w:spacing w:beforeAutospacing="0" w:afterAutospacing="0"/>
        <w:jc w:val="both"/>
        <w:rPr>
          <w:rFonts w:ascii="Times New Roman" w:hAnsi="Times New Roman" w:eastAsia="宋体"/>
          <w:kern w:val="2"/>
          <w:sz w:val="18"/>
          <w:szCs w:val="18"/>
        </w:rPr>
      </w:pPr>
    </w:p>
    <w:p>
      <w:pPr>
        <w:rPr>
          <w:rFonts w:hint="default"/>
          <w:lang w:val="en-US" w:eastAsia="zh-CN"/>
        </w:rPr>
      </w:pPr>
    </w:p>
    <w:p>
      <w:pPr>
        <w:pStyle w:val="7"/>
        <w:widowControl/>
        <w:spacing w:beforeAutospacing="0" w:afterAutospacing="0"/>
        <w:jc w:val="both"/>
        <w:rPr>
          <w:rFonts w:ascii="Times New Roman" w:hAnsi="Times New Roman" w:eastAsia="宋体"/>
          <w:kern w:val="2"/>
          <w:sz w:val="18"/>
          <w:szCs w:val="18"/>
        </w:rPr>
      </w:pPr>
    </w:p>
    <w:p>
      <w:pPr>
        <w:pStyle w:val="7"/>
        <w:widowControl/>
        <w:spacing w:beforeAutospacing="0" w:afterAutospacing="0"/>
        <w:jc w:val="both"/>
        <w:rPr>
          <w:rFonts w:ascii="Times New Roman" w:hAnsi="Times New Roman" w:eastAsia="宋体"/>
          <w:kern w:val="2"/>
          <w:sz w:val="18"/>
          <w:szCs w:val="18"/>
        </w:rPr>
      </w:pPr>
    </w:p>
    <w:p>
      <w:pPr>
        <w:pStyle w:val="7"/>
        <w:widowControl/>
        <w:spacing w:beforeAutospacing="0" w:afterAutospacing="0"/>
        <w:jc w:val="both"/>
        <w:rPr>
          <w:rFonts w:ascii="Times New Roman" w:hAnsi="Times New Roman" w:eastAsia="宋体"/>
          <w:kern w:val="2"/>
          <w:sz w:val="18"/>
          <w:szCs w:val="18"/>
        </w:rPr>
      </w:pPr>
    </w:p>
    <w:p>
      <w:pPr>
        <w:pStyle w:val="7"/>
        <w:widowControl/>
        <w:spacing w:beforeAutospacing="0" w:afterAutospacing="0"/>
        <w:jc w:val="center"/>
        <w:rPr>
          <w:rFonts w:ascii="Times New Roman" w:hAnsi="Times New Roman" w:eastAsia="宋体"/>
          <w:kern w:val="2"/>
          <w:sz w:val="18"/>
          <w:szCs w:val="18"/>
        </w:rPr>
      </w:pPr>
    </w:p>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Segoe UI">
    <w:panose1 w:val="020B0502040204020203"/>
    <w:charset w:val="00"/>
    <w:family w:val="swiss"/>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Songti SC">
    <w:altName w:val="微软雅黑"/>
    <w:panose1 w:val="00000000000000000000"/>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Q2NTkxYzhjYTEyMGY1YjI2ODk0NmY3OTM5Y2U5ZTgifQ=="/>
  </w:docVars>
  <w:rsids>
    <w:rsidRoot w:val="00C6245B"/>
    <w:rsid w:val="00505E51"/>
    <w:rsid w:val="005953F0"/>
    <w:rsid w:val="00997604"/>
    <w:rsid w:val="00C17119"/>
    <w:rsid w:val="00C6245B"/>
    <w:rsid w:val="00D82625"/>
    <w:rsid w:val="00D90A6D"/>
    <w:rsid w:val="00E92097"/>
    <w:rsid w:val="03073064"/>
    <w:rsid w:val="03A5224D"/>
    <w:rsid w:val="0828199A"/>
    <w:rsid w:val="1F071FBC"/>
    <w:rsid w:val="234F1D8E"/>
    <w:rsid w:val="2D4D270A"/>
    <w:rsid w:val="2E342143"/>
    <w:rsid w:val="335B29AD"/>
    <w:rsid w:val="36646647"/>
    <w:rsid w:val="389F4D60"/>
    <w:rsid w:val="3BA221DC"/>
    <w:rsid w:val="458A13F0"/>
    <w:rsid w:val="487D6BBD"/>
    <w:rsid w:val="488F1B48"/>
    <w:rsid w:val="4DEB45C9"/>
    <w:rsid w:val="53A771E4"/>
    <w:rsid w:val="5FA84244"/>
    <w:rsid w:val="603D40F0"/>
    <w:rsid w:val="6247406C"/>
    <w:rsid w:val="63A67130"/>
    <w:rsid w:val="665A1EAE"/>
    <w:rsid w:val="692B19CF"/>
    <w:rsid w:val="74956E7F"/>
    <w:rsid w:val="7A2B3E1B"/>
    <w:rsid w:val="7A9C2623"/>
  </w:rsids>
  <m:mathPr>
    <m:mathFont m:val="Cambria Math"/>
    <m:brkBin m:val="before"/>
    <m:brkBinSub m:val="--"/>
    <m:smallFrac m:val="0"/>
    <m:dispDef/>
    <m:lMargin m:val="0"/>
    <m:rMargin m:val="0"/>
    <m:defJc m:val="centerGroup"/>
    <m:wrapIndent m:val="1440"/>
    <m:intLim m:val="subSup"/>
    <m:naryLim m:val="undOvr"/>
  </m:mathPr>
  <w:themeFontLang w:val="en-IN" w:eastAsia="ko-KR"/>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4"/>
    <w:qFormat/>
    <w:uiPriority w:val="0"/>
    <w:pPr>
      <w:keepNext/>
      <w:keepLines/>
      <w:spacing w:before="340" w:after="330" w:line="576" w:lineRule="auto"/>
      <w:outlineLvl w:val="0"/>
    </w:pPr>
    <w:rPr>
      <w:b/>
      <w:kern w:val="44"/>
      <w:sz w:val="44"/>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5"/>
    <w:qFormat/>
    <w:uiPriority w:val="0"/>
    <w:rPr>
      <w:sz w:val="20"/>
      <w:szCs w:val="20"/>
    </w:rPr>
  </w:style>
  <w:style w:type="paragraph" w:styleId="5">
    <w:name w:val="Balloon Text"/>
    <w:basedOn w:val="1"/>
    <w:link w:val="13"/>
    <w:semiHidden/>
    <w:unhideWhenUsed/>
    <w:qFormat/>
    <w:uiPriority w:val="99"/>
    <w:pPr>
      <w:widowControl/>
      <w:jc w:val="left"/>
    </w:pPr>
    <w:rPr>
      <w:rFonts w:ascii="Segoe UI" w:hAnsi="Segoe UI" w:cs="Segoe UI"/>
      <w:kern w:val="0"/>
      <w:sz w:val="18"/>
      <w:szCs w:val="18"/>
      <w:lang w:eastAsia="ko-KR"/>
    </w:rPr>
  </w:style>
  <w:style w:type="paragraph" w:styleId="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4"/>
    <w:next w:val="4"/>
    <w:link w:val="16"/>
    <w:semiHidden/>
    <w:unhideWhenUsed/>
    <w:qFormat/>
    <w:uiPriority w:val="99"/>
    <w:rPr>
      <w:b/>
      <w:bCs/>
    </w:rPr>
  </w:style>
  <w:style w:type="character" w:styleId="11">
    <w:name w:val="Hyperlink"/>
    <w:basedOn w:val="10"/>
    <w:semiHidden/>
    <w:unhideWhenUsed/>
    <w:qFormat/>
    <w:uiPriority w:val="99"/>
    <w:rPr>
      <w:color w:val="0000FF"/>
      <w:u w:val="single"/>
    </w:rPr>
  </w:style>
  <w:style w:type="character" w:styleId="12">
    <w:name w:val="annotation reference"/>
    <w:basedOn w:val="10"/>
    <w:qFormat/>
    <w:uiPriority w:val="0"/>
    <w:rPr>
      <w:sz w:val="16"/>
      <w:szCs w:val="16"/>
    </w:rPr>
  </w:style>
  <w:style w:type="character" w:customStyle="1" w:styleId="13">
    <w:name w:val="Balloon Text Char"/>
    <w:basedOn w:val="10"/>
    <w:link w:val="5"/>
    <w:semiHidden/>
    <w:qFormat/>
    <w:uiPriority w:val="99"/>
    <w:rPr>
      <w:rFonts w:ascii="Segoe UI" w:hAnsi="Segoe UI" w:cs="Segoe UI"/>
      <w:sz w:val="18"/>
      <w:szCs w:val="18"/>
      <w:lang w:val="en-US"/>
    </w:rPr>
  </w:style>
  <w:style w:type="character" w:customStyle="1" w:styleId="14">
    <w:name w:val="Heading 1 Char"/>
    <w:basedOn w:val="10"/>
    <w:link w:val="2"/>
    <w:qFormat/>
    <w:uiPriority w:val="0"/>
    <w:rPr>
      <w:b/>
      <w:kern w:val="44"/>
      <w:sz w:val="44"/>
      <w:szCs w:val="24"/>
      <w:lang w:val="en-US" w:eastAsia="zh-CN"/>
    </w:rPr>
  </w:style>
  <w:style w:type="character" w:customStyle="1" w:styleId="15">
    <w:name w:val="Comment Text Char"/>
    <w:basedOn w:val="10"/>
    <w:link w:val="4"/>
    <w:qFormat/>
    <w:uiPriority w:val="0"/>
    <w:rPr>
      <w:kern w:val="2"/>
      <w:sz w:val="20"/>
      <w:szCs w:val="20"/>
      <w:lang w:val="en-US" w:eastAsia="zh-CN"/>
    </w:rPr>
  </w:style>
  <w:style w:type="character" w:customStyle="1" w:styleId="16">
    <w:name w:val="Comment Subject Char"/>
    <w:basedOn w:val="15"/>
    <w:link w:val="8"/>
    <w:semiHidden/>
    <w:qFormat/>
    <w:uiPriority w:val="99"/>
    <w:rPr>
      <w:b/>
      <w:bCs/>
      <w:kern w:val="2"/>
      <w:sz w:val="20"/>
      <w:szCs w:val="20"/>
      <w:lang w:val="en-US" w:eastAsia="zh-CN"/>
    </w:rPr>
  </w:style>
  <w:style w:type="paragraph" w:customStyle="1" w:styleId="17">
    <w:name w:val="BB_Author_Name"/>
    <w:basedOn w:val="1"/>
    <w:next w:val="18"/>
    <w:qFormat/>
    <w:uiPriority w:val="0"/>
    <w:pPr>
      <w:spacing w:after="240" w:line="480" w:lineRule="auto"/>
      <w:jc w:val="center"/>
    </w:pPr>
    <w:rPr>
      <w:i/>
    </w:rPr>
  </w:style>
  <w:style w:type="paragraph" w:customStyle="1" w:styleId="18">
    <w:name w:val="BC_Author_Address"/>
    <w:basedOn w:val="1"/>
    <w:next w:val="19"/>
    <w:qFormat/>
    <w:uiPriority w:val="0"/>
    <w:pPr>
      <w:spacing w:after="240" w:line="480" w:lineRule="auto"/>
      <w:jc w:val="center"/>
    </w:pPr>
  </w:style>
  <w:style w:type="paragraph" w:customStyle="1" w:styleId="19">
    <w:name w:val="BI_Email_Address"/>
    <w:basedOn w:val="1"/>
    <w:next w:val="20"/>
    <w:qFormat/>
    <w:uiPriority w:val="0"/>
    <w:pPr>
      <w:spacing w:line="480" w:lineRule="auto"/>
    </w:pPr>
  </w:style>
  <w:style w:type="paragraph" w:customStyle="1" w:styleId="20">
    <w:name w:val="AI_Received_Date"/>
    <w:basedOn w:val="1"/>
    <w:next w:val="21"/>
    <w:qFormat/>
    <w:uiPriority w:val="0"/>
    <w:pPr>
      <w:spacing w:after="240" w:line="480" w:lineRule="auto"/>
    </w:pPr>
    <w:rPr>
      <w:b/>
    </w:rPr>
  </w:style>
  <w:style w:type="paragraph" w:customStyle="1" w:styleId="21">
    <w:name w:val="BD_Abstract"/>
    <w:basedOn w:val="1"/>
    <w:next w:val="22"/>
    <w:qFormat/>
    <w:uiPriority w:val="0"/>
    <w:pPr>
      <w:spacing w:before="360" w:after="360" w:line="480" w:lineRule="auto"/>
    </w:pPr>
  </w:style>
  <w:style w:type="paragraph" w:customStyle="1" w:styleId="22">
    <w:name w:val="TA_Main_Text"/>
    <w:basedOn w:val="1"/>
    <w:qFormat/>
    <w:uiPriority w:val="0"/>
    <w:pPr>
      <w:spacing w:line="480" w:lineRule="auto"/>
      <w:ind w:firstLine="202"/>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754</Words>
  <Characters>4422</Characters>
  <Lines>32</Lines>
  <Paragraphs>9</Paragraphs>
  <TotalTime>3</TotalTime>
  <ScaleCrop>false</ScaleCrop>
  <LinksUpToDate>false</LinksUpToDate>
  <CharactersWithSpaces>5171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2022-06-28T01:45:00Z</dcterms:created>
  <dc:creator>Author</dc:creator>
  <cp:lastModifiedBy>「何小頭」</cp:lastModifiedBy>
  <dcterms:modified xsi:type="dcterms:W3CDTF">2023-06-21T08:10:28Z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A32722444765410B885829EF12E70840</vt:lpwstr>
  </property>
</Properties>
</file>