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EFB0" w14:textId="77777777" w:rsidR="00EF0DC2" w:rsidRPr="00EF0DC2" w:rsidRDefault="00EF0DC2" w:rsidP="00EF0DC2">
      <w:pPr>
        <w:spacing w:line="480" w:lineRule="auto"/>
        <w:contextualSpacing/>
        <w:rPr>
          <w:rFonts w:asciiTheme="minorBidi" w:hAnsiTheme="minorBidi"/>
          <w:b/>
          <w:color w:val="000000" w:themeColor="text1"/>
          <w:sz w:val="32"/>
          <w:szCs w:val="32"/>
        </w:rPr>
      </w:pPr>
      <w:r w:rsidRPr="00EF0DC2">
        <w:rPr>
          <w:rFonts w:asciiTheme="minorBidi" w:hAnsiTheme="minorBidi"/>
          <w:b/>
          <w:color w:val="000000" w:themeColor="text1"/>
          <w:sz w:val="32"/>
          <w:szCs w:val="32"/>
        </w:rPr>
        <w:t>Supplementary content</w:t>
      </w:r>
    </w:p>
    <w:p w14:paraId="5C9AE9EF" w14:textId="77777777" w:rsidR="00EF0DC2" w:rsidRPr="00EF0DC2" w:rsidRDefault="00EF0DC2" w:rsidP="00EF0DC2">
      <w:pPr>
        <w:spacing w:line="480" w:lineRule="auto"/>
        <w:contextualSpacing/>
        <w:rPr>
          <w:rFonts w:asciiTheme="minorBidi" w:hAnsiTheme="minorBidi"/>
          <w:bCs/>
          <w:color w:val="000000" w:themeColor="text1"/>
          <w:sz w:val="20"/>
          <w:szCs w:val="20"/>
        </w:rPr>
      </w:pPr>
      <w:r w:rsidRPr="00EF0DC2">
        <w:rPr>
          <w:rFonts w:asciiTheme="minorBidi" w:hAnsiTheme="minorBidi"/>
          <w:b/>
          <w:color w:val="000000" w:themeColor="text1"/>
          <w:sz w:val="20"/>
          <w:szCs w:val="20"/>
        </w:rPr>
        <w:t xml:space="preserve">Supplementary </w:t>
      </w:r>
      <w:r w:rsidRPr="00EF0DC2">
        <w:rPr>
          <w:rFonts w:asciiTheme="minorBidi" w:hAnsiTheme="minorBidi"/>
          <w:b/>
          <w:bCs/>
          <w:color w:val="000000" w:themeColor="text1"/>
          <w:sz w:val="20"/>
          <w:szCs w:val="20"/>
        </w:rPr>
        <w:t xml:space="preserve">table </w:t>
      </w:r>
      <w:r w:rsidRPr="00EF0DC2">
        <w:rPr>
          <w:rFonts w:asciiTheme="minorBidi" w:hAnsiTheme="minorBidi"/>
          <w:b/>
          <w:color w:val="000000" w:themeColor="text1"/>
          <w:sz w:val="20"/>
          <w:szCs w:val="20"/>
        </w:rPr>
        <w:t xml:space="preserve">1. </w:t>
      </w:r>
      <w:r w:rsidRPr="00EF0DC2">
        <w:rPr>
          <w:rFonts w:asciiTheme="minorBidi" w:hAnsiTheme="minorBidi"/>
          <w:color w:val="000000" w:themeColor="text1"/>
          <w:sz w:val="20"/>
          <w:szCs w:val="20"/>
        </w:rPr>
        <w:t xml:space="preserve">Clinical characteristics of missed patients with </w:t>
      </w:r>
      <w:r w:rsidRPr="00EF0DC2">
        <w:rPr>
          <w:rFonts w:asciiTheme="minorBidi" w:hAnsiTheme="minorBidi"/>
          <w:bCs/>
          <w:color w:val="000000" w:themeColor="text1"/>
          <w:sz w:val="20"/>
          <w:szCs w:val="20"/>
        </w:rPr>
        <w:t>HRVs</w:t>
      </w:r>
    </w:p>
    <w:tbl>
      <w:tblPr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30"/>
        <w:gridCol w:w="823"/>
        <w:gridCol w:w="987"/>
        <w:gridCol w:w="888"/>
        <w:gridCol w:w="1117"/>
        <w:gridCol w:w="823"/>
        <w:gridCol w:w="1117"/>
        <w:gridCol w:w="823"/>
        <w:gridCol w:w="1052"/>
      </w:tblGrid>
      <w:tr w:rsidR="00EF0DC2" w:rsidRPr="00EF0DC2" w14:paraId="37469B95" w14:textId="77777777" w:rsidTr="00CB3F91">
        <w:trPr>
          <w:trHeight w:val="300"/>
        </w:trPr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0D5C1A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036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9328F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Baveno IV</w:t>
            </w:r>
          </w:p>
        </w:tc>
        <w:tc>
          <w:tcPr>
            <w:tcW w:w="2037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97453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Expanded Baveno IV </w:t>
            </w:r>
          </w:p>
        </w:tc>
      </w:tr>
      <w:tr w:rsidR="00EF0DC2" w:rsidRPr="00EF0DC2" w14:paraId="283FC19B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2ACB65B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96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0AEFD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Not missed (n = 101)</w:t>
            </w:r>
          </w:p>
        </w:tc>
        <w:tc>
          <w:tcPr>
            <w:tcW w:w="107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A0897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Missed (n = 8)</w:t>
            </w: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C74D9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Not missed (n = 123)</w:t>
            </w:r>
          </w:p>
        </w:tc>
        <w:tc>
          <w:tcPr>
            <w:tcW w:w="100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850C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Missed (n = 11)</w:t>
            </w:r>
          </w:p>
        </w:tc>
      </w:tr>
      <w:tr w:rsidR="00EF0DC2" w:rsidRPr="00EF0DC2" w14:paraId="7C2722AA" w14:textId="77777777" w:rsidTr="00CB3F91">
        <w:trPr>
          <w:trHeight w:val="300"/>
        </w:trPr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0F30C9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7368F9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 (SD)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32F571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Median (Q1– Q3)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A2BFE7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 (SD)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CE0C8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Median (Q1– Q3)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FC353B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 (SD)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370321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Median (Q1– Q3)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23E20D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 (SD)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47F212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Median (Q1– Q3)</w:t>
            </w:r>
          </w:p>
        </w:tc>
      </w:tr>
      <w:tr w:rsidR="00EF0DC2" w:rsidRPr="00EF0DC2" w14:paraId="63EEC43A" w14:textId="77777777" w:rsidTr="00CB3F91">
        <w:trPr>
          <w:trHeight w:val="300"/>
        </w:trPr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69C3A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44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82B24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50.87 (13.4)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FF4AB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53 (39–60.5)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E2AD1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53.88 (7.49)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173E5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53 (49.25–61.5)</w:t>
            </w:r>
          </w:p>
        </w:tc>
        <w:tc>
          <w:tcPr>
            <w:tcW w:w="44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C0957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52.28 (13.22)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32864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54 (41.75–62.25)</w:t>
            </w:r>
          </w:p>
        </w:tc>
        <w:tc>
          <w:tcPr>
            <w:tcW w:w="44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155B39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55.91 (9.69)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FD7C6B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53 (49–63)</w:t>
            </w:r>
          </w:p>
        </w:tc>
      </w:tr>
      <w:tr w:rsidR="00EF0DC2" w:rsidRPr="00EF0DC2" w14:paraId="03097549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59EAC0E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BMI (kg/m</w:t>
            </w:r>
            <w:r w:rsidRPr="00EF0DC2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2</w:t>
            </w: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DF85ED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33.35 (8)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5C5AA1D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31.31 (27.5–36.1)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1C0073A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32.26 (8.56)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5860A0E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31.27 (26.06–38.14)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E08DD3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33.42 (8.72)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051A412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31.66 (27.35–37.46)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B42FA7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31.15 (7.52)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338EA98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29.85 (25.6–34.09)</w:t>
            </w:r>
          </w:p>
        </w:tc>
      </w:tr>
      <w:tr w:rsidR="00EF0DC2" w:rsidRPr="00EF0DC2" w14:paraId="6A01F290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1CE5269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LSM (kPa)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E05799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12.18 (8.8)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5316A2C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11.8 (10.2–14.3)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2670392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9.82 (3)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3A4CC31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11.15 (6.92–11.75)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DE4245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13.13 (4.42)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453DEA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12.1 (10.3–15.95)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09252F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12.26 (5.74)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488679F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11.3 (10.6–12.2)</w:t>
            </w:r>
          </w:p>
        </w:tc>
      </w:tr>
      <w:tr w:rsidR="00EF0DC2" w:rsidRPr="00EF0DC2" w14:paraId="599E7415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67C3657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Platelets (150,000–350,000/mL)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E194AD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240.15 (77.73)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3B582F0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231 (186.5–266)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4111307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194.75 (52.97)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4B7CB73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172 (167–207.5)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A8DBA7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225.14 (80.41)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A36EF8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214 (164.5–252.25)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890ADE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187.27 (54.24)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516CE51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172 (165–217)</w:t>
            </w:r>
          </w:p>
        </w:tc>
      </w:tr>
      <w:tr w:rsidR="00EF0DC2" w:rsidRPr="00EF0DC2" w14:paraId="2BEF1F79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2ED82EB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ALT (5–55</w:t>
            </w:r>
            <w:r w:rsidRPr="00EF0DC2">
              <w:rPr>
                <w:rFonts w:asciiTheme="minorBidi" w:eastAsia="DengXian" w:hAnsiTheme="minorBid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U/L)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684B0D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70.15 (93.92)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1B8209B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42.5 (27–66.75)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66BAAB5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103.63 (119.42)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24CBD0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54 (27.75–159)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4FC1F1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68.8 (94.73)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0740962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37 (26–66.5)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3CC70C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95.82 (103.99)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650FD87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71 (27–134)</w:t>
            </w:r>
          </w:p>
        </w:tc>
      </w:tr>
      <w:tr w:rsidR="00EF0DC2" w:rsidRPr="00EF0DC2" w14:paraId="344B237C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0F97362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AST (5–34</w:t>
            </w:r>
            <w:r w:rsidRPr="00EF0DC2">
              <w:rPr>
                <w:rFonts w:asciiTheme="minorBidi" w:eastAsia="DengXian" w:hAnsiTheme="minorBid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U/L)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70658A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43.84 (43.48)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0983E5A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28 (21–50.5)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240CCE4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52.38 (45.08)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1A51E7D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27 (18–90.25)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336D99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46.46 (56.45)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A47986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28 (21–49)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7AE99F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52.18 (42.72)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7056280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27 (16–91)</w:t>
            </w:r>
          </w:p>
        </w:tc>
      </w:tr>
      <w:tr w:rsidR="00EF0DC2" w:rsidRPr="00EF0DC2" w14:paraId="29ECEEE1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419D1EB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BILI (0.2–1.2</w:t>
            </w:r>
            <w:r w:rsidRPr="00EF0DC2">
              <w:rPr>
                <w:rFonts w:asciiTheme="minorBidi" w:eastAsia="DengXian" w:hAnsiTheme="minorBid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mg/dl)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3AF538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0.7 (0.84)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38252D9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 (0.4–0.7)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5533D9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0.56 (0.22)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656DCE9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 (0.4–0.7)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09BA52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0.73 (0.86)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E1B1C9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 (0.4–0.8)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1247D6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0.58 (0.24)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4FEBF39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 (0.4–0.7)</w:t>
            </w:r>
          </w:p>
        </w:tc>
      </w:tr>
      <w:tr w:rsidR="00EF0DC2" w:rsidRPr="00EF0DC2" w14:paraId="6E7B79E1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0194ED5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Albumin (3.2–5.2</w:t>
            </w:r>
            <w:r w:rsidRPr="00EF0DC2">
              <w:rPr>
                <w:rFonts w:asciiTheme="minorBidi" w:eastAsia="DengXian" w:hAnsiTheme="minorBidi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g/dL)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96277B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3.64 (0.39)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6196FE5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3.7 (3.4–3.9)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78A865F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3.55 (0.68)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6F5D639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3.65 (3.22–4.12)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CC2792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3.66 (0.4)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BAFFE7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3.7 (3.4–3.92)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9C278A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3.57 (0.57)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249B223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3.6 (3.6–3.9)</w:t>
            </w:r>
          </w:p>
        </w:tc>
      </w:tr>
      <w:tr w:rsidR="00EF0DC2" w:rsidRPr="00EF0DC2" w14:paraId="73544B0D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11FFA2E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Creatinine (0.6–1.3 mg/dL)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7193CA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2.49 (13.3)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3E37B59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0.83 (0.69–1)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7A3F530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1.39 (1.73)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6A610B3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0.82 (0.61–1.06)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7F7DE2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3.27 (17.1)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6B1329B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0.84 (0.69–1)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934CC6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1.2 (1.49)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5992E47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 (0.6–0.94)</w:t>
            </w:r>
          </w:p>
        </w:tc>
      </w:tr>
      <w:tr w:rsidR="00EF0DC2" w:rsidRPr="00EF0DC2" w14:paraId="5C44B880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03D0220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INR (0.8–1.0 s)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2B6BE4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1.02 (0.11)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17ADE80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1.01 (0.96–1.07)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05AA5C2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1.08 (0.13)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39D622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1.01 (0.98–1.22)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7CBA89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1.04 (0.16)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5B109AA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1.01 (0.97–1.08)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708D54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1.07 (0.11)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18E9CC0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1.03 (0.99–1.13)</w:t>
            </w:r>
          </w:p>
        </w:tc>
      </w:tr>
      <w:tr w:rsidR="00EF0DC2" w:rsidRPr="00EF0DC2" w14:paraId="32A25AD9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5366FAC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MELD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0AFEDA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8.15 (3.51)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683BEF9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 (6–8)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5E632CE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9.13 (4.99)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1DBD6FF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 (6.25–9.75)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77DCB8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8.19 (3.36)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FF5974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 (6–8)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BB8DF6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8.64 (4.27)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4E5F21D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 (7–9)</w:t>
            </w:r>
          </w:p>
        </w:tc>
      </w:tr>
      <w:tr w:rsidR="00EF0DC2" w:rsidRPr="00EF0DC2" w14:paraId="6C3F1578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1984089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hideMark/>
          </w:tcPr>
          <w:p w14:paraId="7949F61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2573F3B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%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6C5A192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5783232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CE7E43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472BA89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%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0EE833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092BB15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%</w:t>
            </w:r>
          </w:p>
        </w:tc>
      </w:tr>
      <w:tr w:rsidR="00EF0DC2" w:rsidRPr="00EF0DC2" w14:paraId="5EC61B41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4B2785A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Females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63ED7E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73ED349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0.505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6E06B0B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11B610B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0ABBA7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71CF80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D637F4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0D17A29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0.545</w:t>
            </w:r>
          </w:p>
        </w:tc>
      </w:tr>
      <w:tr w:rsidR="00EF0DC2" w:rsidRPr="00EF0DC2" w14:paraId="273F050C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71106B9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DFD98E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24DF2C7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20BA59B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81115C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27C572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6727EB9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0.468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1863F8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163FC39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0.455</w:t>
            </w:r>
          </w:p>
        </w:tc>
      </w:tr>
      <w:tr w:rsidR="00EF0DC2" w:rsidRPr="00EF0DC2" w14:paraId="046A5A14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37B15B2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Saudi nationality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A0231A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3136E2D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0.861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21A8A3B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5D9DDFB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C9BBAA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4D5496B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126186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6D84382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0.909</w:t>
            </w:r>
          </w:p>
        </w:tc>
      </w:tr>
      <w:tr w:rsidR="00EF0DC2" w:rsidRPr="00EF0DC2" w14:paraId="5BE1EEED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7F0E702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Other nationality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7F08B0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1212CB9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761901D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3869B3A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A1F1B2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661E4E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496AF0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73C4B1B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0.091</w:t>
            </w:r>
          </w:p>
        </w:tc>
      </w:tr>
      <w:tr w:rsidR="00EF0DC2" w:rsidRPr="00EF0DC2" w14:paraId="62E38A78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0597DE4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CTP Score</w:t>
            </w:r>
          </w:p>
        </w:tc>
        <w:tc>
          <w:tcPr>
            <w:tcW w:w="440" w:type="pct"/>
            <w:shd w:val="clear" w:color="auto" w:fill="auto"/>
          </w:tcPr>
          <w:p w14:paraId="2E371E0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  <w:noWrap/>
            <w:hideMark/>
          </w:tcPr>
          <w:p w14:paraId="1387393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noWrap/>
            <w:hideMark/>
          </w:tcPr>
          <w:p w14:paraId="45AB1B45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noWrap/>
            <w:hideMark/>
          </w:tcPr>
          <w:p w14:paraId="5041FE8E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hideMark/>
          </w:tcPr>
          <w:p w14:paraId="0ECF7B49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noWrap/>
            <w:hideMark/>
          </w:tcPr>
          <w:p w14:paraId="48B94FFF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hideMark/>
          </w:tcPr>
          <w:p w14:paraId="083ED77C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auto"/>
            <w:noWrap/>
            <w:hideMark/>
          </w:tcPr>
          <w:p w14:paraId="6DDD6E76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F0DC2" w:rsidRPr="00EF0DC2" w14:paraId="0CC64886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4E44031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Class A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22389AD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70984CF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1DCDA86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5C236E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36C0502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0AD07A5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0.921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AF1DA4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2B4EE57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0.909</w:t>
            </w:r>
          </w:p>
        </w:tc>
      </w:tr>
      <w:tr w:rsidR="00EF0DC2" w:rsidRPr="00EF0DC2" w14:paraId="4F3321D4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2DD8EFE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Class B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679609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297B669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0.069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7E1C3BE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1C33B0F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619B540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234B1BD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0.071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377B47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7252026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0.091</w:t>
            </w:r>
          </w:p>
        </w:tc>
      </w:tr>
      <w:tr w:rsidR="00EF0DC2" w:rsidRPr="00EF0DC2" w14:paraId="15AE077B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77A597F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Etiology of cACLD</w:t>
            </w:r>
          </w:p>
        </w:tc>
        <w:tc>
          <w:tcPr>
            <w:tcW w:w="440" w:type="pct"/>
            <w:shd w:val="clear" w:color="auto" w:fill="auto"/>
          </w:tcPr>
          <w:p w14:paraId="26C378F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shd w:val="clear" w:color="auto" w:fill="auto"/>
            <w:noWrap/>
            <w:hideMark/>
          </w:tcPr>
          <w:p w14:paraId="340418A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shd w:val="clear" w:color="auto" w:fill="auto"/>
            <w:noWrap/>
            <w:hideMark/>
          </w:tcPr>
          <w:p w14:paraId="1C32D414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noWrap/>
            <w:hideMark/>
          </w:tcPr>
          <w:p w14:paraId="64FEBE15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hideMark/>
          </w:tcPr>
          <w:p w14:paraId="1BCF1C06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noWrap/>
            <w:hideMark/>
          </w:tcPr>
          <w:p w14:paraId="7372D756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40" w:type="pct"/>
            <w:shd w:val="clear" w:color="auto" w:fill="auto"/>
            <w:noWrap/>
            <w:hideMark/>
          </w:tcPr>
          <w:p w14:paraId="17BBF12F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auto"/>
            <w:noWrap/>
            <w:hideMark/>
          </w:tcPr>
          <w:p w14:paraId="20206421" w14:textId="77777777" w:rsidR="00EF0DC2" w:rsidRPr="00EF0DC2" w:rsidRDefault="00EF0DC2" w:rsidP="00CB3F9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F0DC2" w:rsidRPr="00EF0DC2" w14:paraId="253DDF8F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5061A3B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HCV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CD29FD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474BA8D7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3C992BDA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5B342BA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7B7C71B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024ADC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0.317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4A2BEC8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121E08A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0.455</w:t>
            </w:r>
          </w:p>
        </w:tc>
      </w:tr>
      <w:tr w:rsidR="00EF0DC2" w:rsidRPr="00EF0DC2" w14:paraId="244EFE10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51B626F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HBV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401F6D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6A68AFB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0.267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4D2AC09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7C2C813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52669CB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4597AC2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66B3C4B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198F2A1B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0.091</w:t>
            </w:r>
          </w:p>
        </w:tc>
      </w:tr>
      <w:tr w:rsidR="00EF0DC2" w:rsidRPr="00EF0DC2" w14:paraId="1BFB2984" w14:textId="77777777" w:rsidTr="00CB3F91">
        <w:trPr>
          <w:trHeight w:val="300"/>
        </w:trPr>
        <w:tc>
          <w:tcPr>
            <w:tcW w:w="927" w:type="pct"/>
            <w:shd w:val="clear" w:color="auto" w:fill="auto"/>
            <w:noWrap/>
            <w:hideMark/>
          </w:tcPr>
          <w:p w14:paraId="057584C2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NAFLD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0872AAE5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26" w:type="pct"/>
            <w:shd w:val="clear" w:color="auto" w:fill="auto"/>
            <w:noWrap/>
            <w:hideMark/>
          </w:tcPr>
          <w:p w14:paraId="3212D14F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474" w:type="pct"/>
            <w:shd w:val="clear" w:color="auto" w:fill="auto"/>
            <w:noWrap/>
            <w:hideMark/>
          </w:tcPr>
          <w:p w14:paraId="16F48D6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3EE2849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30631B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6" w:type="pct"/>
            <w:shd w:val="clear" w:color="auto" w:fill="auto"/>
            <w:noWrap/>
            <w:hideMark/>
          </w:tcPr>
          <w:p w14:paraId="6FAEC3B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0.373</w:t>
            </w:r>
          </w:p>
        </w:tc>
        <w:tc>
          <w:tcPr>
            <w:tcW w:w="440" w:type="pct"/>
            <w:shd w:val="clear" w:color="auto" w:fill="auto"/>
            <w:noWrap/>
            <w:hideMark/>
          </w:tcPr>
          <w:p w14:paraId="1E969208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1" w:type="pct"/>
            <w:shd w:val="clear" w:color="auto" w:fill="auto"/>
            <w:noWrap/>
            <w:hideMark/>
          </w:tcPr>
          <w:p w14:paraId="116CF4E1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0.455</w:t>
            </w:r>
          </w:p>
        </w:tc>
      </w:tr>
      <w:tr w:rsidR="00EF0DC2" w:rsidRPr="00EF0DC2" w14:paraId="3F22864B" w14:textId="77777777" w:rsidTr="00CB3F91">
        <w:trPr>
          <w:trHeight w:val="300"/>
        </w:trPr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D747543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C349A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EE76D9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52261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8D2B16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BAAAD4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4387DED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643D10E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B7C58C" w14:textId="77777777" w:rsidR="00EF0DC2" w:rsidRPr="00EF0DC2" w:rsidRDefault="00EF0DC2" w:rsidP="00CB3F91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EF0DC2">
              <w:rPr>
                <w:rFonts w:asciiTheme="minorBidi" w:hAnsiTheme="minorBidi"/>
                <w:color w:val="000000"/>
                <w:sz w:val="20"/>
                <w:szCs w:val="20"/>
              </w:rPr>
              <w:t>0</w:t>
            </w:r>
          </w:p>
        </w:tc>
      </w:tr>
    </w:tbl>
    <w:p w14:paraId="43F199C7" w14:textId="13D3C015" w:rsidR="00A25A54" w:rsidRPr="00EF0DC2" w:rsidRDefault="00EF0DC2" w:rsidP="00324376">
      <w:pPr>
        <w:spacing w:line="480" w:lineRule="auto"/>
        <w:contextualSpacing/>
        <w:rPr>
          <w:rFonts w:asciiTheme="minorBidi" w:hAnsiTheme="minorBidi"/>
          <w:sz w:val="20"/>
          <w:szCs w:val="20"/>
        </w:rPr>
      </w:pPr>
      <w:r w:rsidRPr="00EF0DC2">
        <w:rPr>
          <w:rFonts w:asciiTheme="minorBidi" w:hAnsiTheme="minorBidi"/>
          <w:color w:val="000000" w:themeColor="text1"/>
          <w:sz w:val="20"/>
          <w:szCs w:val="20"/>
        </w:rPr>
        <w:t>Note</w:t>
      </w:r>
      <w:r w:rsidRPr="00EF0DC2">
        <w:rPr>
          <w:rFonts w:asciiTheme="minorBidi" w:hAnsiTheme="minorBidi"/>
          <w:bCs/>
          <w:color w:val="000000" w:themeColor="text1"/>
          <w:sz w:val="20"/>
          <w:szCs w:val="20"/>
        </w:rPr>
        <w:t>:</w:t>
      </w:r>
      <w:r w:rsidRPr="00EF0DC2">
        <w:rPr>
          <w:rFonts w:asciiTheme="minorBidi" w:hAnsiTheme="minorBidi"/>
          <w:color w:val="000000" w:themeColor="text1"/>
          <w:sz w:val="20"/>
          <w:szCs w:val="20"/>
        </w:rPr>
        <w:t xml:space="preserve"> None of the differences </w:t>
      </w:r>
      <w:r w:rsidRPr="00EF0DC2">
        <w:rPr>
          <w:rFonts w:asciiTheme="minorBidi" w:hAnsiTheme="minorBidi"/>
          <w:bCs/>
          <w:color w:val="000000" w:themeColor="text1"/>
          <w:sz w:val="20"/>
          <w:szCs w:val="20"/>
        </w:rPr>
        <w:t>were</w:t>
      </w:r>
      <w:r w:rsidRPr="00EF0DC2">
        <w:rPr>
          <w:rFonts w:asciiTheme="minorBidi" w:hAnsiTheme="minorBidi"/>
          <w:color w:val="000000" w:themeColor="text1"/>
          <w:sz w:val="20"/>
          <w:szCs w:val="20"/>
        </w:rPr>
        <w:t xml:space="preserve"> statistically significant.</w:t>
      </w:r>
    </w:p>
    <w:sectPr w:rsidR="00A25A54" w:rsidRPr="00EF0DC2" w:rsidSect="00FF741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C2"/>
    <w:rsid w:val="00021D75"/>
    <w:rsid w:val="00037C96"/>
    <w:rsid w:val="00043BDD"/>
    <w:rsid w:val="000819F8"/>
    <w:rsid w:val="000C0F59"/>
    <w:rsid w:val="000F6A95"/>
    <w:rsid w:val="001046FD"/>
    <w:rsid w:val="001341E4"/>
    <w:rsid w:val="00154F35"/>
    <w:rsid w:val="001656EA"/>
    <w:rsid w:val="0019514F"/>
    <w:rsid w:val="001D2525"/>
    <w:rsid w:val="00235D16"/>
    <w:rsid w:val="002543A1"/>
    <w:rsid w:val="002B1D7A"/>
    <w:rsid w:val="002C1801"/>
    <w:rsid w:val="002D0468"/>
    <w:rsid w:val="002F5FD0"/>
    <w:rsid w:val="00324376"/>
    <w:rsid w:val="0033255A"/>
    <w:rsid w:val="003617ED"/>
    <w:rsid w:val="003D6758"/>
    <w:rsid w:val="003F3C15"/>
    <w:rsid w:val="00422AEB"/>
    <w:rsid w:val="00430C6B"/>
    <w:rsid w:val="0044648A"/>
    <w:rsid w:val="00447512"/>
    <w:rsid w:val="004A064E"/>
    <w:rsid w:val="004A2959"/>
    <w:rsid w:val="004B5CA9"/>
    <w:rsid w:val="00551B37"/>
    <w:rsid w:val="005F258C"/>
    <w:rsid w:val="00611DD4"/>
    <w:rsid w:val="00614629"/>
    <w:rsid w:val="00614CF8"/>
    <w:rsid w:val="00623F21"/>
    <w:rsid w:val="006C4BCB"/>
    <w:rsid w:val="00721411"/>
    <w:rsid w:val="007246FA"/>
    <w:rsid w:val="00732D2E"/>
    <w:rsid w:val="007E344D"/>
    <w:rsid w:val="007E721B"/>
    <w:rsid w:val="00813953"/>
    <w:rsid w:val="00890461"/>
    <w:rsid w:val="008F6E87"/>
    <w:rsid w:val="008F71C2"/>
    <w:rsid w:val="009765DB"/>
    <w:rsid w:val="00990CCB"/>
    <w:rsid w:val="009F634E"/>
    <w:rsid w:val="00A11820"/>
    <w:rsid w:val="00A1780C"/>
    <w:rsid w:val="00A24F42"/>
    <w:rsid w:val="00A25A54"/>
    <w:rsid w:val="00A44CA6"/>
    <w:rsid w:val="00A52486"/>
    <w:rsid w:val="00A616DE"/>
    <w:rsid w:val="00A80941"/>
    <w:rsid w:val="00AC5557"/>
    <w:rsid w:val="00AE4D89"/>
    <w:rsid w:val="00B05BF8"/>
    <w:rsid w:val="00B15DAA"/>
    <w:rsid w:val="00B16FB5"/>
    <w:rsid w:val="00B31676"/>
    <w:rsid w:val="00B3180C"/>
    <w:rsid w:val="00B40332"/>
    <w:rsid w:val="00B43F0C"/>
    <w:rsid w:val="00B63511"/>
    <w:rsid w:val="00B64AB1"/>
    <w:rsid w:val="00BB42CC"/>
    <w:rsid w:val="00BE4E6C"/>
    <w:rsid w:val="00BF25BE"/>
    <w:rsid w:val="00C24548"/>
    <w:rsid w:val="00C4131B"/>
    <w:rsid w:val="00C472CF"/>
    <w:rsid w:val="00C53365"/>
    <w:rsid w:val="00C61960"/>
    <w:rsid w:val="00C759A8"/>
    <w:rsid w:val="00C92201"/>
    <w:rsid w:val="00CA6962"/>
    <w:rsid w:val="00CA76E1"/>
    <w:rsid w:val="00CD29E3"/>
    <w:rsid w:val="00CD2E38"/>
    <w:rsid w:val="00D04F46"/>
    <w:rsid w:val="00D179A4"/>
    <w:rsid w:val="00D17A29"/>
    <w:rsid w:val="00D778BB"/>
    <w:rsid w:val="00D833F7"/>
    <w:rsid w:val="00D8348C"/>
    <w:rsid w:val="00DB46B8"/>
    <w:rsid w:val="00DB54D4"/>
    <w:rsid w:val="00DB6C60"/>
    <w:rsid w:val="00DF7F62"/>
    <w:rsid w:val="00E57902"/>
    <w:rsid w:val="00E57EE0"/>
    <w:rsid w:val="00E87DBE"/>
    <w:rsid w:val="00EA26B1"/>
    <w:rsid w:val="00EC59A4"/>
    <w:rsid w:val="00ED5459"/>
    <w:rsid w:val="00EF0DC2"/>
    <w:rsid w:val="00F04AED"/>
    <w:rsid w:val="00F30D2A"/>
    <w:rsid w:val="00F61AE6"/>
    <w:rsid w:val="00F71F2C"/>
    <w:rsid w:val="00FA3378"/>
    <w:rsid w:val="00FA66CC"/>
    <w:rsid w:val="00FC0D89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5330D"/>
  <w15:chartTrackingRefBased/>
  <w15:docId w15:val="{881BC20F-4F65-0641-940F-26532F13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90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7902"/>
    <w:rPr>
      <w:rFonts w:ascii="Tahoma" w:eastAsia="Times New Roman" w:hAnsi="Tahoma" w:cs="Tahoma"/>
      <w:sz w:val="16"/>
      <w:szCs w:val="16"/>
    </w:rPr>
  </w:style>
  <w:style w:type="character" w:customStyle="1" w:styleId="citation-doi">
    <w:name w:val="citation-doi"/>
    <w:basedOn w:val="DefaultParagraphFont"/>
    <w:rsid w:val="00E57902"/>
  </w:style>
  <w:style w:type="character" w:styleId="CommentReference">
    <w:name w:val="annotation reference"/>
    <w:qFormat/>
    <w:rsid w:val="00E57902"/>
    <w:rPr>
      <w:sz w:val="16"/>
      <w:szCs w:val="16"/>
    </w:rPr>
  </w:style>
  <w:style w:type="paragraph" w:customStyle="1" w:styleId="EndNoteBibliography">
    <w:name w:val="EndNote Bibliography"/>
    <w:basedOn w:val="Normal"/>
    <w:link w:val="EndNoteBibliographyChar"/>
    <w:rsid w:val="00E57902"/>
    <w:rPr>
      <w:rFonts w:ascii="Times New Roman" w:eastAsia="Times New Roman" w:hAnsi="Times New Roman" w:cs="Times New Roman"/>
      <w:noProof/>
    </w:rPr>
  </w:style>
  <w:style w:type="character" w:customStyle="1" w:styleId="EndNoteBibliographyChar">
    <w:name w:val="EndNote Bibliography Char"/>
    <w:link w:val="EndNoteBibliography"/>
    <w:rsid w:val="00E57902"/>
    <w:rPr>
      <w:rFonts w:ascii="Times New Roman" w:eastAsia="Times New Roman" w:hAnsi="Times New Roman" w:cs="Times New Roman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E57902"/>
    <w:pPr>
      <w:jc w:val="center"/>
    </w:pPr>
    <w:rPr>
      <w:rFonts w:ascii="Times New Roman" w:eastAsia="Times New Roman" w:hAnsi="Times New Roman" w:cs="Times New Roman"/>
      <w:noProof/>
    </w:rPr>
  </w:style>
  <w:style w:type="character" w:customStyle="1" w:styleId="EndNoteBibliographyTitleChar">
    <w:name w:val="EndNote Bibliography Title Char"/>
    <w:link w:val="EndNoteBibliographyTitle"/>
    <w:rsid w:val="00E57902"/>
    <w:rPr>
      <w:rFonts w:ascii="Times New Roman" w:eastAsia="Times New Roman" w:hAnsi="Times New Roman" w:cs="Times New Roman"/>
      <w:noProof/>
    </w:rPr>
  </w:style>
  <w:style w:type="paragraph" w:styleId="CommentText">
    <w:name w:val="annotation text"/>
    <w:aliases w:val="comment text,',批注文字"/>
    <w:basedOn w:val="Normal"/>
    <w:link w:val="CommentTextChar"/>
    <w:unhideWhenUsed/>
    <w:qFormat/>
    <w:rsid w:val="00EF0DC2"/>
    <w:pPr>
      <w:spacing w:after="200"/>
    </w:pPr>
    <w:rPr>
      <w:rFonts w:ascii="Tahoma" w:eastAsia="Calibri" w:hAnsi="Tahoma" w:cs="Tahoma"/>
      <w:sz w:val="16"/>
      <w:szCs w:val="20"/>
    </w:rPr>
  </w:style>
  <w:style w:type="character" w:customStyle="1" w:styleId="CommentTextChar">
    <w:name w:val="Comment Text Char"/>
    <w:aliases w:val="comment text Char,' Char,批注文字 Char"/>
    <w:basedOn w:val="DefaultParagraphFont"/>
    <w:link w:val="CommentText"/>
    <w:rsid w:val="00EF0DC2"/>
    <w:rPr>
      <w:rFonts w:ascii="Tahoma" w:eastAsia="Calibri" w:hAnsi="Tahoma" w:cs="Tahoma"/>
      <w:sz w:val="16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EF0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H. Ismail MD</dc:creator>
  <cp:keywords/>
  <dc:description/>
  <cp:lastModifiedBy>Mona H. Ismail MD</cp:lastModifiedBy>
  <cp:revision>2</cp:revision>
  <dcterms:created xsi:type="dcterms:W3CDTF">2023-06-09T08:01:00Z</dcterms:created>
  <dcterms:modified xsi:type="dcterms:W3CDTF">2023-06-09T08:01:00Z</dcterms:modified>
</cp:coreProperties>
</file>