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A83C" w14:textId="77777777" w:rsidR="00C54550" w:rsidRDefault="00C54550" w:rsidP="00C75157">
      <w:pPr>
        <w:pStyle w:val="Heading1"/>
        <w:numPr>
          <w:ilvl w:val="0"/>
          <w:numId w:val="0"/>
        </w:numPr>
        <w:jc w:val="center"/>
      </w:pPr>
      <w:r>
        <w:t>Supplementary materials</w:t>
      </w:r>
    </w:p>
    <w:tbl>
      <w:tblPr>
        <w:tblStyle w:val="ListTable6Colourful"/>
        <w:tblW w:w="0" w:type="auto"/>
        <w:tblLook w:val="04A0" w:firstRow="1" w:lastRow="0" w:firstColumn="1" w:lastColumn="0" w:noHBand="0" w:noVBand="1"/>
      </w:tblPr>
      <w:tblGrid>
        <w:gridCol w:w="950"/>
        <w:gridCol w:w="616"/>
        <w:gridCol w:w="1028"/>
        <w:gridCol w:w="1517"/>
        <w:gridCol w:w="854"/>
        <w:gridCol w:w="1612"/>
        <w:gridCol w:w="2449"/>
      </w:tblGrid>
      <w:tr w:rsidR="00C54550" w14:paraId="4AED9831" w14:textId="77777777" w:rsidTr="0073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3F0BF298" w14:textId="77777777" w:rsidR="00C54550" w:rsidRPr="004B1E4C" w:rsidRDefault="00C54550" w:rsidP="00730616">
            <w:pPr>
              <w:jc w:val="center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Patient</w:t>
            </w:r>
          </w:p>
        </w:tc>
        <w:tc>
          <w:tcPr>
            <w:tcW w:w="616" w:type="dxa"/>
          </w:tcPr>
          <w:p w14:paraId="4866812B" w14:textId="77777777" w:rsidR="00C54550" w:rsidRPr="004B1E4C" w:rsidRDefault="00C54550" w:rsidP="0073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Age</w:t>
            </w:r>
          </w:p>
        </w:tc>
        <w:tc>
          <w:tcPr>
            <w:tcW w:w="1028" w:type="dxa"/>
          </w:tcPr>
          <w:p w14:paraId="1F762132" w14:textId="77777777" w:rsidR="00C54550" w:rsidRPr="004B1E4C" w:rsidRDefault="00C54550" w:rsidP="0073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Gender</w:t>
            </w:r>
          </w:p>
        </w:tc>
        <w:tc>
          <w:tcPr>
            <w:tcW w:w="1517" w:type="dxa"/>
          </w:tcPr>
          <w:p w14:paraId="11E43516" w14:textId="77777777" w:rsidR="00C54550" w:rsidRPr="004B1E4C" w:rsidRDefault="00C54550" w:rsidP="0073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VA with correction (</w:t>
            </w:r>
            <w:proofErr w:type="spellStart"/>
            <w:r>
              <w:rPr>
                <w:rFonts w:cs="Times New Roman"/>
                <w:lang w:val="en-US"/>
              </w:rPr>
              <w:t>logMAR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</w:tc>
        <w:tc>
          <w:tcPr>
            <w:tcW w:w="854" w:type="dxa"/>
          </w:tcPr>
          <w:p w14:paraId="7AD55020" w14:textId="77777777" w:rsidR="00C54550" w:rsidRPr="004B1E4C" w:rsidRDefault="00C54550" w:rsidP="0073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Visual field defect</w:t>
            </w:r>
          </w:p>
        </w:tc>
        <w:tc>
          <w:tcPr>
            <w:tcW w:w="1612" w:type="dxa"/>
          </w:tcPr>
          <w:p w14:paraId="646FD23C" w14:textId="77777777" w:rsidR="00C54550" w:rsidRPr="004B1E4C" w:rsidRDefault="00C54550" w:rsidP="0073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Diagnosis</w:t>
            </w:r>
          </w:p>
        </w:tc>
        <w:tc>
          <w:tcPr>
            <w:tcW w:w="2449" w:type="dxa"/>
          </w:tcPr>
          <w:p w14:paraId="30E13651" w14:textId="77777777" w:rsidR="00C54550" w:rsidRPr="004B1E4C" w:rsidRDefault="00C54550" w:rsidP="0073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Medication</w:t>
            </w:r>
          </w:p>
        </w:tc>
      </w:tr>
      <w:tr w:rsidR="00C54550" w14:paraId="583DFC7A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17F476AE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t>s1</w:t>
            </w:r>
          </w:p>
        </w:tc>
        <w:tc>
          <w:tcPr>
            <w:tcW w:w="616" w:type="dxa"/>
          </w:tcPr>
          <w:p w14:paraId="1879B3C0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65</w:t>
            </w:r>
          </w:p>
        </w:tc>
        <w:tc>
          <w:tcPr>
            <w:tcW w:w="1028" w:type="dxa"/>
          </w:tcPr>
          <w:p w14:paraId="0FF18B9E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4085EF16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-0.1 </w:t>
            </w:r>
          </w:p>
        </w:tc>
        <w:tc>
          <w:tcPr>
            <w:tcW w:w="854" w:type="dxa"/>
          </w:tcPr>
          <w:p w14:paraId="6D31EBCB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RHH</w:t>
            </w:r>
          </w:p>
        </w:tc>
        <w:tc>
          <w:tcPr>
            <w:tcW w:w="1612" w:type="dxa"/>
          </w:tcPr>
          <w:p w14:paraId="2F2FAB8E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</w:t>
            </w:r>
          </w:p>
        </w:tc>
        <w:tc>
          <w:tcPr>
            <w:tcW w:w="2449" w:type="dxa"/>
          </w:tcPr>
          <w:p w14:paraId="52D53423" w14:textId="77777777" w:rsidR="00C54550" w:rsidRPr="00CF09D9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it-IT"/>
              </w:rPr>
            </w:pPr>
            <w:r w:rsidRPr="00CF09D9">
              <w:rPr>
                <w:rFonts w:cs="Times New Roman"/>
                <w:lang w:val="it-IT"/>
              </w:rPr>
              <w:t xml:space="preserve">Clopidogrel, </w:t>
            </w:r>
            <w:proofErr w:type="spellStart"/>
            <w:r w:rsidRPr="00CF09D9">
              <w:rPr>
                <w:rFonts w:cs="Times New Roman"/>
                <w:lang w:val="it-IT"/>
              </w:rPr>
              <w:t>ezetimibe</w:t>
            </w:r>
            <w:proofErr w:type="spellEnd"/>
            <w:r w:rsidRPr="00CF09D9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CF09D9">
              <w:rPr>
                <w:rFonts w:cs="Times New Roman"/>
                <w:lang w:val="it-IT"/>
              </w:rPr>
              <w:t>nifedipine</w:t>
            </w:r>
            <w:proofErr w:type="spellEnd"/>
            <w:r w:rsidRPr="00CF09D9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CF09D9">
              <w:rPr>
                <w:rFonts w:cs="Times New Roman"/>
                <w:lang w:val="it-IT"/>
              </w:rPr>
              <w:t>pantoprazole</w:t>
            </w:r>
            <w:proofErr w:type="spellEnd"/>
            <w:r w:rsidRPr="00CF09D9">
              <w:rPr>
                <w:rFonts w:cs="Times New Roman"/>
                <w:lang w:val="it-IT"/>
              </w:rPr>
              <w:t xml:space="preserve">, simvastatine, </w:t>
            </w:r>
            <w:proofErr w:type="spellStart"/>
            <w:r w:rsidRPr="00CF09D9">
              <w:rPr>
                <w:rFonts w:cs="Times New Roman"/>
                <w:lang w:val="it-IT"/>
              </w:rPr>
              <w:t>tamsulosine</w:t>
            </w:r>
            <w:proofErr w:type="spellEnd"/>
          </w:p>
        </w:tc>
      </w:tr>
      <w:tr w:rsidR="00C54550" w14:paraId="211F9AED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5D0BC563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t>s2</w:t>
            </w:r>
          </w:p>
        </w:tc>
        <w:tc>
          <w:tcPr>
            <w:tcW w:w="616" w:type="dxa"/>
          </w:tcPr>
          <w:p w14:paraId="27A0447A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56</w:t>
            </w:r>
          </w:p>
        </w:tc>
        <w:tc>
          <w:tcPr>
            <w:tcW w:w="1028" w:type="dxa"/>
          </w:tcPr>
          <w:p w14:paraId="4A6FCA2C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3DABC942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0254C990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ILQ</w:t>
            </w:r>
          </w:p>
        </w:tc>
        <w:tc>
          <w:tcPr>
            <w:tcW w:w="1612" w:type="dxa"/>
          </w:tcPr>
          <w:p w14:paraId="09C551F6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71E60A21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Acenocoumarol</w:t>
            </w:r>
            <w:proofErr w:type="spellEnd"/>
            <w:r>
              <w:rPr>
                <w:rFonts w:cs="Times New Roman"/>
                <w:lang w:val="en-US"/>
              </w:rPr>
              <w:t>, acetylsalicylic acid, amlodipine, citalopram, metoprolol, perindopril, rosuvastatin</w:t>
            </w:r>
          </w:p>
        </w:tc>
      </w:tr>
      <w:tr w:rsidR="00C54550" w14:paraId="28804866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548745E5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s3</w:t>
            </w:r>
          </w:p>
        </w:tc>
        <w:tc>
          <w:tcPr>
            <w:tcW w:w="616" w:type="dxa"/>
          </w:tcPr>
          <w:p w14:paraId="64914D30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28</w:t>
            </w:r>
          </w:p>
        </w:tc>
        <w:tc>
          <w:tcPr>
            <w:tcW w:w="1028" w:type="dxa"/>
          </w:tcPr>
          <w:p w14:paraId="354B12F7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1C23501F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-0.1 </w:t>
            </w:r>
          </w:p>
        </w:tc>
        <w:tc>
          <w:tcPr>
            <w:tcW w:w="854" w:type="dxa"/>
          </w:tcPr>
          <w:p w14:paraId="11C56631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RHH</w:t>
            </w:r>
          </w:p>
        </w:tc>
        <w:tc>
          <w:tcPr>
            <w:tcW w:w="1612" w:type="dxa"/>
          </w:tcPr>
          <w:p w14:paraId="5CEE30BA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 after tumor resection left frontal cortex</w:t>
            </w:r>
          </w:p>
        </w:tc>
        <w:tc>
          <w:tcPr>
            <w:tcW w:w="2449" w:type="dxa"/>
          </w:tcPr>
          <w:p w14:paraId="38D041FD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Levetiracetam</w:t>
            </w:r>
          </w:p>
        </w:tc>
      </w:tr>
      <w:tr w:rsidR="00C54550" w14:paraId="33D2815D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5C664174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s4</w:t>
            </w:r>
          </w:p>
        </w:tc>
        <w:tc>
          <w:tcPr>
            <w:tcW w:w="616" w:type="dxa"/>
          </w:tcPr>
          <w:p w14:paraId="59E9D528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58</w:t>
            </w:r>
          </w:p>
        </w:tc>
        <w:tc>
          <w:tcPr>
            <w:tcW w:w="1028" w:type="dxa"/>
          </w:tcPr>
          <w:p w14:paraId="7AA34D73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65DF2086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3BEF9650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RHH</w:t>
            </w:r>
          </w:p>
        </w:tc>
        <w:tc>
          <w:tcPr>
            <w:tcW w:w="1612" w:type="dxa"/>
          </w:tcPr>
          <w:p w14:paraId="71664889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</w:t>
            </w:r>
          </w:p>
        </w:tc>
        <w:tc>
          <w:tcPr>
            <w:tcW w:w="2449" w:type="dxa"/>
          </w:tcPr>
          <w:p w14:paraId="7BF9A8E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Clopidogrel </w:t>
            </w:r>
          </w:p>
        </w:tc>
      </w:tr>
      <w:tr w:rsidR="00C54550" w14:paraId="2BAF974B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2DB98A9A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s5</w:t>
            </w:r>
          </w:p>
        </w:tc>
        <w:tc>
          <w:tcPr>
            <w:tcW w:w="616" w:type="dxa"/>
          </w:tcPr>
          <w:p w14:paraId="42070A2A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71</w:t>
            </w:r>
          </w:p>
        </w:tc>
        <w:tc>
          <w:tcPr>
            <w:tcW w:w="1028" w:type="dxa"/>
          </w:tcPr>
          <w:p w14:paraId="231DCD65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495D50E4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1BF51352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ILQ</w:t>
            </w:r>
          </w:p>
        </w:tc>
        <w:tc>
          <w:tcPr>
            <w:tcW w:w="1612" w:type="dxa"/>
          </w:tcPr>
          <w:p w14:paraId="23F2F81F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3B25941B" w14:textId="77777777" w:rsidR="00C54550" w:rsidRPr="00001E26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fr-FR"/>
              </w:rPr>
            </w:pPr>
            <w:proofErr w:type="spellStart"/>
            <w:r w:rsidRPr="00001E26">
              <w:rPr>
                <w:rFonts w:cs="Times New Roman"/>
                <w:lang w:val="fr-FR"/>
              </w:rPr>
              <w:t>Simvastatin</w:t>
            </w:r>
            <w:proofErr w:type="spellEnd"/>
            <w:r w:rsidRPr="00001E26">
              <w:rPr>
                <w:rFonts w:cs="Times New Roman"/>
                <w:lang w:val="fr-FR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fr-FR"/>
              </w:rPr>
              <w:t>apixaban</w:t>
            </w:r>
            <w:proofErr w:type="spellEnd"/>
            <w:r w:rsidRPr="00001E26">
              <w:rPr>
                <w:rFonts w:cs="Times New Roman"/>
                <w:lang w:val="fr-FR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fr-FR"/>
              </w:rPr>
              <w:t>levetiracetam</w:t>
            </w:r>
            <w:proofErr w:type="spellEnd"/>
            <w:r w:rsidRPr="00001E26">
              <w:rPr>
                <w:rFonts w:cs="Times New Roman"/>
                <w:lang w:val="fr-FR"/>
              </w:rPr>
              <w:t xml:space="preserve">, hydrochlorothiazide, </w:t>
            </w:r>
            <w:proofErr w:type="spellStart"/>
            <w:r w:rsidRPr="00001E26">
              <w:rPr>
                <w:rFonts w:cs="Times New Roman"/>
                <w:lang w:val="fr-FR"/>
              </w:rPr>
              <w:t>digoxin</w:t>
            </w:r>
            <w:proofErr w:type="spellEnd"/>
            <w:r w:rsidRPr="00001E26">
              <w:rPr>
                <w:rFonts w:cs="Times New Roman"/>
                <w:lang w:val="fr-FR"/>
              </w:rPr>
              <w:t xml:space="preserve">, losartan, </w:t>
            </w:r>
            <w:proofErr w:type="spellStart"/>
            <w:r w:rsidRPr="00001E26">
              <w:rPr>
                <w:rFonts w:cs="Times New Roman"/>
                <w:lang w:val="fr-FR"/>
              </w:rPr>
              <w:t>tramadol</w:t>
            </w:r>
            <w:proofErr w:type="spellEnd"/>
          </w:p>
        </w:tc>
      </w:tr>
      <w:tr w:rsidR="00C54550" w14:paraId="6276995A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0A4BD6AA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s6</w:t>
            </w:r>
          </w:p>
        </w:tc>
        <w:tc>
          <w:tcPr>
            <w:tcW w:w="616" w:type="dxa"/>
          </w:tcPr>
          <w:p w14:paraId="1A76F700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57</w:t>
            </w:r>
          </w:p>
        </w:tc>
        <w:tc>
          <w:tcPr>
            <w:tcW w:w="1028" w:type="dxa"/>
          </w:tcPr>
          <w:p w14:paraId="60EE7A2A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37D17BD1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-0.1 </w:t>
            </w:r>
          </w:p>
        </w:tc>
        <w:tc>
          <w:tcPr>
            <w:tcW w:w="854" w:type="dxa"/>
          </w:tcPr>
          <w:p w14:paraId="7A87E39A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4A33939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37B2D3DD" w14:textId="77777777" w:rsidR="00C54550" w:rsidRPr="00001E26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it-IT"/>
              </w:rPr>
            </w:pPr>
            <w:proofErr w:type="spellStart"/>
            <w:r w:rsidRPr="00001E26">
              <w:rPr>
                <w:rFonts w:cs="Times New Roman"/>
                <w:lang w:val="it-IT"/>
              </w:rPr>
              <w:t>Metoprolol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pantoprazole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rosuvastatin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lisinopril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desloratadine</w:t>
            </w:r>
            <w:proofErr w:type="spellEnd"/>
          </w:p>
        </w:tc>
      </w:tr>
      <w:tr w:rsidR="00C54550" w14:paraId="4F16B91E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7AE60A40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s7</w:t>
            </w:r>
          </w:p>
        </w:tc>
        <w:tc>
          <w:tcPr>
            <w:tcW w:w="616" w:type="dxa"/>
          </w:tcPr>
          <w:p w14:paraId="6624436A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68</w:t>
            </w:r>
          </w:p>
        </w:tc>
        <w:tc>
          <w:tcPr>
            <w:tcW w:w="1028" w:type="dxa"/>
          </w:tcPr>
          <w:p w14:paraId="183B379D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32D15069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2306A5D6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RHH</w:t>
            </w:r>
          </w:p>
        </w:tc>
        <w:tc>
          <w:tcPr>
            <w:tcW w:w="1612" w:type="dxa"/>
          </w:tcPr>
          <w:p w14:paraId="5114C67A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</w:t>
            </w:r>
          </w:p>
        </w:tc>
        <w:tc>
          <w:tcPr>
            <w:tcW w:w="2449" w:type="dxa"/>
          </w:tcPr>
          <w:p w14:paraId="250F17F4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Acetylsalicylic acid, simvastatin</w:t>
            </w:r>
          </w:p>
        </w:tc>
      </w:tr>
      <w:tr w:rsidR="00C54550" w14:paraId="3ADFA224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35C886B2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s8</w:t>
            </w:r>
          </w:p>
        </w:tc>
        <w:tc>
          <w:tcPr>
            <w:tcW w:w="616" w:type="dxa"/>
          </w:tcPr>
          <w:p w14:paraId="68E4297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73</w:t>
            </w:r>
          </w:p>
        </w:tc>
        <w:tc>
          <w:tcPr>
            <w:tcW w:w="1028" w:type="dxa"/>
          </w:tcPr>
          <w:p w14:paraId="14187D8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0A95353C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1927FC51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2E0767C6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6D24E12E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Clopidogrel, losartan, simvastatin</w:t>
            </w:r>
          </w:p>
        </w:tc>
      </w:tr>
      <w:tr w:rsidR="00C54550" w14:paraId="24E2D392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305BFF71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s9</w:t>
            </w:r>
          </w:p>
        </w:tc>
        <w:tc>
          <w:tcPr>
            <w:tcW w:w="616" w:type="dxa"/>
          </w:tcPr>
          <w:p w14:paraId="54636D03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74</w:t>
            </w:r>
          </w:p>
        </w:tc>
        <w:tc>
          <w:tcPr>
            <w:tcW w:w="1028" w:type="dxa"/>
          </w:tcPr>
          <w:p w14:paraId="0559F990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67C7CB3F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76CD2A17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37D4BE60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779832D3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Perindopril, rosuvastatin, clopidogrel, hydrochlorothiazide, amitriptyline, pantoprazole</w:t>
            </w:r>
          </w:p>
        </w:tc>
      </w:tr>
      <w:tr w:rsidR="00C54550" w14:paraId="0BEB6C77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2CDB58E3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t>s1</w:t>
            </w:r>
            <w:r>
              <w:rPr>
                <w:rFonts w:cs="Times New Roman"/>
                <w:b w:val="0"/>
                <w:bCs w:val="0"/>
                <w:lang w:val="en-US"/>
              </w:rPr>
              <w:t>0</w:t>
            </w:r>
          </w:p>
        </w:tc>
        <w:tc>
          <w:tcPr>
            <w:tcW w:w="616" w:type="dxa"/>
          </w:tcPr>
          <w:p w14:paraId="75EDD5E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51</w:t>
            </w:r>
          </w:p>
        </w:tc>
        <w:tc>
          <w:tcPr>
            <w:tcW w:w="1028" w:type="dxa"/>
          </w:tcPr>
          <w:p w14:paraId="4034E0A8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F</w:t>
            </w:r>
            <w:r>
              <w:rPr>
                <w:rFonts w:cs="Times New Roman"/>
                <w:lang w:val="en-US"/>
              </w:rPr>
              <w:t>emale</w:t>
            </w:r>
          </w:p>
        </w:tc>
        <w:tc>
          <w:tcPr>
            <w:tcW w:w="1517" w:type="dxa"/>
          </w:tcPr>
          <w:p w14:paraId="479B54B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2D0EA9FB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269BDB6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443DA4E3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Amlodipine, lisinopril</w:t>
            </w:r>
          </w:p>
        </w:tc>
      </w:tr>
      <w:tr w:rsidR="00C54550" w14:paraId="585F733F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61ACB618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t>s1</w:t>
            </w:r>
            <w:r>
              <w:rPr>
                <w:rFonts w:cs="Times New Roman"/>
                <w:b w:val="0"/>
                <w:bCs w:val="0"/>
                <w:lang w:val="en-US"/>
              </w:rPr>
              <w:t>1</w:t>
            </w:r>
          </w:p>
        </w:tc>
        <w:tc>
          <w:tcPr>
            <w:tcW w:w="616" w:type="dxa"/>
          </w:tcPr>
          <w:p w14:paraId="39D29EA5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64</w:t>
            </w:r>
          </w:p>
        </w:tc>
        <w:tc>
          <w:tcPr>
            <w:tcW w:w="1028" w:type="dxa"/>
          </w:tcPr>
          <w:p w14:paraId="601CF74E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52486398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3E21AC83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2CE405D1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42BFEFCD" w14:textId="77777777" w:rsidR="00C54550" w:rsidRPr="00001E26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it-IT"/>
              </w:rPr>
            </w:pPr>
            <w:proofErr w:type="spellStart"/>
            <w:r w:rsidRPr="00001E26">
              <w:rPr>
                <w:rFonts w:cs="Times New Roman"/>
                <w:lang w:val="it-IT"/>
              </w:rPr>
              <w:t>Bisoprolol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eplerenone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perindopril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atorvastatin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, </w:t>
            </w:r>
            <w:proofErr w:type="spellStart"/>
            <w:r w:rsidRPr="00001E26">
              <w:rPr>
                <w:rFonts w:cs="Times New Roman"/>
                <w:lang w:val="it-IT"/>
              </w:rPr>
              <w:t>acetylsalicylic</w:t>
            </w:r>
            <w:proofErr w:type="spellEnd"/>
            <w:r w:rsidRPr="00001E26">
              <w:rPr>
                <w:rFonts w:cs="Times New Roman"/>
                <w:lang w:val="it-IT"/>
              </w:rPr>
              <w:t xml:space="preserve"> acid</w:t>
            </w:r>
          </w:p>
        </w:tc>
      </w:tr>
      <w:tr w:rsidR="00C54550" w14:paraId="2915B7F3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60D527AE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t>s1</w:t>
            </w:r>
            <w:r>
              <w:rPr>
                <w:rFonts w:cs="Times New Roman"/>
                <w:b w:val="0"/>
                <w:bCs w:val="0"/>
                <w:lang w:val="en-US"/>
              </w:rPr>
              <w:t>2</w:t>
            </w:r>
          </w:p>
        </w:tc>
        <w:tc>
          <w:tcPr>
            <w:tcW w:w="616" w:type="dxa"/>
          </w:tcPr>
          <w:p w14:paraId="6C601859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79</w:t>
            </w:r>
          </w:p>
        </w:tc>
        <w:tc>
          <w:tcPr>
            <w:tcW w:w="1028" w:type="dxa"/>
          </w:tcPr>
          <w:p w14:paraId="3D92FBE1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4AD5AFCB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02C5DC69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7BA55D91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12037114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Atorvastatin, acetylsalicylic acid</w:t>
            </w:r>
          </w:p>
        </w:tc>
      </w:tr>
      <w:tr w:rsidR="00C54550" w14:paraId="63D14FF1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413EBB25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t>s1</w:t>
            </w:r>
            <w:r>
              <w:rPr>
                <w:rFonts w:cs="Times New Roman"/>
                <w:b w:val="0"/>
                <w:bCs w:val="0"/>
                <w:lang w:val="en-US"/>
              </w:rPr>
              <w:t>3</w:t>
            </w:r>
          </w:p>
        </w:tc>
        <w:tc>
          <w:tcPr>
            <w:tcW w:w="616" w:type="dxa"/>
          </w:tcPr>
          <w:p w14:paraId="1E9E5A6D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49</w:t>
            </w:r>
          </w:p>
        </w:tc>
        <w:tc>
          <w:tcPr>
            <w:tcW w:w="1028" w:type="dxa"/>
          </w:tcPr>
          <w:p w14:paraId="3BFFD539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F</w:t>
            </w:r>
            <w:r>
              <w:rPr>
                <w:rFonts w:cs="Times New Roman"/>
                <w:lang w:val="en-US"/>
              </w:rPr>
              <w:t>emale</w:t>
            </w:r>
          </w:p>
        </w:tc>
        <w:tc>
          <w:tcPr>
            <w:tcW w:w="1517" w:type="dxa"/>
          </w:tcPr>
          <w:p w14:paraId="60A3CC70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854" w:type="dxa"/>
          </w:tcPr>
          <w:p w14:paraId="06E6D1A3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600511BC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3D8649FD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Amlodipine, candesartan, spironolactone</w:t>
            </w:r>
          </w:p>
        </w:tc>
      </w:tr>
      <w:tr w:rsidR="00C54550" w14:paraId="4007F4BF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6FF4B301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t>s1</w:t>
            </w:r>
            <w:r>
              <w:rPr>
                <w:rFonts w:cs="Times New Roman"/>
                <w:b w:val="0"/>
                <w:bCs w:val="0"/>
                <w:lang w:val="en-US"/>
              </w:rPr>
              <w:t>4</w:t>
            </w:r>
          </w:p>
        </w:tc>
        <w:tc>
          <w:tcPr>
            <w:tcW w:w="616" w:type="dxa"/>
          </w:tcPr>
          <w:p w14:paraId="19842121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46</w:t>
            </w:r>
          </w:p>
        </w:tc>
        <w:tc>
          <w:tcPr>
            <w:tcW w:w="1028" w:type="dxa"/>
          </w:tcPr>
          <w:p w14:paraId="7CF7BAE3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46C996BE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0.05</w:t>
            </w:r>
          </w:p>
        </w:tc>
        <w:tc>
          <w:tcPr>
            <w:tcW w:w="854" w:type="dxa"/>
          </w:tcPr>
          <w:p w14:paraId="3EA8CFAA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RHH</w:t>
            </w:r>
          </w:p>
        </w:tc>
        <w:tc>
          <w:tcPr>
            <w:tcW w:w="1612" w:type="dxa"/>
          </w:tcPr>
          <w:p w14:paraId="6D338206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</w:t>
            </w:r>
          </w:p>
        </w:tc>
        <w:tc>
          <w:tcPr>
            <w:tcW w:w="2449" w:type="dxa"/>
          </w:tcPr>
          <w:p w14:paraId="6C101524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proofErr w:type="spellStart"/>
            <w:r w:rsidRPr="004B1E4C">
              <w:rPr>
                <w:rFonts w:cs="Times New Roman"/>
                <w:lang w:val="en-US"/>
              </w:rPr>
              <w:t>Acenocoumar</w:t>
            </w:r>
            <w:r>
              <w:rPr>
                <w:rFonts w:cs="Times New Roman"/>
                <w:lang w:val="en-US"/>
              </w:rPr>
              <w:t>ol</w:t>
            </w:r>
            <w:proofErr w:type="spellEnd"/>
            <w:r w:rsidRPr="004B1E4C">
              <w:rPr>
                <w:rFonts w:cs="Times New Roman"/>
                <w:lang w:val="en-US"/>
              </w:rPr>
              <w:t>, formoterol, levocetirizine</w:t>
            </w:r>
          </w:p>
        </w:tc>
      </w:tr>
      <w:tr w:rsidR="00C54550" w14:paraId="659117EF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0C45282B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 w:rsidRPr="004B1E4C">
              <w:rPr>
                <w:rFonts w:cs="Times New Roman"/>
                <w:b w:val="0"/>
                <w:bCs w:val="0"/>
                <w:lang w:val="en-US"/>
              </w:rPr>
              <w:lastRenderedPageBreak/>
              <w:t>s1</w:t>
            </w:r>
            <w:r>
              <w:rPr>
                <w:rFonts w:cs="Times New Roman"/>
                <w:b w:val="0"/>
                <w:bCs w:val="0"/>
                <w:lang w:val="en-US"/>
              </w:rPr>
              <w:t>5</w:t>
            </w:r>
          </w:p>
        </w:tc>
        <w:tc>
          <w:tcPr>
            <w:tcW w:w="616" w:type="dxa"/>
          </w:tcPr>
          <w:p w14:paraId="5422B8DC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49</w:t>
            </w:r>
          </w:p>
        </w:tc>
        <w:tc>
          <w:tcPr>
            <w:tcW w:w="1028" w:type="dxa"/>
          </w:tcPr>
          <w:p w14:paraId="531AB573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F</w:t>
            </w:r>
            <w:r>
              <w:rPr>
                <w:rFonts w:cs="Times New Roman"/>
                <w:lang w:val="en-US"/>
              </w:rPr>
              <w:t>emale</w:t>
            </w:r>
          </w:p>
        </w:tc>
        <w:tc>
          <w:tcPr>
            <w:tcW w:w="1517" w:type="dxa"/>
          </w:tcPr>
          <w:p w14:paraId="42AFDB56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-0.1 </w:t>
            </w:r>
          </w:p>
        </w:tc>
        <w:tc>
          <w:tcPr>
            <w:tcW w:w="854" w:type="dxa"/>
          </w:tcPr>
          <w:p w14:paraId="6F7E54EC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SRQ</w:t>
            </w:r>
          </w:p>
        </w:tc>
        <w:tc>
          <w:tcPr>
            <w:tcW w:w="1612" w:type="dxa"/>
          </w:tcPr>
          <w:p w14:paraId="5C8CC40A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</w:t>
            </w:r>
          </w:p>
        </w:tc>
        <w:tc>
          <w:tcPr>
            <w:tcW w:w="2449" w:type="dxa"/>
          </w:tcPr>
          <w:p w14:paraId="1F499976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Clopidogrel, simvastatin</w:t>
            </w:r>
          </w:p>
        </w:tc>
      </w:tr>
      <w:tr w:rsidR="00C54550" w14:paraId="18A176B8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0A502463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s16</w:t>
            </w:r>
          </w:p>
        </w:tc>
        <w:tc>
          <w:tcPr>
            <w:tcW w:w="616" w:type="dxa"/>
          </w:tcPr>
          <w:p w14:paraId="3F90A768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63</w:t>
            </w:r>
          </w:p>
        </w:tc>
        <w:tc>
          <w:tcPr>
            <w:tcW w:w="1028" w:type="dxa"/>
          </w:tcPr>
          <w:p w14:paraId="2B731886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79809B0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55C941C6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24ED331B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3ACE550C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Atorvastatin, clopidogrel, amlodipine, lisinopril</w:t>
            </w:r>
          </w:p>
        </w:tc>
      </w:tr>
      <w:tr w:rsidR="00C54550" w14:paraId="2868C2FC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05541DA8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s17</w:t>
            </w:r>
          </w:p>
        </w:tc>
        <w:tc>
          <w:tcPr>
            <w:tcW w:w="616" w:type="dxa"/>
          </w:tcPr>
          <w:p w14:paraId="07025AFA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57</w:t>
            </w:r>
          </w:p>
        </w:tc>
        <w:tc>
          <w:tcPr>
            <w:tcW w:w="1028" w:type="dxa"/>
          </w:tcPr>
          <w:p w14:paraId="0068CAFE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4F401F28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69F813CD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RHH</w:t>
            </w:r>
          </w:p>
        </w:tc>
        <w:tc>
          <w:tcPr>
            <w:tcW w:w="1612" w:type="dxa"/>
          </w:tcPr>
          <w:p w14:paraId="6D1C98A1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</w:t>
            </w:r>
          </w:p>
        </w:tc>
        <w:tc>
          <w:tcPr>
            <w:tcW w:w="2449" w:type="dxa"/>
          </w:tcPr>
          <w:p w14:paraId="7D184DAC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Simvastatin, clopidogrel, pantoprazole</w:t>
            </w:r>
          </w:p>
        </w:tc>
      </w:tr>
      <w:tr w:rsidR="00C54550" w14:paraId="28DEFE24" w14:textId="77777777" w:rsidTr="0073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560D0EFE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s18</w:t>
            </w:r>
          </w:p>
        </w:tc>
        <w:tc>
          <w:tcPr>
            <w:tcW w:w="616" w:type="dxa"/>
          </w:tcPr>
          <w:p w14:paraId="4E05111F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67</w:t>
            </w:r>
          </w:p>
        </w:tc>
        <w:tc>
          <w:tcPr>
            <w:tcW w:w="1028" w:type="dxa"/>
          </w:tcPr>
          <w:p w14:paraId="336EACDA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37E9F1D3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24EF0232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ILQ</w:t>
            </w:r>
          </w:p>
        </w:tc>
        <w:tc>
          <w:tcPr>
            <w:tcW w:w="1612" w:type="dxa"/>
          </w:tcPr>
          <w:p w14:paraId="00340A24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</w:t>
            </w:r>
          </w:p>
        </w:tc>
        <w:tc>
          <w:tcPr>
            <w:tcW w:w="2449" w:type="dxa"/>
          </w:tcPr>
          <w:p w14:paraId="6775AF9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Clopidogrel, pantoprazole, pravastatin</w:t>
            </w:r>
          </w:p>
        </w:tc>
      </w:tr>
      <w:tr w:rsidR="00C54550" w14:paraId="7E5FCFD6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0DC886B8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s19</w:t>
            </w:r>
          </w:p>
        </w:tc>
        <w:tc>
          <w:tcPr>
            <w:tcW w:w="616" w:type="dxa"/>
          </w:tcPr>
          <w:p w14:paraId="60E4F9F0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55</w:t>
            </w:r>
          </w:p>
        </w:tc>
        <w:tc>
          <w:tcPr>
            <w:tcW w:w="1028" w:type="dxa"/>
          </w:tcPr>
          <w:p w14:paraId="4B5555C3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F</w:t>
            </w:r>
            <w:r>
              <w:rPr>
                <w:rFonts w:cs="Times New Roman"/>
                <w:lang w:val="en-US"/>
              </w:rPr>
              <w:t>emale</w:t>
            </w:r>
          </w:p>
        </w:tc>
        <w:tc>
          <w:tcPr>
            <w:tcW w:w="1517" w:type="dxa"/>
          </w:tcPr>
          <w:p w14:paraId="23C7F10F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 </w:t>
            </w:r>
          </w:p>
        </w:tc>
        <w:tc>
          <w:tcPr>
            <w:tcW w:w="854" w:type="dxa"/>
          </w:tcPr>
          <w:p w14:paraId="48779069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SRQ</w:t>
            </w:r>
          </w:p>
        </w:tc>
        <w:tc>
          <w:tcPr>
            <w:tcW w:w="1612" w:type="dxa"/>
          </w:tcPr>
          <w:p w14:paraId="2DEBDC52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left occipital cortex</w:t>
            </w:r>
          </w:p>
        </w:tc>
        <w:tc>
          <w:tcPr>
            <w:tcW w:w="2449" w:type="dxa"/>
          </w:tcPr>
          <w:p w14:paraId="4C6FF6E7" w14:textId="77777777" w:rsidR="00C54550" w:rsidRPr="004B1E4C" w:rsidRDefault="00C54550" w:rsidP="0073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Valsartan</w:t>
            </w:r>
          </w:p>
        </w:tc>
      </w:tr>
      <w:tr w:rsidR="00C54550" w14:paraId="0CD409C4" w14:textId="77777777" w:rsidTr="0073061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dxa"/>
          </w:tcPr>
          <w:p w14:paraId="3CB52F5E" w14:textId="77777777" w:rsidR="00C54550" w:rsidRPr="004B1E4C" w:rsidRDefault="00C54550" w:rsidP="00730616">
            <w:pPr>
              <w:jc w:val="center"/>
              <w:rPr>
                <w:rFonts w:cs="Times New Roman"/>
                <w:b w:val="0"/>
                <w:bCs w:val="0"/>
                <w:lang w:val="en-US"/>
              </w:rPr>
            </w:pPr>
            <w:r>
              <w:rPr>
                <w:rFonts w:cs="Times New Roman"/>
                <w:b w:val="0"/>
                <w:bCs w:val="0"/>
                <w:lang w:val="en-US"/>
              </w:rPr>
              <w:t>s20</w:t>
            </w:r>
          </w:p>
        </w:tc>
        <w:tc>
          <w:tcPr>
            <w:tcW w:w="616" w:type="dxa"/>
          </w:tcPr>
          <w:p w14:paraId="0DE6EEE9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28</w:t>
            </w:r>
          </w:p>
        </w:tc>
        <w:tc>
          <w:tcPr>
            <w:tcW w:w="1028" w:type="dxa"/>
          </w:tcPr>
          <w:p w14:paraId="6F68183D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ale</w:t>
            </w:r>
          </w:p>
        </w:tc>
        <w:tc>
          <w:tcPr>
            <w:tcW w:w="1517" w:type="dxa"/>
          </w:tcPr>
          <w:p w14:paraId="0776D3D3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-0.2 </w:t>
            </w:r>
          </w:p>
        </w:tc>
        <w:tc>
          <w:tcPr>
            <w:tcW w:w="854" w:type="dxa"/>
          </w:tcPr>
          <w:p w14:paraId="74A8FC46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4B1E4C">
              <w:rPr>
                <w:rFonts w:cs="Times New Roman"/>
                <w:lang w:val="en-US"/>
              </w:rPr>
              <w:t>LHH</w:t>
            </w:r>
          </w:p>
        </w:tc>
        <w:tc>
          <w:tcPr>
            <w:tcW w:w="1612" w:type="dxa"/>
          </w:tcPr>
          <w:p w14:paraId="11E2F33B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Stroke right occipital cortex after resection arteriovenous malformation</w:t>
            </w:r>
          </w:p>
        </w:tc>
        <w:tc>
          <w:tcPr>
            <w:tcW w:w="2449" w:type="dxa"/>
          </w:tcPr>
          <w:p w14:paraId="4A99E431" w14:textId="77777777" w:rsidR="00C54550" w:rsidRPr="004B1E4C" w:rsidRDefault="00C54550" w:rsidP="0073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Mebeverine, fexofenadine</w:t>
            </w:r>
          </w:p>
        </w:tc>
      </w:tr>
    </w:tbl>
    <w:p w14:paraId="3D874F23" w14:textId="77777777" w:rsidR="00C54550" w:rsidRPr="00001E26" w:rsidRDefault="00C54550" w:rsidP="00C54550">
      <w:pPr>
        <w:pStyle w:val="Default"/>
        <w:spacing w:line="360" w:lineRule="auto"/>
        <w:rPr>
          <w:sz w:val="22"/>
          <w:szCs w:val="22"/>
          <w:lang w:val="en-NL"/>
        </w:rPr>
      </w:pPr>
      <w:r w:rsidRPr="00001E26">
        <w:rPr>
          <w:b/>
          <w:bCs/>
          <w:sz w:val="20"/>
          <w:szCs w:val="20"/>
          <w:lang w:val="en-NL"/>
        </w:rPr>
        <w:t xml:space="preserve">Table S1. </w:t>
      </w:r>
      <w:r w:rsidRPr="00001E26">
        <w:rPr>
          <w:sz w:val="20"/>
          <w:szCs w:val="20"/>
          <w:lang w:val="en-NL"/>
        </w:rPr>
        <w:t>Patient demographics. VA = visual acuity (in logMAR); LHH = (partial) left homonymous hemianopia; RHH = (partial) right homonymous hemianopia; ILQ = inferior left homonymous quadrantanopia; SRQ = superior right homonymous quadrantanopia.</w:t>
      </w:r>
      <w:r w:rsidRPr="00001E26">
        <w:rPr>
          <w:sz w:val="22"/>
          <w:szCs w:val="22"/>
          <w:lang w:val="en-NL"/>
        </w:rPr>
        <w:t xml:space="preserve"> </w:t>
      </w:r>
    </w:p>
    <w:p w14:paraId="0AF3CEA1" w14:textId="77777777" w:rsidR="00C54550" w:rsidRDefault="00C54550" w:rsidP="00C54550">
      <w:pPr>
        <w:pStyle w:val="Default"/>
        <w:rPr>
          <w:lang w:val="en-NL"/>
        </w:rPr>
      </w:pPr>
    </w:p>
    <w:p w14:paraId="464AB2F5" w14:textId="15EDB408" w:rsidR="00C75157" w:rsidRDefault="00C75157">
      <w:r>
        <w:br w:type="page"/>
      </w:r>
    </w:p>
    <w:p w14:paraId="5B2056F8" w14:textId="77777777" w:rsidR="00C54550" w:rsidRPr="00001E26" w:rsidRDefault="00C54550" w:rsidP="00C54550"/>
    <w:tbl>
      <w:tblPr>
        <w:tblStyle w:val="ListTable7Colourful"/>
        <w:tblW w:w="8886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3"/>
      </w:tblGrid>
      <w:tr w:rsidR="00C54550" w:rsidRPr="007A5327" w14:paraId="721E0F71" w14:textId="77777777" w:rsidTr="0073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1" w:type="dxa"/>
          </w:tcPr>
          <w:p w14:paraId="3AC02AE2" w14:textId="77777777" w:rsidR="00C54550" w:rsidRDefault="00C54550" w:rsidP="00730616"/>
        </w:tc>
        <w:tc>
          <w:tcPr>
            <w:tcW w:w="2221" w:type="dxa"/>
          </w:tcPr>
          <w:p w14:paraId="7939FDAF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Equiluminant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40C61DC2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Cyan</w:t>
            </w:r>
            <w:proofErr w:type="spellEnd"/>
          </w:p>
        </w:tc>
        <w:tc>
          <w:tcPr>
            <w:tcW w:w="2223" w:type="dxa"/>
          </w:tcPr>
          <w:p w14:paraId="0B7066A2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White</w:t>
            </w:r>
          </w:p>
        </w:tc>
      </w:tr>
      <w:tr w:rsidR="00C54550" w14:paraId="6F9E7F15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064363E8" w14:textId="77777777" w:rsidR="00C54550" w:rsidRPr="006B1E80" w:rsidRDefault="00C54550" w:rsidP="0073061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625C6683" w14:textId="77777777" w:rsidR="00C54550" w:rsidRPr="00C901E5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18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lang w:val="en-US"/>
              </w:rPr>
              <w:t>= 2.91</w:t>
            </w:r>
            <w:r>
              <w:t xml:space="preserve">, </w:t>
            </w:r>
            <w:r w:rsidRPr="00814096">
              <w:rPr>
                <w:b/>
                <w:bCs/>
                <w:i/>
                <w:iCs/>
                <w:lang w:val="nl-NL"/>
              </w:rPr>
              <w:t>p</w:t>
            </w:r>
            <w:r>
              <w:rPr>
                <w:i/>
                <w:iCs/>
                <w:lang w:val="nl-NL"/>
              </w:rPr>
              <w:t> </w:t>
            </w:r>
            <w:r w:rsidRPr="006B1E80">
              <w:rPr>
                <w:b/>
                <w:bCs/>
              </w:rPr>
              <w:t>=</w:t>
            </w:r>
            <w:r>
              <w:rPr>
                <w:b/>
                <w:bCs/>
                <w:lang w:val="nl-NL"/>
              </w:rPr>
              <w:t> </w:t>
            </w:r>
            <w:r w:rsidRPr="006B1E80">
              <w:rPr>
                <w:b/>
                <w:bCs/>
              </w:rPr>
              <w:t>0</w:t>
            </w:r>
            <w:r>
              <w:rPr>
                <w:b/>
                <w:bCs/>
                <w:lang w:val="nl-NL"/>
              </w:rPr>
              <w:t>.009</w:t>
            </w:r>
          </w:p>
        </w:tc>
        <w:tc>
          <w:tcPr>
            <w:tcW w:w="2221" w:type="dxa"/>
          </w:tcPr>
          <w:p w14:paraId="0DD5A861" w14:textId="77777777" w:rsidR="00C54550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18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lang w:val="en-US"/>
              </w:rPr>
              <w:t>= 0.54</w:t>
            </w:r>
            <w:r>
              <w:t xml:space="preserve">, </w:t>
            </w:r>
            <w:r w:rsidRPr="00F44942">
              <w:rPr>
                <w:i/>
                <w:iCs/>
                <w:lang w:val="nl-NL"/>
              </w:rPr>
              <w:t>p </w:t>
            </w:r>
            <w:r w:rsidRPr="00F44942">
              <w:t>=</w:t>
            </w:r>
            <w:r w:rsidRPr="00F44942">
              <w:rPr>
                <w:lang w:val="nl-NL"/>
              </w:rPr>
              <w:t> </w:t>
            </w:r>
            <w:r w:rsidRPr="00F44942">
              <w:t>0</w:t>
            </w:r>
            <w:r w:rsidRPr="00F44942">
              <w:rPr>
                <w:lang w:val="nl-NL"/>
              </w:rPr>
              <w:t>.6</w:t>
            </w:r>
            <w:r>
              <w:rPr>
                <w:lang w:val="nl-NL"/>
              </w:rPr>
              <w:t>0</w:t>
            </w:r>
          </w:p>
        </w:tc>
        <w:tc>
          <w:tcPr>
            <w:tcW w:w="2223" w:type="dxa"/>
          </w:tcPr>
          <w:p w14:paraId="58A93D38" w14:textId="77777777" w:rsidR="00C54550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  <w:lang w:val="en-US"/>
              </w:rPr>
              <w:t>t</w:t>
            </w:r>
            <w:r w:rsidRPr="001E1C6C">
              <w:rPr>
                <w:i/>
                <w:iCs/>
                <w:vertAlign w:val="subscript"/>
                <w:lang w:val="en-US"/>
              </w:rPr>
              <w:t>18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lang w:val="en-US"/>
              </w:rPr>
              <w:t>= -0.51</w:t>
            </w:r>
            <w:r>
              <w:t xml:space="preserve">, </w:t>
            </w:r>
            <w:r w:rsidRPr="00F44942">
              <w:rPr>
                <w:i/>
                <w:iCs/>
                <w:lang w:val="nl-NL"/>
              </w:rPr>
              <w:t>p </w:t>
            </w:r>
            <w:r w:rsidRPr="00F44942">
              <w:t>=</w:t>
            </w:r>
            <w:r w:rsidRPr="00F44942">
              <w:rPr>
                <w:lang w:val="nl-NL"/>
              </w:rPr>
              <w:t> </w:t>
            </w:r>
            <w:r w:rsidRPr="00F44942">
              <w:t>0</w:t>
            </w:r>
            <w:r w:rsidRPr="00F44942">
              <w:rPr>
                <w:lang w:val="nl-NL"/>
              </w:rPr>
              <w:t>.</w:t>
            </w:r>
            <w:r>
              <w:rPr>
                <w:lang w:val="nl-NL"/>
              </w:rPr>
              <w:t>62</w:t>
            </w:r>
          </w:p>
        </w:tc>
      </w:tr>
      <w:tr w:rsidR="00C54550" w14:paraId="5273AEDF" w14:textId="77777777" w:rsidTr="0073061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2E7E3E7E" w14:textId="77777777" w:rsidR="00C54550" w:rsidRPr="006B1E80" w:rsidRDefault="00C54550" w:rsidP="0073061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Equiluminant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3C3036F9" w14:textId="77777777" w:rsidR="00C54550" w:rsidRPr="009D79AD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1" w:type="dxa"/>
          </w:tcPr>
          <w:p w14:paraId="20B9C813" w14:textId="77777777" w:rsidR="00C54550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  <w:lang w:val="en-US"/>
              </w:rPr>
              <w:t>t</w:t>
            </w:r>
            <w:r w:rsidRPr="001E1C6C">
              <w:rPr>
                <w:i/>
                <w:iCs/>
                <w:vertAlign w:val="subscript"/>
                <w:lang w:val="en-US"/>
              </w:rPr>
              <w:t>18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lang w:val="en-US"/>
              </w:rPr>
              <w:t>= -1.62</w:t>
            </w:r>
            <w:r>
              <w:t xml:space="preserve">, </w:t>
            </w:r>
            <w:r w:rsidRPr="00F44942">
              <w:rPr>
                <w:i/>
                <w:iCs/>
                <w:lang w:val="nl-NL"/>
              </w:rPr>
              <w:t>p </w:t>
            </w:r>
            <w:r w:rsidRPr="00F44942">
              <w:t>=</w:t>
            </w:r>
            <w:r w:rsidRPr="00F44942">
              <w:rPr>
                <w:lang w:val="nl-NL"/>
              </w:rPr>
              <w:t> </w:t>
            </w:r>
            <w:r w:rsidRPr="00F44942">
              <w:t>0</w:t>
            </w:r>
            <w:r w:rsidRPr="00F44942">
              <w:rPr>
                <w:lang w:val="nl-NL"/>
              </w:rPr>
              <w:t>.</w:t>
            </w:r>
            <w:r>
              <w:rPr>
                <w:lang w:val="nl-NL"/>
              </w:rPr>
              <w:t>12</w:t>
            </w:r>
          </w:p>
        </w:tc>
        <w:tc>
          <w:tcPr>
            <w:tcW w:w="2223" w:type="dxa"/>
          </w:tcPr>
          <w:p w14:paraId="123D3DAC" w14:textId="77777777" w:rsidR="00C54550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  <w:lang w:val="en-US"/>
              </w:rPr>
              <w:t>t</w:t>
            </w:r>
            <w:r w:rsidRPr="001E1C6C">
              <w:rPr>
                <w:i/>
                <w:iCs/>
                <w:vertAlign w:val="subscript"/>
                <w:lang w:val="en-US"/>
              </w:rPr>
              <w:t>18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lang w:val="en-US"/>
              </w:rPr>
              <w:t>= -3.11</w:t>
            </w:r>
            <w:r>
              <w:t xml:space="preserve">, </w:t>
            </w:r>
            <w:r w:rsidRPr="00814096">
              <w:rPr>
                <w:b/>
                <w:bCs/>
                <w:i/>
                <w:iCs/>
                <w:lang w:val="nl-NL"/>
              </w:rPr>
              <w:t>p</w:t>
            </w:r>
            <w:r>
              <w:rPr>
                <w:i/>
                <w:iCs/>
                <w:lang w:val="nl-NL"/>
              </w:rPr>
              <w:t> </w:t>
            </w:r>
            <w:r w:rsidRPr="006B1E80">
              <w:rPr>
                <w:b/>
                <w:bCs/>
              </w:rPr>
              <w:t>=</w:t>
            </w:r>
            <w:r>
              <w:rPr>
                <w:b/>
                <w:bCs/>
                <w:lang w:val="nl-NL"/>
              </w:rPr>
              <w:t> </w:t>
            </w:r>
            <w:r w:rsidRPr="006B1E80">
              <w:rPr>
                <w:b/>
                <w:bCs/>
              </w:rPr>
              <w:t>0</w:t>
            </w:r>
            <w:r>
              <w:rPr>
                <w:b/>
                <w:bCs/>
                <w:lang w:val="nl-NL"/>
              </w:rPr>
              <w:t>.006</w:t>
            </w:r>
          </w:p>
        </w:tc>
      </w:tr>
      <w:tr w:rsidR="00C54550" w14:paraId="4ECE08DF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B08947A" w14:textId="77777777" w:rsidR="00C54550" w:rsidRPr="006B1E80" w:rsidRDefault="00C54550" w:rsidP="0073061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Cyan</w:t>
            </w:r>
            <w:proofErr w:type="spellEnd"/>
          </w:p>
        </w:tc>
        <w:tc>
          <w:tcPr>
            <w:tcW w:w="2221" w:type="dxa"/>
          </w:tcPr>
          <w:p w14:paraId="5334E2A3" w14:textId="77777777" w:rsidR="00C54550" w:rsidRPr="009D79AD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1" w:type="dxa"/>
          </w:tcPr>
          <w:p w14:paraId="2EE76AA5" w14:textId="77777777" w:rsidR="00C54550" w:rsidRPr="009D79AD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3" w:type="dxa"/>
          </w:tcPr>
          <w:p w14:paraId="7EF31733" w14:textId="77777777" w:rsidR="00C54550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  <w:lang w:val="en-US"/>
              </w:rPr>
              <w:t>t</w:t>
            </w:r>
            <w:r w:rsidRPr="001E1C6C">
              <w:rPr>
                <w:i/>
                <w:iCs/>
                <w:vertAlign w:val="subscript"/>
                <w:lang w:val="en-US"/>
              </w:rPr>
              <w:t>18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lang w:val="en-US"/>
              </w:rPr>
              <w:t>= -0.69</w:t>
            </w:r>
            <w:r>
              <w:t xml:space="preserve">, </w:t>
            </w:r>
            <w:r w:rsidRPr="00F44942">
              <w:rPr>
                <w:i/>
                <w:iCs/>
                <w:lang w:val="nl-NL"/>
              </w:rPr>
              <w:t>p </w:t>
            </w:r>
            <w:r w:rsidRPr="00F44942">
              <w:t>=</w:t>
            </w:r>
            <w:r w:rsidRPr="00F44942">
              <w:rPr>
                <w:lang w:val="nl-NL"/>
              </w:rPr>
              <w:t> </w:t>
            </w:r>
            <w:r w:rsidRPr="00F44942">
              <w:t>0</w:t>
            </w:r>
            <w:r w:rsidRPr="00F44942">
              <w:rPr>
                <w:lang w:val="nl-NL"/>
              </w:rPr>
              <w:t>.</w:t>
            </w:r>
            <w:r>
              <w:rPr>
                <w:lang w:val="nl-NL"/>
              </w:rPr>
              <w:t>50</w:t>
            </w:r>
          </w:p>
        </w:tc>
      </w:tr>
    </w:tbl>
    <w:p w14:paraId="51372AE7" w14:textId="77777777" w:rsidR="00C54550" w:rsidRPr="00055C69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  <w:r w:rsidRPr="00055C69">
        <w:rPr>
          <w:rFonts w:cs="Times New Roman"/>
          <w:b/>
          <w:bCs/>
          <w:sz w:val="20"/>
          <w:szCs w:val="20"/>
          <w:lang w:val="en-US"/>
        </w:rPr>
        <w:t>Table S</w:t>
      </w:r>
      <w:r>
        <w:rPr>
          <w:rFonts w:cs="Times New Roman"/>
          <w:b/>
          <w:bCs/>
          <w:sz w:val="20"/>
          <w:szCs w:val="20"/>
          <w:lang w:val="en-US"/>
        </w:rPr>
        <w:t>2</w:t>
      </w:r>
      <w:r w:rsidRPr="00055C69">
        <w:rPr>
          <w:rFonts w:cs="Times New Roman"/>
          <w:b/>
          <w:bCs/>
          <w:sz w:val="20"/>
          <w:szCs w:val="20"/>
          <w:lang w:val="en-US"/>
        </w:rPr>
        <w:t xml:space="preserve">. </w:t>
      </w:r>
      <w:r w:rsidRPr="00055C69">
        <w:rPr>
          <w:rFonts w:cs="Times New Roman"/>
          <w:sz w:val="20"/>
          <w:szCs w:val="20"/>
          <w:lang w:val="en-US"/>
        </w:rPr>
        <w:t xml:space="preserve">Paired student’s t-test comparing </w:t>
      </w:r>
      <w:r>
        <w:rPr>
          <w:rFonts w:cs="Times New Roman"/>
          <w:sz w:val="20"/>
          <w:szCs w:val="20"/>
          <w:lang w:val="en-US"/>
        </w:rPr>
        <w:t xml:space="preserve">pupil response amplitudes </w:t>
      </w:r>
      <w:r w:rsidRPr="00055C69">
        <w:rPr>
          <w:rFonts w:cs="Times New Roman"/>
          <w:sz w:val="20"/>
          <w:szCs w:val="20"/>
          <w:lang w:val="en-US"/>
        </w:rPr>
        <w:t>across color conditions</w:t>
      </w:r>
      <w:r>
        <w:rPr>
          <w:rFonts w:cs="Times New Roman"/>
          <w:sz w:val="20"/>
          <w:szCs w:val="20"/>
          <w:lang w:val="en-US"/>
        </w:rPr>
        <w:t xml:space="preserve"> of Experiment 1</w:t>
      </w:r>
      <w:r w:rsidRPr="00055C69">
        <w:rPr>
          <w:rFonts w:cs="Times New Roman"/>
          <w:sz w:val="20"/>
          <w:szCs w:val="20"/>
          <w:lang w:val="en-US"/>
        </w:rPr>
        <w:t xml:space="preserve">. Significant results highlighted in </w:t>
      </w:r>
      <w:r w:rsidRPr="00055C69">
        <w:rPr>
          <w:rFonts w:cs="Times New Roman"/>
          <w:b/>
          <w:bCs/>
          <w:sz w:val="20"/>
          <w:szCs w:val="20"/>
          <w:lang w:val="en-US"/>
        </w:rPr>
        <w:t>bold</w:t>
      </w:r>
      <w:r w:rsidRPr="00055C69">
        <w:rPr>
          <w:rFonts w:cs="Times New Roman"/>
          <w:sz w:val="20"/>
          <w:szCs w:val="20"/>
          <w:lang w:val="en-US"/>
        </w:rPr>
        <w:t xml:space="preserve"> font.</w:t>
      </w:r>
    </w:p>
    <w:p w14:paraId="4C75BC3B" w14:textId="77777777" w:rsidR="00C54550" w:rsidRPr="00C12A0D" w:rsidRDefault="00C54550" w:rsidP="00C54550">
      <w:pPr>
        <w:rPr>
          <w:lang w:val="en-US"/>
        </w:rPr>
      </w:pPr>
    </w:p>
    <w:tbl>
      <w:tblPr>
        <w:tblStyle w:val="ListTable7Colourful"/>
        <w:tblW w:w="8886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3"/>
      </w:tblGrid>
      <w:tr w:rsidR="00C54550" w:rsidRPr="007A5327" w14:paraId="73CE0584" w14:textId="77777777" w:rsidTr="0073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1" w:type="dxa"/>
          </w:tcPr>
          <w:p w14:paraId="5BC2F4E1" w14:textId="77777777" w:rsidR="00C54550" w:rsidRDefault="00C54550" w:rsidP="00730616"/>
        </w:tc>
        <w:tc>
          <w:tcPr>
            <w:tcW w:w="2221" w:type="dxa"/>
          </w:tcPr>
          <w:p w14:paraId="61394696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Dark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6D55C314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Bright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multicolor</w:t>
            </w:r>
            <w:proofErr w:type="spellEnd"/>
          </w:p>
        </w:tc>
        <w:tc>
          <w:tcPr>
            <w:tcW w:w="2223" w:type="dxa"/>
          </w:tcPr>
          <w:p w14:paraId="0E29C743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Dark </w:t>
            </w:r>
            <w:proofErr w:type="spellStart"/>
            <w:r>
              <w:rPr>
                <w:lang w:val="nl-NL"/>
              </w:rPr>
              <w:t>multicolor</w:t>
            </w:r>
            <w:proofErr w:type="spellEnd"/>
          </w:p>
        </w:tc>
      </w:tr>
      <w:tr w:rsidR="00C54550" w14:paraId="05A6BB05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41B6914A" w14:textId="77777777" w:rsidR="00C54550" w:rsidRPr="006B1E80" w:rsidRDefault="00C54550" w:rsidP="0073061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Bright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13F092EF" w14:textId="77777777" w:rsidR="00C54550" w:rsidRPr="006557FA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4.60</w:t>
            </w:r>
            <w:r>
              <w:t xml:space="preserve">, </w:t>
            </w:r>
            <w:r w:rsidRPr="006557FA">
              <w:rPr>
                <w:b/>
                <w:bCs/>
                <w:i/>
                <w:iCs/>
                <w:lang w:val="nl-NL"/>
              </w:rPr>
              <w:t>p </w:t>
            </w:r>
            <w:r w:rsidRPr="006557FA">
              <w:rPr>
                <w:b/>
                <w:bCs/>
                <w:lang w:val="nl-NL"/>
              </w:rPr>
              <w:t>&lt; </w:t>
            </w:r>
            <w:r w:rsidRPr="006557FA">
              <w:rPr>
                <w:b/>
                <w:bCs/>
              </w:rPr>
              <w:t>0.0</w:t>
            </w:r>
            <w:r w:rsidRPr="006557FA">
              <w:rPr>
                <w:b/>
                <w:bCs/>
                <w:lang w:val="nl-NL"/>
              </w:rPr>
              <w:t>01</w:t>
            </w:r>
          </w:p>
        </w:tc>
        <w:tc>
          <w:tcPr>
            <w:tcW w:w="2221" w:type="dxa"/>
          </w:tcPr>
          <w:p w14:paraId="0F41A681" w14:textId="77777777" w:rsidR="00C54550" w:rsidRPr="006557FA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15 </w:t>
            </w:r>
            <w:r>
              <w:t>=</w:t>
            </w:r>
            <w:r>
              <w:rPr>
                <w:lang w:val="nl-NL"/>
              </w:rPr>
              <w:t> 0.78</w:t>
            </w:r>
            <w:r>
              <w:t xml:space="preserve">, </w:t>
            </w:r>
            <w:r w:rsidRPr="006557FA">
              <w:rPr>
                <w:i/>
                <w:iCs/>
                <w:lang w:val="nl-NL"/>
              </w:rPr>
              <w:t>p </w:t>
            </w:r>
            <w:r w:rsidRPr="006557FA">
              <w:t>=</w:t>
            </w:r>
            <w:r w:rsidRPr="006557FA">
              <w:rPr>
                <w:lang w:val="nl-NL"/>
              </w:rPr>
              <w:t> </w:t>
            </w:r>
            <w:r w:rsidRPr="006557FA">
              <w:t>0.</w:t>
            </w:r>
            <w:r>
              <w:t>45</w:t>
            </w:r>
          </w:p>
        </w:tc>
        <w:tc>
          <w:tcPr>
            <w:tcW w:w="2223" w:type="dxa"/>
          </w:tcPr>
          <w:p w14:paraId="649D67DF" w14:textId="77777777" w:rsidR="00C54550" w:rsidRPr="006B4060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15 </w:t>
            </w:r>
            <w:r>
              <w:t>=</w:t>
            </w:r>
            <w:r>
              <w:rPr>
                <w:lang w:val="nl-NL"/>
              </w:rPr>
              <w:t> 4.56</w:t>
            </w:r>
            <w:r>
              <w:t xml:space="preserve">, </w:t>
            </w:r>
            <w:r w:rsidRPr="006557FA">
              <w:rPr>
                <w:b/>
                <w:bCs/>
                <w:i/>
                <w:iCs/>
                <w:lang w:val="nl-NL"/>
              </w:rPr>
              <w:t>p </w:t>
            </w:r>
            <w:r w:rsidRPr="006557FA">
              <w:rPr>
                <w:b/>
                <w:bCs/>
                <w:lang w:val="nl-NL"/>
              </w:rPr>
              <w:t>&lt; </w:t>
            </w:r>
            <w:r w:rsidRPr="006557FA">
              <w:rPr>
                <w:b/>
                <w:bCs/>
              </w:rPr>
              <w:t>0.0</w:t>
            </w:r>
            <w:r w:rsidRPr="006557FA">
              <w:rPr>
                <w:b/>
                <w:bCs/>
                <w:lang w:val="nl-NL"/>
              </w:rPr>
              <w:t>01</w:t>
            </w:r>
          </w:p>
        </w:tc>
      </w:tr>
      <w:tr w:rsidR="00C54550" w14:paraId="4B4CED07" w14:textId="77777777" w:rsidTr="0073061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8615C98" w14:textId="77777777" w:rsidR="00C54550" w:rsidRPr="006B1E80" w:rsidRDefault="00C54550" w:rsidP="00730616">
            <w:pPr>
              <w:rPr>
                <w:lang w:val="nl-NL"/>
              </w:rPr>
            </w:pPr>
            <w:r>
              <w:rPr>
                <w:lang w:val="nl-NL"/>
              </w:rPr>
              <w:t xml:space="preserve">Dark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7A2A32BE" w14:textId="77777777" w:rsidR="00C54550" w:rsidRPr="009D79AD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1" w:type="dxa"/>
          </w:tcPr>
          <w:p w14:paraId="3FE9A912" w14:textId="77777777" w:rsidR="00C54550" w:rsidRPr="006557FA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</w:t>
            </w:r>
            <w:r>
              <w:t>-</w:t>
            </w:r>
            <w:r>
              <w:rPr>
                <w:lang w:val="nl-NL"/>
              </w:rPr>
              <w:t>3.62</w:t>
            </w:r>
            <w:r>
              <w:t xml:space="preserve">, </w:t>
            </w:r>
            <w:r w:rsidRPr="006557FA">
              <w:rPr>
                <w:b/>
                <w:bCs/>
                <w:i/>
                <w:iCs/>
              </w:rPr>
              <w:t>p</w:t>
            </w:r>
            <w:r w:rsidRPr="006557FA">
              <w:rPr>
                <w:b/>
                <w:bCs/>
                <w:lang w:val="nl-NL"/>
              </w:rPr>
              <w:t> </w:t>
            </w:r>
            <w:r w:rsidRPr="006557FA">
              <w:rPr>
                <w:b/>
                <w:bCs/>
              </w:rPr>
              <w:t>=</w:t>
            </w:r>
            <w:r w:rsidRPr="006557FA">
              <w:rPr>
                <w:b/>
                <w:bCs/>
                <w:lang w:val="nl-NL"/>
              </w:rPr>
              <w:t> </w:t>
            </w:r>
            <w:r w:rsidRPr="006557FA">
              <w:rPr>
                <w:b/>
                <w:bCs/>
              </w:rPr>
              <w:t>0.</w:t>
            </w:r>
            <w:r w:rsidRPr="006557FA">
              <w:rPr>
                <w:b/>
                <w:bCs/>
                <w:lang w:val="nl-NL"/>
              </w:rPr>
              <w:t>00</w:t>
            </w:r>
            <w:r>
              <w:rPr>
                <w:b/>
                <w:bCs/>
                <w:lang w:val="nl-NL"/>
              </w:rPr>
              <w:t>2</w:t>
            </w:r>
          </w:p>
          <w:p w14:paraId="0207EFBC" w14:textId="77777777" w:rsidR="00C54550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3" w:type="dxa"/>
          </w:tcPr>
          <w:p w14:paraId="0584AAC2" w14:textId="77777777" w:rsidR="00C54550" w:rsidRPr="00D84CB9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</w:t>
            </w:r>
            <w:r>
              <w:t>-</w:t>
            </w:r>
            <w:r>
              <w:rPr>
                <w:lang w:val="nl-NL"/>
              </w:rPr>
              <w:t>0.97</w:t>
            </w:r>
            <w:r>
              <w:t xml:space="preserve">, </w:t>
            </w:r>
            <w:r>
              <w:rPr>
                <w:i/>
                <w:iCs/>
              </w:rPr>
              <w:t>p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</w:t>
            </w:r>
            <w:r>
              <w:t>0.35</w:t>
            </w:r>
          </w:p>
          <w:p w14:paraId="4D979571" w14:textId="77777777" w:rsidR="00C54550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4550" w14:paraId="0189CE1B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12E000E" w14:textId="77777777" w:rsidR="00C54550" w:rsidRPr="006B1E80" w:rsidRDefault="00C54550" w:rsidP="0073061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Bright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multicolor</w:t>
            </w:r>
            <w:proofErr w:type="spellEnd"/>
          </w:p>
        </w:tc>
        <w:tc>
          <w:tcPr>
            <w:tcW w:w="2221" w:type="dxa"/>
          </w:tcPr>
          <w:p w14:paraId="3CC5031C" w14:textId="77777777" w:rsidR="00C54550" w:rsidRPr="009D79AD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1" w:type="dxa"/>
          </w:tcPr>
          <w:p w14:paraId="6D1523D5" w14:textId="77777777" w:rsidR="00C54550" w:rsidRPr="009D79AD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3" w:type="dxa"/>
          </w:tcPr>
          <w:p w14:paraId="5F0C9A56" w14:textId="77777777" w:rsidR="00C54550" w:rsidRPr="006B4060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3.65</w:t>
            </w:r>
            <w:r>
              <w:t xml:space="preserve">, </w:t>
            </w:r>
            <w:r w:rsidRPr="006557FA">
              <w:rPr>
                <w:b/>
                <w:bCs/>
                <w:i/>
                <w:iCs/>
              </w:rPr>
              <w:t>p</w:t>
            </w:r>
            <w:r w:rsidRPr="006557FA">
              <w:rPr>
                <w:b/>
                <w:bCs/>
                <w:lang w:val="nl-NL"/>
              </w:rPr>
              <w:t> </w:t>
            </w:r>
            <w:r w:rsidRPr="006557FA">
              <w:rPr>
                <w:b/>
                <w:bCs/>
              </w:rPr>
              <w:t>=</w:t>
            </w:r>
            <w:r w:rsidRPr="006557FA">
              <w:rPr>
                <w:b/>
                <w:bCs/>
                <w:lang w:val="nl-NL"/>
              </w:rPr>
              <w:t> </w:t>
            </w:r>
            <w:r w:rsidRPr="006557FA">
              <w:rPr>
                <w:b/>
                <w:bCs/>
              </w:rPr>
              <w:t>0.</w:t>
            </w:r>
            <w:r w:rsidRPr="006557FA">
              <w:rPr>
                <w:b/>
                <w:bCs/>
                <w:lang w:val="nl-NL"/>
              </w:rPr>
              <w:t>00</w:t>
            </w:r>
            <w:r>
              <w:rPr>
                <w:b/>
                <w:bCs/>
                <w:lang w:val="nl-NL"/>
              </w:rPr>
              <w:t>2</w:t>
            </w:r>
          </w:p>
        </w:tc>
      </w:tr>
    </w:tbl>
    <w:p w14:paraId="1EB494C3" w14:textId="77777777" w:rsidR="00C54550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  <w:r w:rsidRPr="00055C69">
        <w:rPr>
          <w:rFonts w:cs="Times New Roman"/>
          <w:b/>
          <w:bCs/>
          <w:sz w:val="20"/>
          <w:szCs w:val="20"/>
          <w:lang w:val="en-US"/>
        </w:rPr>
        <w:t xml:space="preserve">Table S3. </w:t>
      </w:r>
      <w:r w:rsidRPr="00055C69">
        <w:rPr>
          <w:rFonts w:cs="Times New Roman"/>
          <w:sz w:val="20"/>
          <w:szCs w:val="20"/>
          <w:lang w:val="en-US"/>
        </w:rPr>
        <w:t xml:space="preserve">Paired student’s t-test comparing </w:t>
      </w:r>
      <w:r>
        <w:rPr>
          <w:rFonts w:cs="Times New Roman"/>
          <w:sz w:val="20"/>
          <w:szCs w:val="20"/>
          <w:lang w:val="en-US"/>
        </w:rPr>
        <w:t xml:space="preserve">pupil response amplitudes </w:t>
      </w:r>
      <w:r w:rsidRPr="00055C69">
        <w:rPr>
          <w:rFonts w:cs="Times New Roman"/>
          <w:sz w:val="20"/>
          <w:szCs w:val="20"/>
          <w:lang w:val="en-US"/>
        </w:rPr>
        <w:t>across conditions</w:t>
      </w:r>
      <w:r>
        <w:rPr>
          <w:rFonts w:cs="Times New Roman"/>
          <w:sz w:val="20"/>
          <w:szCs w:val="20"/>
          <w:lang w:val="en-US"/>
        </w:rPr>
        <w:t xml:space="preserve"> of Experiment 2</w:t>
      </w:r>
      <w:r w:rsidRPr="00055C69">
        <w:rPr>
          <w:rFonts w:cs="Times New Roman"/>
          <w:sz w:val="20"/>
          <w:szCs w:val="20"/>
          <w:lang w:val="en-US"/>
        </w:rPr>
        <w:t xml:space="preserve">. Significant results highlighted in </w:t>
      </w:r>
      <w:r w:rsidRPr="00055C69">
        <w:rPr>
          <w:rFonts w:cs="Times New Roman"/>
          <w:b/>
          <w:bCs/>
          <w:sz w:val="20"/>
          <w:szCs w:val="20"/>
          <w:lang w:val="en-US"/>
        </w:rPr>
        <w:t>bold</w:t>
      </w:r>
      <w:r w:rsidRPr="00055C69">
        <w:rPr>
          <w:rFonts w:cs="Times New Roman"/>
          <w:sz w:val="20"/>
          <w:szCs w:val="20"/>
          <w:lang w:val="en-US"/>
        </w:rPr>
        <w:t xml:space="preserve"> font.</w:t>
      </w:r>
    </w:p>
    <w:p w14:paraId="10BBC41A" w14:textId="77777777" w:rsidR="00C54550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</w:p>
    <w:tbl>
      <w:tblPr>
        <w:tblStyle w:val="ListTable7Colourful"/>
        <w:tblW w:w="8886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3"/>
      </w:tblGrid>
      <w:tr w:rsidR="00C54550" w:rsidRPr="007A5327" w14:paraId="3B8C5EA6" w14:textId="77777777" w:rsidTr="0073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1" w:type="dxa"/>
          </w:tcPr>
          <w:p w14:paraId="0E5ECE76" w14:textId="77777777" w:rsidR="00C54550" w:rsidRDefault="00C54550" w:rsidP="00730616"/>
        </w:tc>
        <w:tc>
          <w:tcPr>
            <w:tcW w:w="2221" w:type="dxa"/>
          </w:tcPr>
          <w:p w14:paraId="662338C1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Dark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704528ED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Bright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multicolor</w:t>
            </w:r>
            <w:proofErr w:type="spellEnd"/>
          </w:p>
        </w:tc>
        <w:tc>
          <w:tcPr>
            <w:tcW w:w="2223" w:type="dxa"/>
          </w:tcPr>
          <w:p w14:paraId="28400855" w14:textId="77777777" w:rsidR="00C54550" w:rsidRPr="007A5327" w:rsidRDefault="00C54550" w:rsidP="0073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Dark </w:t>
            </w:r>
            <w:proofErr w:type="spellStart"/>
            <w:r>
              <w:rPr>
                <w:lang w:val="nl-NL"/>
              </w:rPr>
              <w:t>multicolor</w:t>
            </w:r>
            <w:proofErr w:type="spellEnd"/>
          </w:p>
        </w:tc>
      </w:tr>
      <w:tr w:rsidR="00C54550" w14:paraId="79948963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1317E1DF" w14:textId="77777777" w:rsidR="00C54550" w:rsidRPr="006B1E80" w:rsidRDefault="00C54550" w:rsidP="0073061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Bright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1640DA24" w14:textId="77777777" w:rsidR="00C54550" w:rsidRPr="00BF2C7B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2.07</w:t>
            </w:r>
            <w:r>
              <w:t xml:space="preserve">, </w:t>
            </w:r>
            <w:r w:rsidRPr="006557FA">
              <w:rPr>
                <w:i/>
                <w:iCs/>
                <w:lang w:val="nl-NL"/>
              </w:rPr>
              <w:t>p </w:t>
            </w:r>
            <w:r w:rsidRPr="006557FA">
              <w:t>=</w:t>
            </w:r>
            <w:r w:rsidRPr="006557FA">
              <w:rPr>
                <w:lang w:val="nl-NL"/>
              </w:rPr>
              <w:t> </w:t>
            </w:r>
            <w:r w:rsidRPr="006557FA">
              <w:t>0.</w:t>
            </w:r>
            <w:r>
              <w:rPr>
                <w:lang w:val="nl-NL"/>
              </w:rPr>
              <w:t>57</w:t>
            </w:r>
          </w:p>
        </w:tc>
        <w:tc>
          <w:tcPr>
            <w:tcW w:w="2221" w:type="dxa"/>
          </w:tcPr>
          <w:p w14:paraId="50FD5E69" w14:textId="77777777" w:rsidR="00C54550" w:rsidRPr="006557FA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15 </w:t>
            </w:r>
            <w:r>
              <w:t>=</w:t>
            </w:r>
            <w:r>
              <w:rPr>
                <w:lang w:val="nl-NL"/>
              </w:rPr>
              <w:t> 2.80</w:t>
            </w:r>
            <w:r>
              <w:t xml:space="preserve">, </w:t>
            </w:r>
            <w:r w:rsidRPr="006557FA">
              <w:rPr>
                <w:b/>
                <w:bCs/>
                <w:i/>
                <w:iCs/>
              </w:rPr>
              <w:t>p</w:t>
            </w:r>
            <w:r w:rsidRPr="006557FA">
              <w:rPr>
                <w:b/>
                <w:bCs/>
                <w:lang w:val="nl-NL"/>
              </w:rPr>
              <w:t> </w:t>
            </w:r>
            <w:r w:rsidRPr="006557FA">
              <w:rPr>
                <w:b/>
                <w:bCs/>
              </w:rPr>
              <w:t>=</w:t>
            </w:r>
            <w:r w:rsidRPr="006557FA">
              <w:rPr>
                <w:b/>
                <w:bCs/>
                <w:lang w:val="nl-NL"/>
              </w:rPr>
              <w:t> </w:t>
            </w:r>
            <w:r w:rsidRPr="006557FA">
              <w:rPr>
                <w:b/>
                <w:bCs/>
              </w:rPr>
              <w:t>0.</w:t>
            </w:r>
            <w:r w:rsidRPr="006557FA">
              <w:rPr>
                <w:b/>
                <w:bCs/>
                <w:lang w:val="nl-NL"/>
              </w:rPr>
              <w:t>0</w:t>
            </w:r>
            <w:r>
              <w:rPr>
                <w:b/>
                <w:bCs/>
                <w:lang w:val="nl-NL"/>
              </w:rPr>
              <w:t>14</w:t>
            </w:r>
          </w:p>
        </w:tc>
        <w:tc>
          <w:tcPr>
            <w:tcW w:w="2223" w:type="dxa"/>
          </w:tcPr>
          <w:p w14:paraId="231BB8FD" w14:textId="77777777" w:rsidR="00C54550" w:rsidRPr="006B4060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15 </w:t>
            </w:r>
            <w:r>
              <w:t>=</w:t>
            </w:r>
            <w:r>
              <w:rPr>
                <w:lang w:val="nl-NL"/>
              </w:rPr>
              <w:t> 2.02</w:t>
            </w:r>
            <w:r>
              <w:t xml:space="preserve">, </w:t>
            </w:r>
            <w:r w:rsidRPr="006557FA">
              <w:rPr>
                <w:i/>
                <w:iCs/>
                <w:lang w:val="nl-NL"/>
              </w:rPr>
              <w:t>p </w:t>
            </w:r>
            <w:r w:rsidRPr="006557FA">
              <w:t>=</w:t>
            </w:r>
            <w:r w:rsidRPr="006557FA">
              <w:rPr>
                <w:lang w:val="nl-NL"/>
              </w:rPr>
              <w:t> </w:t>
            </w:r>
            <w:r w:rsidRPr="006557FA">
              <w:t>0.</w:t>
            </w:r>
            <w:r>
              <w:t>61</w:t>
            </w:r>
          </w:p>
        </w:tc>
      </w:tr>
      <w:tr w:rsidR="00C54550" w14:paraId="4196F8E7" w14:textId="77777777" w:rsidTr="0073061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5267A61B" w14:textId="77777777" w:rsidR="00C54550" w:rsidRPr="006B1E80" w:rsidRDefault="00C54550" w:rsidP="00730616">
            <w:pPr>
              <w:rPr>
                <w:lang w:val="nl-NL"/>
              </w:rPr>
            </w:pPr>
            <w:r>
              <w:rPr>
                <w:lang w:val="nl-NL"/>
              </w:rPr>
              <w:t xml:space="preserve">Dark </w:t>
            </w:r>
            <w:proofErr w:type="spellStart"/>
            <w:r>
              <w:rPr>
                <w:lang w:val="nl-NL"/>
              </w:rPr>
              <w:t>yellow</w:t>
            </w:r>
            <w:proofErr w:type="spellEnd"/>
          </w:p>
        </w:tc>
        <w:tc>
          <w:tcPr>
            <w:tcW w:w="2221" w:type="dxa"/>
          </w:tcPr>
          <w:p w14:paraId="6D5C3F7C" w14:textId="77777777" w:rsidR="00C54550" w:rsidRPr="009D79AD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1" w:type="dxa"/>
          </w:tcPr>
          <w:p w14:paraId="06FC648C" w14:textId="77777777" w:rsidR="00C54550" w:rsidRPr="0052758E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</w:t>
            </w:r>
            <w:r>
              <w:t xml:space="preserve">-0.24, </w:t>
            </w:r>
            <w:r w:rsidRPr="006557FA">
              <w:rPr>
                <w:i/>
                <w:iCs/>
                <w:lang w:val="nl-NL"/>
              </w:rPr>
              <w:t>p </w:t>
            </w:r>
            <w:r w:rsidRPr="006557FA">
              <w:t>=</w:t>
            </w:r>
            <w:r w:rsidRPr="006557FA">
              <w:rPr>
                <w:lang w:val="nl-NL"/>
              </w:rPr>
              <w:t> </w:t>
            </w:r>
            <w:r w:rsidRPr="006557FA">
              <w:t>0.</w:t>
            </w:r>
            <w:r>
              <w:rPr>
                <w:lang w:val="nl-NL"/>
              </w:rPr>
              <w:t>82</w:t>
            </w:r>
          </w:p>
          <w:p w14:paraId="1BAA02F0" w14:textId="77777777" w:rsidR="00C54550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3" w:type="dxa"/>
          </w:tcPr>
          <w:p w14:paraId="643F6DE1" w14:textId="77777777" w:rsidR="00C54550" w:rsidRPr="00534231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</w:t>
            </w:r>
            <w:r>
              <w:t>-</w:t>
            </w:r>
            <w:r>
              <w:rPr>
                <w:lang w:val="nl-NL"/>
              </w:rPr>
              <w:t>1.12</w:t>
            </w:r>
            <w:r>
              <w:t xml:space="preserve">, </w:t>
            </w:r>
            <w:r>
              <w:rPr>
                <w:i/>
                <w:iCs/>
              </w:rPr>
              <w:t>p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</w:t>
            </w:r>
            <w:r>
              <w:t>0.</w:t>
            </w:r>
            <w:r>
              <w:rPr>
                <w:lang w:val="nl-NL"/>
              </w:rPr>
              <w:t>28</w:t>
            </w:r>
          </w:p>
          <w:p w14:paraId="70672F85" w14:textId="77777777" w:rsidR="00C54550" w:rsidRDefault="00C54550" w:rsidP="0073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4550" w14:paraId="42BC11E5" w14:textId="77777777" w:rsidTr="0073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57D78BDC" w14:textId="77777777" w:rsidR="00C54550" w:rsidRPr="006B1E80" w:rsidRDefault="00C54550" w:rsidP="0073061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Bright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multicolor</w:t>
            </w:r>
            <w:proofErr w:type="spellEnd"/>
          </w:p>
        </w:tc>
        <w:tc>
          <w:tcPr>
            <w:tcW w:w="2221" w:type="dxa"/>
          </w:tcPr>
          <w:p w14:paraId="031D5DE1" w14:textId="77777777" w:rsidR="00C54550" w:rsidRPr="009D79AD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1" w:type="dxa"/>
          </w:tcPr>
          <w:p w14:paraId="18A723E2" w14:textId="77777777" w:rsidR="00C54550" w:rsidRPr="009D79AD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223" w:type="dxa"/>
          </w:tcPr>
          <w:p w14:paraId="5F184FD9" w14:textId="77777777" w:rsidR="00C54550" w:rsidRPr="006B4060" w:rsidRDefault="00C54550" w:rsidP="0073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vertAlign w:val="subscript"/>
                <w:lang w:val="en-US"/>
              </w:rPr>
              <w:t>15</w:t>
            </w:r>
            <w:r>
              <w:rPr>
                <w:lang w:val="nl-NL"/>
              </w:rPr>
              <w:t> </w:t>
            </w:r>
            <w:r>
              <w:t>=</w:t>
            </w:r>
            <w:r>
              <w:rPr>
                <w:lang w:val="nl-NL"/>
              </w:rPr>
              <w:t> -0.59</w:t>
            </w:r>
            <w:r>
              <w:t xml:space="preserve">, </w:t>
            </w:r>
            <w:r w:rsidRPr="006557FA">
              <w:rPr>
                <w:i/>
                <w:iCs/>
                <w:lang w:val="nl-NL"/>
              </w:rPr>
              <w:t>p </w:t>
            </w:r>
            <w:r w:rsidRPr="006557FA">
              <w:t>=</w:t>
            </w:r>
            <w:r w:rsidRPr="006557FA">
              <w:rPr>
                <w:lang w:val="nl-NL"/>
              </w:rPr>
              <w:t> </w:t>
            </w:r>
            <w:r w:rsidRPr="006557FA">
              <w:t>0.</w:t>
            </w:r>
            <w:r>
              <w:rPr>
                <w:lang w:val="nl-NL"/>
              </w:rPr>
              <w:t>57</w:t>
            </w:r>
          </w:p>
        </w:tc>
      </w:tr>
    </w:tbl>
    <w:p w14:paraId="440764C5" w14:textId="77777777" w:rsidR="00C54550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  <w:r w:rsidRPr="00055C69">
        <w:rPr>
          <w:rFonts w:cs="Times New Roman"/>
          <w:b/>
          <w:bCs/>
          <w:sz w:val="20"/>
          <w:szCs w:val="20"/>
          <w:lang w:val="en-US"/>
        </w:rPr>
        <w:t>Table S</w:t>
      </w:r>
      <w:r>
        <w:rPr>
          <w:rFonts w:cs="Times New Roman"/>
          <w:b/>
          <w:bCs/>
          <w:sz w:val="20"/>
          <w:szCs w:val="20"/>
          <w:lang w:val="en-US"/>
        </w:rPr>
        <w:t>4</w:t>
      </w:r>
      <w:r w:rsidRPr="00055C69">
        <w:rPr>
          <w:rFonts w:cs="Times New Roman"/>
          <w:b/>
          <w:bCs/>
          <w:sz w:val="20"/>
          <w:szCs w:val="20"/>
          <w:lang w:val="en-US"/>
        </w:rPr>
        <w:t xml:space="preserve">. </w:t>
      </w:r>
      <w:r w:rsidRPr="00055C69">
        <w:rPr>
          <w:rFonts w:cs="Times New Roman"/>
          <w:sz w:val="20"/>
          <w:szCs w:val="20"/>
          <w:lang w:val="en-US"/>
        </w:rPr>
        <w:t xml:space="preserve">Paired student’s t-test comparing </w:t>
      </w:r>
      <w:r>
        <w:rPr>
          <w:rFonts w:cs="Times New Roman"/>
          <w:sz w:val="20"/>
          <w:szCs w:val="20"/>
          <w:lang w:val="en-US"/>
        </w:rPr>
        <w:t xml:space="preserve">discriminative power (AUC) </w:t>
      </w:r>
      <w:r w:rsidRPr="00055C69">
        <w:rPr>
          <w:rFonts w:cs="Times New Roman"/>
          <w:sz w:val="20"/>
          <w:szCs w:val="20"/>
          <w:lang w:val="en-US"/>
        </w:rPr>
        <w:t>across conditions</w:t>
      </w:r>
      <w:r>
        <w:rPr>
          <w:rFonts w:cs="Times New Roman"/>
          <w:sz w:val="20"/>
          <w:szCs w:val="20"/>
          <w:lang w:val="en-US"/>
        </w:rPr>
        <w:t xml:space="preserve"> of Experiment 2</w:t>
      </w:r>
      <w:r w:rsidRPr="00055C69">
        <w:rPr>
          <w:rFonts w:cs="Times New Roman"/>
          <w:sz w:val="20"/>
          <w:szCs w:val="20"/>
          <w:lang w:val="en-US"/>
        </w:rPr>
        <w:t xml:space="preserve">. Significant results highlighted in </w:t>
      </w:r>
      <w:r w:rsidRPr="00055C69">
        <w:rPr>
          <w:rFonts w:cs="Times New Roman"/>
          <w:b/>
          <w:bCs/>
          <w:sz w:val="20"/>
          <w:szCs w:val="20"/>
          <w:lang w:val="en-US"/>
        </w:rPr>
        <w:t>bold</w:t>
      </w:r>
      <w:r w:rsidRPr="00055C69">
        <w:rPr>
          <w:rFonts w:cs="Times New Roman"/>
          <w:sz w:val="20"/>
          <w:szCs w:val="20"/>
          <w:lang w:val="en-US"/>
        </w:rPr>
        <w:t xml:space="preserve"> font.</w:t>
      </w:r>
    </w:p>
    <w:p w14:paraId="6AB1A697" w14:textId="77777777" w:rsidR="00C54550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</w:p>
    <w:p w14:paraId="3C50E492" w14:textId="77777777" w:rsidR="00C54550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  <w:r>
        <w:rPr>
          <w:rFonts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571DB2FD" wp14:editId="29687B17">
            <wp:extent cx="5731510" cy="72428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D763B" w14:textId="77777777" w:rsidR="00C54550" w:rsidRPr="00741517" w:rsidRDefault="00C54550" w:rsidP="00C54550">
      <w:pPr>
        <w:spacing w:line="480" w:lineRule="auto"/>
        <w:rPr>
          <w:rFonts w:cs="Times New Roman"/>
          <w:b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t xml:space="preserve">Figure S1. </w:t>
      </w:r>
      <w:r w:rsidRPr="00741517">
        <w:rPr>
          <w:szCs w:val="22"/>
        </w:rPr>
        <w:t xml:space="preserve"> </w:t>
      </w:r>
      <w:r w:rsidRPr="001B01AC">
        <w:rPr>
          <w:rFonts w:cs="Times New Roman"/>
          <w:sz w:val="20"/>
          <w:szCs w:val="20"/>
          <w:lang w:val="en-US"/>
        </w:rPr>
        <w:t xml:space="preserve">Converted </w:t>
      </w:r>
      <w:r>
        <w:rPr>
          <w:rFonts w:cs="Times New Roman"/>
          <w:sz w:val="20"/>
          <w:szCs w:val="20"/>
          <w:lang w:val="en-US"/>
        </w:rPr>
        <w:t>s</w:t>
      </w:r>
      <w:r w:rsidRPr="00B50564">
        <w:rPr>
          <w:rFonts w:cs="Times New Roman"/>
          <w:sz w:val="20"/>
          <w:szCs w:val="20"/>
          <w:lang w:val="en-US"/>
        </w:rPr>
        <w:t xml:space="preserve">tandard automated perimetry (SAP) and </w:t>
      </w:r>
      <w:r>
        <w:rPr>
          <w:rFonts w:cs="Times New Roman"/>
          <w:sz w:val="20"/>
          <w:szCs w:val="20"/>
          <w:lang w:val="en-US"/>
        </w:rPr>
        <w:t xml:space="preserve">normalized </w:t>
      </w:r>
      <w:r w:rsidRPr="00B50564">
        <w:rPr>
          <w:rFonts w:cs="Times New Roman"/>
          <w:sz w:val="20"/>
          <w:szCs w:val="20"/>
          <w:lang w:val="en-US"/>
        </w:rPr>
        <w:t xml:space="preserve">pupil perimetry visual field </w:t>
      </w:r>
      <w:r>
        <w:rPr>
          <w:rFonts w:cs="Times New Roman"/>
          <w:sz w:val="20"/>
          <w:szCs w:val="20"/>
          <w:lang w:val="en-US"/>
        </w:rPr>
        <w:t>heat</w:t>
      </w:r>
      <w:r w:rsidRPr="00B50564">
        <w:rPr>
          <w:rFonts w:cs="Times New Roman"/>
          <w:sz w:val="20"/>
          <w:szCs w:val="20"/>
          <w:lang w:val="en-US"/>
        </w:rPr>
        <w:t xml:space="preserve">maps (across color conditions) per subject for Experiment 1. </w:t>
      </w:r>
      <w:r>
        <w:rPr>
          <w:rFonts w:cs="Times New Roman"/>
          <w:sz w:val="20"/>
          <w:szCs w:val="20"/>
          <w:lang w:val="en-US"/>
        </w:rPr>
        <w:t xml:space="preserve">The blue wedges in the pupil perimetry maps represent missing trials. </w:t>
      </w:r>
    </w:p>
    <w:p w14:paraId="4A8D69F5" w14:textId="77777777" w:rsidR="00C54550" w:rsidRDefault="00C54550" w:rsidP="00C54550">
      <w:pPr>
        <w:spacing w:line="480" w:lineRule="auto"/>
        <w:rPr>
          <w:rFonts w:cs="Times New Roman"/>
          <w:b/>
          <w:bCs/>
          <w:sz w:val="20"/>
          <w:szCs w:val="20"/>
          <w:lang w:val="en-US"/>
        </w:rPr>
      </w:pPr>
    </w:p>
    <w:p w14:paraId="2E26C282" w14:textId="77777777" w:rsidR="00C54550" w:rsidRPr="00D6607F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  <w:r>
        <w:rPr>
          <w:rFonts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2846D967" wp14:editId="410F192A">
            <wp:extent cx="5731510" cy="5731510"/>
            <wp:effectExtent l="0" t="0" r="0" b="0"/>
            <wp:docPr id="15" name="Picture 1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BB49" w14:textId="77777777" w:rsidR="00C54550" w:rsidRDefault="00C54550" w:rsidP="00C54550">
      <w:pPr>
        <w:spacing w:line="480" w:lineRule="auto"/>
        <w:rPr>
          <w:rFonts w:cs="Times New Roman"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t xml:space="preserve">Figure S2. </w:t>
      </w:r>
      <w:r w:rsidRPr="001B01AC">
        <w:rPr>
          <w:rFonts w:cs="Times New Roman"/>
          <w:sz w:val="20"/>
          <w:szCs w:val="20"/>
          <w:lang w:val="en-US"/>
        </w:rPr>
        <w:t xml:space="preserve">Converted </w:t>
      </w:r>
      <w:r>
        <w:rPr>
          <w:rFonts w:cs="Times New Roman"/>
          <w:sz w:val="20"/>
          <w:szCs w:val="20"/>
          <w:lang w:val="en-US"/>
        </w:rPr>
        <w:t>s</w:t>
      </w:r>
      <w:r w:rsidRPr="00B50564">
        <w:rPr>
          <w:rFonts w:cs="Times New Roman"/>
          <w:sz w:val="20"/>
          <w:szCs w:val="20"/>
          <w:lang w:val="en-US"/>
        </w:rPr>
        <w:t xml:space="preserve">tandard automated perimetry (SAP) and </w:t>
      </w:r>
      <w:r>
        <w:rPr>
          <w:rFonts w:cs="Times New Roman"/>
          <w:sz w:val="20"/>
          <w:szCs w:val="20"/>
          <w:lang w:val="en-US"/>
        </w:rPr>
        <w:t xml:space="preserve">normalized </w:t>
      </w:r>
      <w:r w:rsidRPr="00B50564">
        <w:rPr>
          <w:rFonts w:cs="Times New Roman"/>
          <w:sz w:val="20"/>
          <w:szCs w:val="20"/>
          <w:lang w:val="en-US"/>
        </w:rPr>
        <w:t xml:space="preserve">pupil perimetry visual field </w:t>
      </w:r>
      <w:r>
        <w:rPr>
          <w:rFonts w:cs="Times New Roman"/>
          <w:sz w:val="20"/>
          <w:szCs w:val="20"/>
          <w:lang w:val="en-US"/>
        </w:rPr>
        <w:t>heat</w:t>
      </w:r>
      <w:r w:rsidRPr="00B50564">
        <w:rPr>
          <w:rFonts w:cs="Times New Roman"/>
          <w:sz w:val="20"/>
          <w:szCs w:val="20"/>
          <w:lang w:val="en-US"/>
        </w:rPr>
        <w:t xml:space="preserve">maps (across color conditions) per subject for Experiment </w:t>
      </w:r>
      <w:r>
        <w:rPr>
          <w:rFonts w:cs="Times New Roman"/>
          <w:sz w:val="20"/>
          <w:szCs w:val="20"/>
          <w:lang w:val="en-US"/>
        </w:rPr>
        <w:t>2</w:t>
      </w:r>
      <w:r w:rsidRPr="00B50564">
        <w:rPr>
          <w:rFonts w:cs="Times New Roman"/>
          <w:sz w:val="20"/>
          <w:szCs w:val="20"/>
          <w:lang w:val="en-US"/>
        </w:rPr>
        <w:t xml:space="preserve">. </w:t>
      </w:r>
      <w:r>
        <w:rPr>
          <w:rFonts w:cs="Times New Roman"/>
          <w:sz w:val="20"/>
          <w:szCs w:val="20"/>
          <w:lang w:val="en-US"/>
        </w:rPr>
        <w:t xml:space="preserve">The blue wedges in the pupil perimetry maps represent missing trials. </w:t>
      </w:r>
    </w:p>
    <w:p w14:paraId="62075A71" w14:textId="77777777" w:rsidR="00C701BC" w:rsidRPr="00C54550" w:rsidRDefault="00C701BC">
      <w:pPr>
        <w:rPr>
          <w:lang w:val="en-US"/>
        </w:rPr>
      </w:pPr>
    </w:p>
    <w:sectPr w:rsidR="00C701BC" w:rsidRPr="00C54550" w:rsidSect="00C7515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58199562"/>
      <w:docPartObj>
        <w:docPartGallery w:val="Page Numbers (Bottom of Page)"/>
        <w:docPartUnique/>
      </w:docPartObj>
    </w:sdtPr>
    <w:sdtContent>
      <w:p w14:paraId="7B452470" w14:textId="77777777" w:rsidR="00A00EEA" w:rsidRDefault="00000000" w:rsidP="00A00E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693E822" w14:textId="77777777" w:rsidR="00A00EEA" w:rsidRDefault="00000000" w:rsidP="00A00E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7951074"/>
      <w:docPartObj>
        <w:docPartGallery w:val="Page Numbers (Bottom of Page)"/>
        <w:docPartUnique/>
      </w:docPartObj>
    </w:sdtPr>
    <w:sdtContent>
      <w:p w14:paraId="29623B5C" w14:textId="77777777" w:rsidR="00A00EEA" w:rsidRDefault="00000000" w:rsidP="00A00E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8C145C" w14:textId="77777777" w:rsidR="00A00EEA" w:rsidRDefault="00000000" w:rsidP="00A00EE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E03B4"/>
    <w:multiLevelType w:val="multilevel"/>
    <w:tmpl w:val="311E9458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608" w:hanging="390"/>
      </w:pPr>
    </w:lvl>
    <w:lvl w:ilvl="2">
      <w:start w:val="1"/>
      <w:numFmt w:val="decimal"/>
      <w:pStyle w:val="Heading3"/>
      <w:isLgl/>
      <w:lvlText w:val="%1.%2.%3"/>
      <w:lvlJc w:val="left"/>
      <w:pPr>
        <w:ind w:left="938" w:hanging="720"/>
      </w:p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</w:rPr>
    </w:lvl>
  </w:abstractNum>
  <w:num w:numId="1" w16cid:durableId="6036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50"/>
    <w:rsid w:val="00350051"/>
    <w:rsid w:val="007C3A1C"/>
    <w:rsid w:val="00C54550"/>
    <w:rsid w:val="00C701BC"/>
    <w:rsid w:val="00C7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370CF"/>
  <w15:chartTrackingRefBased/>
  <w15:docId w15:val="{519E68AE-ED3F-8447-BDBC-CFDEF606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550"/>
    <w:rPr>
      <w:rFonts w:ascii="Times New Roman" w:hAnsi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550"/>
    <w:pPr>
      <w:keepNext/>
      <w:keepLines/>
      <w:numPr>
        <w:numId w:val="1"/>
      </w:numPr>
      <w:spacing w:before="240" w:after="240" w:line="276" w:lineRule="auto"/>
      <w:outlineLvl w:val="0"/>
    </w:pPr>
    <w:rPr>
      <w:rFonts w:eastAsiaTheme="majorEastAsia" w:cs="Times New Roman"/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550"/>
    <w:pPr>
      <w:keepNext/>
      <w:keepLines/>
      <w:numPr>
        <w:ilvl w:val="1"/>
        <w:numId w:val="1"/>
      </w:numPr>
      <w:spacing w:before="40" w:after="240" w:line="276" w:lineRule="auto"/>
      <w:outlineLvl w:val="1"/>
    </w:pPr>
    <w:rPr>
      <w:rFonts w:eastAsiaTheme="majorEastAsia" w:cs="Times New Roman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550"/>
    <w:pPr>
      <w:keepNext/>
      <w:keepLines/>
      <w:numPr>
        <w:ilvl w:val="2"/>
        <w:numId w:val="1"/>
      </w:numPr>
      <w:spacing w:before="40" w:after="240" w:line="259" w:lineRule="auto"/>
      <w:outlineLvl w:val="2"/>
    </w:pPr>
    <w:rPr>
      <w:rFonts w:eastAsiaTheme="majorEastAsia" w:cs="Times New Roman"/>
      <w:i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550"/>
    <w:rPr>
      <w:rFonts w:ascii="Times New Roman" w:eastAsiaTheme="majorEastAsia" w:hAnsi="Times New Roman" w:cs="Times New Roman"/>
      <w:b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4550"/>
    <w:rPr>
      <w:rFonts w:ascii="Times New Roman" w:eastAsiaTheme="majorEastAsia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54550"/>
    <w:rPr>
      <w:rFonts w:ascii="Times New Roman" w:eastAsiaTheme="majorEastAsia" w:hAnsi="Times New Roman" w:cs="Times New Roman"/>
      <w:i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4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50"/>
    <w:rPr>
      <w:rFonts w:ascii="Times New Roman" w:hAnsi="Times New Roman"/>
      <w:kern w:val="0"/>
      <w:sz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54550"/>
  </w:style>
  <w:style w:type="table" w:styleId="ListTable7Colourful">
    <w:name w:val="List Table 7 Colorful"/>
    <w:basedOn w:val="TableNormal"/>
    <w:uiPriority w:val="52"/>
    <w:rsid w:val="00C54550"/>
    <w:rPr>
      <w:color w:val="000000" w:themeColor="text1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C5455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  <w14:ligatures w14:val="none"/>
    </w:rPr>
  </w:style>
  <w:style w:type="table" w:styleId="ListTable6Colourful">
    <w:name w:val="List Table 6 Colorful"/>
    <w:basedOn w:val="TableNormal"/>
    <w:uiPriority w:val="51"/>
    <w:rsid w:val="00C54550"/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5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Portengen-2, B.L. (Brendan)</dc:creator>
  <cp:keywords/>
  <dc:description/>
  <cp:lastModifiedBy>Portengen-2, B.L. (Brendan)</cp:lastModifiedBy>
  <cp:revision>2</cp:revision>
  <dcterms:created xsi:type="dcterms:W3CDTF">2023-04-19T07:07:00Z</dcterms:created>
  <dcterms:modified xsi:type="dcterms:W3CDTF">2023-04-19T07:08:00Z</dcterms:modified>
</cp:coreProperties>
</file>