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856697" w14:textId="77777777" w:rsidR="00C02801" w:rsidRPr="00A55D68" w:rsidRDefault="00C02801" w:rsidP="00413FED">
      <w:pPr>
        <w:spacing w:line="480" w:lineRule="auto"/>
        <w:rPr>
          <w:rFonts w:ascii="Arial" w:hAnsi="Arial" w:cs="Arial"/>
          <w:b/>
          <w:bCs/>
          <w:color w:val="000000"/>
          <w:sz w:val="32"/>
          <w:szCs w:val="32"/>
        </w:rPr>
      </w:pPr>
    </w:p>
    <w:p w14:paraId="0CBD6508" w14:textId="77777777" w:rsidR="00C02801" w:rsidRPr="00A55D68" w:rsidRDefault="00C02801" w:rsidP="00C02801">
      <w:pPr>
        <w:spacing w:line="480" w:lineRule="auto"/>
        <w:jc w:val="center"/>
        <w:rPr>
          <w:rFonts w:ascii="Arial" w:hAnsi="Arial" w:cs="Arial"/>
          <w:b/>
          <w:bCs/>
          <w:color w:val="000000"/>
          <w:sz w:val="32"/>
          <w:szCs w:val="32"/>
        </w:rPr>
      </w:pPr>
      <w:r w:rsidRPr="00A55D68">
        <w:rPr>
          <w:rFonts w:ascii="Arial" w:hAnsi="Arial" w:cs="Arial"/>
          <w:b/>
          <w:bCs/>
          <w:color w:val="000000"/>
          <w:sz w:val="32"/>
          <w:szCs w:val="32"/>
        </w:rPr>
        <w:t>Supplementary Methods</w:t>
      </w:r>
    </w:p>
    <w:p w14:paraId="58D9A3E5" w14:textId="77777777" w:rsidR="00C02801" w:rsidRPr="00A55D68" w:rsidRDefault="00C02801" w:rsidP="00A55D68">
      <w:pPr>
        <w:spacing w:line="480" w:lineRule="auto"/>
        <w:jc w:val="center"/>
        <w:rPr>
          <w:rFonts w:ascii="Arial" w:hAnsi="Arial" w:cs="Arial"/>
          <w:b/>
          <w:bCs/>
          <w:color w:val="000000"/>
          <w:sz w:val="32"/>
          <w:szCs w:val="32"/>
        </w:rPr>
      </w:pPr>
    </w:p>
    <w:p w14:paraId="307166AD" w14:textId="77777777" w:rsidR="00363718" w:rsidRPr="00A55D68" w:rsidRDefault="00363718" w:rsidP="00C02801">
      <w:pPr>
        <w:spacing w:line="480" w:lineRule="auto"/>
        <w:rPr>
          <w:rFonts w:ascii="Arial" w:hAnsi="Arial" w:cs="Arial"/>
          <w:b/>
          <w:bCs/>
          <w:color w:val="000000"/>
          <w:sz w:val="32"/>
          <w:szCs w:val="32"/>
        </w:rPr>
      </w:pPr>
      <w:r w:rsidRPr="00A55D68">
        <w:rPr>
          <w:rFonts w:ascii="Arial" w:hAnsi="Arial" w:cs="Arial"/>
          <w:b/>
          <w:bCs/>
          <w:color w:val="000000"/>
          <w:sz w:val="32"/>
          <w:szCs w:val="32"/>
        </w:rPr>
        <w:t xml:space="preserve">DNA quality inspection </w:t>
      </w:r>
    </w:p>
    <w:p w14:paraId="097CD690" w14:textId="77777777" w:rsidR="00363718" w:rsidRPr="00A55D68" w:rsidRDefault="00363718" w:rsidP="00413FED">
      <w:pPr>
        <w:spacing w:line="480" w:lineRule="auto"/>
        <w:ind w:firstLineChars="150" w:firstLine="300"/>
        <w:rPr>
          <w:rFonts w:ascii="Arial" w:hAnsi="Arial" w:cs="Arial"/>
          <w:color w:val="000000"/>
          <w:sz w:val="20"/>
          <w:szCs w:val="20"/>
        </w:rPr>
      </w:pPr>
      <w:r w:rsidRPr="00A55D68">
        <w:rPr>
          <w:rFonts w:ascii="Arial" w:hAnsi="Arial" w:cs="Arial"/>
          <w:color w:val="000000"/>
          <w:sz w:val="20"/>
          <w:szCs w:val="20"/>
        </w:rPr>
        <w:t>DNA concentrations were determined using the Qubit dsDNA HS (high sensitivity) Assay Kit (Thermo Fisher Scientific, USA). Qualified DNA templates were aliquoted into two 1.5 ml Eppendorf tubes.</w:t>
      </w:r>
    </w:p>
    <w:p w14:paraId="15401261" w14:textId="77777777" w:rsidR="00363718" w:rsidRPr="00A55D68" w:rsidRDefault="00363718" w:rsidP="00413FED">
      <w:pPr>
        <w:spacing w:line="480" w:lineRule="auto"/>
        <w:rPr>
          <w:rFonts w:ascii="Arial" w:hAnsi="Arial" w:cs="Arial"/>
          <w:b/>
          <w:bCs/>
          <w:color w:val="000000"/>
          <w:sz w:val="32"/>
          <w:szCs w:val="32"/>
        </w:rPr>
      </w:pPr>
      <w:r w:rsidRPr="00A55D68">
        <w:rPr>
          <w:rFonts w:ascii="Arial" w:hAnsi="Arial" w:cs="Arial"/>
          <w:b/>
          <w:bCs/>
          <w:color w:val="000000"/>
          <w:sz w:val="32"/>
          <w:szCs w:val="32"/>
        </w:rPr>
        <w:t>Whole-genome sequencing</w:t>
      </w:r>
    </w:p>
    <w:p w14:paraId="560DD254" w14:textId="77777777" w:rsidR="00363718" w:rsidRPr="00A55D68" w:rsidRDefault="00363718" w:rsidP="00413FED">
      <w:pPr>
        <w:spacing w:line="480" w:lineRule="auto"/>
        <w:ind w:firstLineChars="150" w:firstLine="300"/>
        <w:rPr>
          <w:rFonts w:ascii="Arial" w:hAnsi="Arial" w:cs="Arial"/>
          <w:color w:val="000000"/>
          <w:sz w:val="20"/>
          <w:szCs w:val="20"/>
        </w:rPr>
      </w:pPr>
      <w:r w:rsidRPr="00A55D68">
        <w:rPr>
          <w:rFonts w:ascii="Arial" w:hAnsi="Arial" w:cs="Arial"/>
          <w:color w:val="000000"/>
          <w:sz w:val="20"/>
          <w:szCs w:val="20"/>
        </w:rPr>
        <w:t xml:space="preserve">Genomic DNA libraries were prepared according to the requirements of both the Illumina and the Oxford Nanopore systems. A combination of the long-read Nanopore MinION and short-read Illumina NovaSeq 6000 platforms was used to generate the complete genome sequence of the </w:t>
      </w:r>
      <w:r w:rsidRPr="00A55D68">
        <w:rPr>
          <w:rFonts w:ascii="Arial" w:hAnsi="Arial" w:cs="Arial"/>
          <w:i/>
          <w:iCs/>
          <w:color w:val="000000"/>
          <w:sz w:val="20"/>
          <w:szCs w:val="20"/>
        </w:rPr>
        <w:t xml:space="preserve">Candida auris </w:t>
      </w:r>
      <w:r w:rsidRPr="00A55D68">
        <w:rPr>
          <w:rFonts w:ascii="Arial" w:hAnsi="Arial" w:cs="Arial"/>
          <w:color w:val="000000"/>
          <w:kern w:val="0"/>
          <w:sz w:val="20"/>
          <w:szCs w:val="20"/>
        </w:rPr>
        <w:t xml:space="preserve">strain </w:t>
      </w:r>
      <w:bookmarkStart w:id="0" w:name="_Hlk110097372"/>
      <w:r w:rsidRPr="00A55D68">
        <w:rPr>
          <w:rFonts w:ascii="Arial" w:hAnsi="Arial" w:cs="Arial"/>
          <w:color w:val="000000"/>
          <w:kern w:val="0"/>
          <w:sz w:val="20"/>
          <w:szCs w:val="20"/>
        </w:rPr>
        <w:t>BJCA003</w:t>
      </w:r>
      <w:bookmarkEnd w:id="0"/>
      <w:r w:rsidRPr="00A55D68">
        <w:rPr>
          <w:rFonts w:ascii="Arial" w:hAnsi="Arial" w:cs="Arial"/>
          <w:color w:val="000000"/>
          <w:sz w:val="20"/>
          <w:szCs w:val="20"/>
        </w:rPr>
        <w:t xml:space="preserve">. </w:t>
      </w:r>
    </w:p>
    <w:p w14:paraId="6B4AB81B" w14:textId="77777777" w:rsidR="00363718" w:rsidRPr="00A55D68" w:rsidRDefault="00363718" w:rsidP="00413FED">
      <w:pPr>
        <w:spacing w:line="480" w:lineRule="auto"/>
        <w:ind w:firstLineChars="150" w:firstLine="300"/>
        <w:rPr>
          <w:rFonts w:ascii="Arial" w:hAnsi="Arial" w:cs="Arial"/>
          <w:color w:val="000000"/>
          <w:sz w:val="20"/>
          <w:szCs w:val="20"/>
        </w:rPr>
      </w:pPr>
      <w:r w:rsidRPr="00A55D68">
        <w:rPr>
          <w:rFonts w:ascii="Arial" w:hAnsi="Arial" w:cs="Arial"/>
          <w:color w:val="000000"/>
          <w:sz w:val="20"/>
          <w:szCs w:val="20"/>
        </w:rPr>
        <w:t xml:space="preserve">In Illumina sequencing, one aliquot of genomic DNA was fragmented by sonication using the Covaris ultrasonicator (Covaris, Woburn, USA). The quality of the DNA template was assessed using an Agilent 2100 Bioanalyzer (Agilent Technologies, Santa Clara, California) combined with quantitative PCR to measure the adapters before sequencing. Paired-end DNA library was prepared with the NEBNext Ultra II DNA Library Prep Kit for Illumina (NEB, USA) and sequenced using the NovaSeq 6000 platform (PE150, Illumina, USA). The quality of the raw sequence reads was assessed using FastQC v0.11.8, and reads with quality score ≤ 7 and length &lt; 50bp as well as the sequencing adapters were trimmed using the Trimmomatic trimming tool v0.39. </w:t>
      </w:r>
    </w:p>
    <w:p w14:paraId="2C85CA9D" w14:textId="77777777" w:rsidR="00363718" w:rsidRPr="00A55D68" w:rsidRDefault="00363718" w:rsidP="00413FED">
      <w:pPr>
        <w:spacing w:line="480" w:lineRule="auto"/>
        <w:ind w:firstLineChars="150" w:firstLine="300"/>
        <w:rPr>
          <w:rFonts w:ascii="Arial" w:hAnsi="Arial" w:cs="Arial"/>
          <w:color w:val="000000"/>
          <w:sz w:val="20"/>
          <w:szCs w:val="20"/>
        </w:rPr>
      </w:pPr>
      <w:r w:rsidRPr="00A55D68">
        <w:rPr>
          <w:rFonts w:ascii="Arial" w:hAnsi="Arial" w:cs="Arial"/>
          <w:color w:val="000000"/>
          <w:sz w:val="20"/>
          <w:szCs w:val="20"/>
        </w:rPr>
        <w:lastRenderedPageBreak/>
        <w:t>In Nanopore sequencing, one aliquot of genomic DNA was purified using Agencourt Ampure XP beads (Beckman Coulter, Brea, CA). DNA library was prepared using the ligation library preparation kit SQK-LSK109 (Oxford Nanopore Technologies, Oxford, UK) according to the manufacturer’s protocols, which incorporates steps for DNA repair, end-prep, and sequencing adapter attachment. Next, the library was loaded to the R9.4.1 flow cell (FLO-MIN106, Oxford Nanopore Technologies, Oxford, UK) and sequenced with the PromethION platform for 48-72h. FAST5 files were base-called and converted to the FASTQ format in real-time using Guppy v3.3.0. After that, barcode and adapter sequences were trimmed using ont-Guppy v6.0.1, and Filtlong v0.2.0 was used to remove sequences shorter than 3000bp to facilitate assembly.</w:t>
      </w:r>
    </w:p>
    <w:p w14:paraId="23BAA49B" w14:textId="77777777" w:rsidR="00363718" w:rsidRPr="00A55D68" w:rsidRDefault="00363718" w:rsidP="00413FED">
      <w:pPr>
        <w:spacing w:line="480" w:lineRule="auto"/>
        <w:rPr>
          <w:rFonts w:ascii="Arial" w:hAnsi="Arial" w:cs="Arial"/>
          <w:b/>
          <w:bCs/>
          <w:color w:val="000000"/>
          <w:sz w:val="32"/>
          <w:szCs w:val="32"/>
        </w:rPr>
      </w:pPr>
      <w:r w:rsidRPr="00A55D68">
        <w:rPr>
          <w:rFonts w:ascii="Arial" w:hAnsi="Arial" w:cs="Arial"/>
          <w:b/>
          <w:bCs/>
          <w:color w:val="000000"/>
          <w:sz w:val="32"/>
          <w:szCs w:val="32"/>
        </w:rPr>
        <w:t>Genome assembly</w:t>
      </w:r>
    </w:p>
    <w:p w14:paraId="4A49914B" w14:textId="77777777" w:rsidR="00363718" w:rsidRPr="00A55D68" w:rsidRDefault="00363718" w:rsidP="00413FED">
      <w:pPr>
        <w:spacing w:line="480" w:lineRule="auto"/>
        <w:ind w:firstLineChars="150" w:firstLine="300"/>
        <w:rPr>
          <w:rFonts w:ascii="Arial" w:hAnsi="Arial" w:cs="Arial"/>
          <w:color w:val="000000"/>
          <w:sz w:val="20"/>
          <w:szCs w:val="20"/>
        </w:rPr>
      </w:pPr>
      <w:r w:rsidRPr="00A55D68">
        <w:rPr>
          <w:rFonts w:ascii="Arial" w:hAnsi="Arial" w:cs="Arial"/>
          <w:color w:val="000000"/>
          <w:sz w:val="20"/>
          <w:szCs w:val="20"/>
        </w:rPr>
        <w:t>Genome assembly was performed using Unicycler v0.4.7, which allows for both Illumina and Nanopore reads to be used in the conservative mode</w:t>
      </w:r>
      <w:r w:rsidRPr="00A55D68">
        <w:rPr>
          <w:rFonts w:ascii="Arial" w:hAnsi="Arial" w:cs="Arial"/>
          <w:color w:val="000000"/>
          <w:sz w:val="20"/>
          <w:szCs w:val="20"/>
          <w:vertAlign w:val="superscript"/>
        </w:rPr>
        <w:t>1</w:t>
      </w:r>
      <w:r w:rsidRPr="00A55D68">
        <w:rPr>
          <w:rFonts w:ascii="Arial" w:hAnsi="Arial" w:cs="Arial"/>
          <w:color w:val="000000"/>
          <w:sz w:val="20"/>
          <w:szCs w:val="20"/>
        </w:rPr>
        <w:t>. The highly accurate Illumina reads were aligned, and the Nanopore reads served as a reference to correct random sequencing errors and to finally generate a genome assembly of high quality. The assembled sequences were polished by aligning the Illumina paired-end reads with the BWA-MEM algorithm using Pilon v1.2.3 (for several rounds) to improve the quality of genome assembly. Multiple rounds of error correction were performed until no more errors could be fixed.</w:t>
      </w:r>
    </w:p>
    <w:p w14:paraId="0357D2ED" w14:textId="77777777" w:rsidR="00363718" w:rsidRPr="00A55D68" w:rsidRDefault="00363718" w:rsidP="00413FED">
      <w:pPr>
        <w:spacing w:line="480" w:lineRule="auto"/>
        <w:rPr>
          <w:rFonts w:ascii="Arial" w:hAnsi="Arial" w:cs="Arial"/>
          <w:b/>
          <w:bCs/>
          <w:color w:val="000000"/>
          <w:sz w:val="32"/>
          <w:szCs w:val="32"/>
        </w:rPr>
      </w:pPr>
      <w:r w:rsidRPr="00A55D68">
        <w:rPr>
          <w:rFonts w:ascii="Arial" w:hAnsi="Arial" w:cs="Arial"/>
          <w:b/>
          <w:bCs/>
          <w:color w:val="000000"/>
          <w:sz w:val="32"/>
          <w:szCs w:val="32"/>
        </w:rPr>
        <w:t>References</w:t>
      </w:r>
    </w:p>
    <w:p w14:paraId="5B43780E" w14:textId="77777777" w:rsidR="00363718" w:rsidRPr="00A55D68" w:rsidRDefault="00363718" w:rsidP="00413FED">
      <w:pPr>
        <w:pStyle w:val="EndNoteBibliography"/>
        <w:spacing w:line="480" w:lineRule="auto"/>
        <w:rPr>
          <w:rFonts w:ascii="Arial" w:hAnsi="Arial" w:cs="Arial"/>
          <w:noProof w:val="0"/>
          <w:color w:val="000000"/>
          <w:sz w:val="20"/>
          <w:szCs w:val="20"/>
        </w:rPr>
      </w:pPr>
      <w:r w:rsidRPr="00A55D68">
        <w:rPr>
          <w:rFonts w:ascii="Arial" w:hAnsi="Arial" w:cs="Arial"/>
          <w:noProof w:val="0"/>
          <w:color w:val="000000"/>
          <w:sz w:val="20"/>
          <w:szCs w:val="20"/>
        </w:rPr>
        <w:t>1.</w:t>
      </w:r>
      <w:r w:rsidRPr="00A55D68">
        <w:rPr>
          <w:rFonts w:ascii="Arial" w:hAnsi="Arial" w:cs="Arial"/>
          <w:noProof w:val="0"/>
          <w:color w:val="000000"/>
          <w:sz w:val="20"/>
          <w:szCs w:val="20"/>
        </w:rPr>
        <w:tab/>
        <w:t xml:space="preserve">Wick RR, Judd LM, Gorrie CL, Holt KE. Unicycler: Resolving bacterial genome assemblies from short and long sequencing reads. </w:t>
      </w:r>
      <w:r w:rsidRPr="00A55D68">
        <w:rPr>
          <w:rFonts w:ascii="Arial" w:hAnsi="Arial" w:cs="Arial"/>
          <w:i/>
          <w:noProof w:val="0"/>
          <w:color w:val="000000"/>
          <w:sz w:val="20"/>
          <w:szCs w:val="20"/>
        </w:rPr>
        <w:t>PLoS Comput Biol</w:t>
      </w:r>
      <w:r w:rsidRPr="00A55D68">
        <w:rPr>
          <w:rFonts w:ascii="Arial" w:hAnsi="Arial" w:cs="Arial"/>
          <w:noProof w:val="0"/>
          <w:color w:val="000000"/>
          <w:sz w:val="20"/>
          <w:szCs w:val="20"/>
        </w:rPr>
        <w:t xml:space="preserve">. Jun 2017;13(6):e1005595. </w:t>
      </w:r>
      <w:r w:rsidRPr="00A55D68">
        <w:rPr>
          <w:rFonts w:ascii="Arial" w:hAnsi="Arial" w:cs="Arial"/>
          <w:noProof w:val="0"/>
          <w:color w:val="000000"/>
          <w:sz w:val="20"/>
          <w:szCs w:val="20"/>
        </w:rPr>
        <w:lastRenderedPageBreak/>
        <w:t>doi:10.1371/journal.pcbi.1005595</w:t>
      </w:r>
    </w:p>
    <w:p w14:paraId="4661A680" w14:textId="77777777" w:rsidR="00363718" w:rsidRPr="00A55D68" w:rsidRDefault="00363718" w:rsidP="00363718">
      <w:pPr>
        <w:spacing w:line="480" w:lineRule="auto"/>
        <w:ind w:firstLineChars="150" w:firstLine="360"/>
        <w:rPr>
          <w:color w:val="000000"/>
        </w:rPr>
      </w:pPr>
    </w:p>
    <w:p w14:paraId="2B3D482E" w14:textId="77777777" w:rsidR="009B38D5" w:rsidRPr="00A55D68" w:rsidRDefault="009B38D5">
      <w:pPr>
        <w:rPr>
          <w:color w:val="000000"/>
        </w:rPr>
      </w:pPr>
    </w:p>
    <w:sectPr w:rsidR="009B38D5" w:rsidRPr="00A55D68" w:rsidSect="00B1060B">
      <w:footerReference w:type="default" r:id="rId7"/>
      <w:pgSz w:w="11906" w:h="16838"/>
      <w:pgMar w:top="1701" w:right="1701" w:bottom="1701" w:left="1701" w:header="851" w:footer="992" w:gutter="0"/>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732517" w14:textId="77777777" w:rsidR="007B13C1" w:rsidRDefault="007B13C1" w:rsidP="00413FED">
      <w:r>
        <w:separator/>
      </w:r>
    </w:p>
  </w:endnote>
  <w:endnote w:type="continuationSeparator" w:id="0">
    <w:p w14:paraId="24D1F5EC" w14:textId="77777777" w:rsidR="007B13C1" w:rsidRDefault="007B13C1" w:rsidP="00413F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Rockwell">
    <w:panose1 w:val="02060603020205020403"/>
    <w:charset w:val="00"/>
    <w:family w:val="roman"/>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0B080" w14:textId="318D5927" w:rsidR="00F353AF" w:rsidRDefault="00A55D68">
    <w:pPr>
      <w:pStyle w:val="Footer"/>
      <w:jc w:val="center"/>
    </w:pPr>
    <w:r>
      <w:rPr>
        <w:noProof/>
      </w:rPr>
      <mc:AlternateContent>
        <mc:Choice Requires="wps">
          <w:drawing>
            <wp:anchor distT="0" distB="0" distL="114300" distR="114300" simplePos="0" relativeHeight="251658240" behindDoc="0" locked="0" layoutInCell="0" allowOverlap="1" wp14:anchorId="16A1FE51" wp14:editId="2D21C4B7">
              <wp:simplePos x="0" y="0"/>
              <wp:positionH relativeFrom="page">
                <wp:posOffset>0</wp:posOffset>
              </wp:positionH>
              <wp:positionV relativeFrom="page">
                <wp:posOffset>10237470</wp:posOffset>
              </wp:positionV>
              <wp:extent cx="7560310" cy="263525"/>
              <wp:effectExtent l="0" t="0" r="0" b="3175"/>
              <wp:wrapNone/>
              <wp:docPr id="1" name="MSIPCM157b4ffaaf6209028bf2603b" descr="{&quot;HashCode&quot;:-1348403003,&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6352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BCC3E87" w14:textId="0915092E" w:rsidR="00A55D68" w:rsidRPr="00A55D68" w:rsidRDefault="00A55D68" w:rsidP="00A55D68">
                          <w:pPr>
                            <w:jc w:val="left"/>
                            <w:rPr>
                              <w:rFonts w:ascii="Rockwell" w:hAnsi="Rockwell"/>
                              <w:color w:val="0078D7"/>
                              <w:sz w:val="18"/>
                            </w:rPr>
                          </w:pPr>
                          <w:r w:rsidRPr="00A55D68">
                            <w:rPr>
                              <w:rFonts w:ascii="Rockwell" w:hAnsi="Rockwell"/>
                              <w:color w:val="0078D7"/>
                              <w:sz w:val="18"/>
                            </w:rPr>
                            <w:t>Information Classification: General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16A1FE51" id="_x0000_t202" coordsize="21600,21600" o:spt="202" path="m,l,21600r21600,l21600,xe">
              <v:stroke joinstyle="miter"/>
              <v:path gradientshapeok="t" o:connecttype="rect"/>
            </v:shapetype>
            <v:shape id="MSIPCM157b4ffaaf6209028bf2603b" o:spid="_x0000_s1026" type="#_x0000_t202" alt="{&quot;HashCode&quot;:-1348403003,&quot;Height&quot;:841.0,&quot;Width&quot;:595.0,&quot;Placement&quot;:&quot;Footer&quot;,&quot;Index&quot;:&quot;Primary&quot;,&quot;Section&quot;:1,&quot;Top&quot;:0.0,&quot;Left&quot;:0.0}" style="position:absolute;left:0;text-align:left;margin-left:0;margin-top:806.1pt;width:595.3pt;height:20.7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" o:allowincell="f" filled="f" stroked="f" strokeweight=".5pt">
              <v:textbox inset="20pt,0,,0">
                <w:txbxContent>
                  <w:p w14:paraId="5BCC3E87" w14:textId="0915092E" w:rsidR="00A55D68" w:rsidRPr="00A55D68" w:rsidRDefault="00A55D68" w:rsidP="00A55D68">
                    <w:pPr>
                      <w:jc w:val="left"/>
                      <w:rPr>
                        <w:rFonts w:ascii="Rockwell" w:hAnsi="Rockwell"/>
                        <w:color w:val="0078D7"/>
                        <w:sz w:val="18"/>
                      </w:rPr>
                    </w:pPr>
                    <w:r w:rsidRPr="00A55D68">
                      <w:rPr>
                        <w:rFonts w:ascii="Rockwell" w:hAnsi="Rockwell"/>
                        <w:color w:val="0078D7"/>
                        <w:sz w:val="18"/>
                      </w:rPr>
                      <w:t>Information Classification: General</w:t>
                    </w:r>
                  </w:p>
                </w:txbxContent>
              </v:textbox>
              <w10:wrap anchorx="page" anchory="page"/>
            </v:shape>
          </w:pict>
        </mc:Fallback>
      </mc:AlternateContent>
    </w:r>
    <w:sdt>
      <w:sdtPr>
        <w:id w:val="-29032242"/>
        <w:docPartObj>
          <w:docPartGallery w:val="Page Numbers (Bottom of Page)"/>
          <w:docPartUnique/>
        </w:docPartObj>
      </w:sdtPr>
      <w:sdtEndPr/>
      <w:sdtContent>
        <w:r w:rsidR="00F353AF">
          <w:fldChar w:fldCharType="begin"/>
        </w:r>
        <w:r w:rsidR="00F353AF">
          <w:instrText>PAGE   \* MERGEFORMAT</w:instrText>
        </w:r>
        <w:r w:rsidR="00F353AF">
          <w:fldChar w:fldCharType="separate"/>
        </w:r>
        <w:r w:rsidR="00467A3A" w:rsidRPr="00467A3A">
          <w:rPr>
            <w:noProof/>
            <w:lang w:val="zh-CN"/>
          </w:rPr>
          <w:t>2</w:t>
        </w:r>
        <w:r w:rsidR="00F353AF">
          <w:fldChar w:fldCharType="end"/>
        </w:r>
      </w:sdtContent>
    </w:sdt>
  </w:p>
  <w:p w14:paraId="1F0FFBDD" w14:textId="77777777" w:rsidR="00F353AF" w:rsidRDefault="00F353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CCBB1F" w14:textId="77777777" w:rsidR="007B13C1" w:rsidRDefault="007B13C1" w:rsidP="00413FED">
      <w:r>
        <w:separator/>
      </w:r>
    </w:p>
  </w:footnote>
  <w:footnote w:type="continuationSeparator" w:id="0">
    <w:p w14:paraId="399589D4" w14:textId="77777777" w:rsidR="007B13C1" w:rsidRDefault="007B13C1" w:rsidP="00413FE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bordersDoNotSurroundHeader/>
  <w:bordersDoNotSurroundFooter/>
  <w:doNotTrackFormatting/>
  <w:defaultTabStop w:val="420"/>
  <w:drawingGridHorizontalSpacing w:val="120"/>
  <w:drawingGridVerticalSpacing w:val="163"/>
  <w:displayHorizontalDrawingGridEvery w:val="0"/>
  <w:displayVerticalDrawingGridEvery w:val="2"/>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363718"/>
    <w:rsid w:val="002F5243"/>
    <w:rsid w:val="00363718"/>
    <w:rsid w:val="00413FED"/>
    <w:rsid w:val="00467A3A"/>
    <w:rsid w:val="007B13C1"/>
    <w:rsid w:val="008C0F4E"/>
    <w:rsid w:val="009133EB"/>
    <w:rsid w:val="009B38D5"/>
    <w:rsid w:val="00A55D68"/>
    <w:rsid w:val="00B1060B"/>
    <w:rsid w:val="00C02801"/>
    <w:rsid w:val="00F353AF"/>
    <w:rsid w:val="00FC47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F309910"/>
  <w15:docId w15:val="{32669496-9CED-4473-9161-420E8DC36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3718"/>
    <w:pPr>
      <w:widowControl w:val="0"/>
      <w:jc w:val="both"/>
    </w:pPr>
    <w:rPr>
      <w:rFonts w:ascii="Times New Roman" w:eastAsia="SimSu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363718"/>
    <w:rPr>
      <w:rFonts w:ascii="Times New Roman" w:eastAsia="SimSun" w:hAnsi="Times New Roman"/>
      <w:sz w:val="24"/>
    </w:rPr>
  </w:style>
  <w:style w:type="character" w:styleId="CommentReference">
    <w:name w:val="annotation reference"/>
    <w:basedOn w:val="DefaultParagraphFont"/>
    <w:uiPriority w:val="99"/>
    <w:semiHidden/>
    <w:unhideWhenUsed/>
    <w:rsid w:val="00363718"/>
    <w:rPr>
      <w:sz w:val="16"/>
      <w:szCs w:val="16"/>
    </w:rPr>
  </w:style>
  <w:style w:type="paragraph" w:styleId="CommentText">
    <w:name w:val="annotation text"/>
    <w:basedOn w:val="Normal"/>
    <w:link w:val="CommentTextChar"/>
    <w:uiPriority w:val="99"/>
    <w:semiHidden/>
    <w:unhideWhenUsed/>
    <w:rsid w:val="00363718"/>
    <w:rPr>
      <w:sz w:val="20"/>
      <w:szCs w:val="20"/>
    </w:rPr>
  </w:style>
  <w:style w:type="character" w:customStyle="1" w:styleId="CommentTextChar">
    <w:name w:val="Comment Text Char"/>
    <w:basedOn w:val="DefaultParagraphFont"/>
    <w:link w:val="CommentText"/>
    <w:uiPriority w:val="99"/>
    <w:semiHidden/>
    <w:rsid w:val="00363718"/>
    <w:rPr>
      <w:rFonts w:ascii="Times New Roman" w:eastAsia="SimSun" w:hAnsi="Times New Roman"/>
      <w:sz w:val="20"/>
      <w:szCs w:val="20"/>
    </w:rPr>
  </w:style>
  <w:style w:type="paragraph" w:styleId="CommentSubject">
    <w:name w:val="annotation subject"/>
    <w:basedOn w:val="CommentText"/>
    <w:next w:val="CommentText"/>
    <w:link w:val="CommentSubjectChar"/>
    <w:uiPriority w:val="99"/>
    <w:semiHidden/>
    <w:unhideWhenUsed/>
    <w:rsid w:val="00363718"/>
    <w:rPr>
      <w:b/>
      <w:bCs/>
    </w:rPr>
  </w:style>
  <w:style w:type="character" w:customStyle="1" w:styleId="CommentSubjectChar">
    <w:name w:val="Comment Subject Char"/>
    <w:basedOn w:val="CommentTextChar"/>
    <w:link w:val="CommentSubject"/>
    <w:uiPriority w:val="99"/>
    <w:semiHidden/>
    <w:rsid w:val="00363718"/>
    <w:rPr>
      <w:rFonts w:ascii="Times New Roman" w:eastAsia="SimSun" w:hAnsi="Times New Roman"/>
      <w:b/>
      <w:bCs/>
      <w:sz w:val="20"/>
      <w:szCs w:val="20"/>
    </w:rPr>
  </w:style>
  <w:style w:type="paragraph" w:styleId="Header">
    <w:name w:val="header"/>
    <w:basedOn w:val="Normal"/>
    <w:link w:val="HeaderChar"/>
    <w:uiPriority w:val="99"/>
    <w:unhideWhenUsed/>
    <w:rsid w:val="00363718"/>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363718"/>
    <w:rPr>
      <w:rFonts w:ascii="Times New Roman" w:eastAsia="SimSun" w:hAnsi="Times New Roman"/>
      <w:sz w:val="18"/>
      <w:szCs w:val="18"/>
    </w:rPr>
  </w:style>
  <w:style w:type="paragraph" w:styleId="Footer">
    <w:name w:val="footer"/>
    <w:basedOn w:val="Normal"/>
    <w:link w:val="FooterChar"/>
    <w:uiPriority w:val="99"/>
    <w:unhideWhenUsed/>
    <w:rsid w:val="00363718"/>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363718"/>
    <w:rPr>
      <w:rFonts w:ascii="Times New Roman" w:eastAsia="SimSun" w:hAnsi="Times New Roman"/>
      <w:sz w:val="18"/>
      <w:szCs w:val="18"/>
    </w:rPr>
  </w:style>
  <w:style w:type="paragraph" w:customStyle="1" w:styleId="EndNoteBibliographyTitle">
    <w:name w:val="EndNote Bibliography Title"/>
    <w:basedOn w:val="Normal"/>
    <w:link w:val="EndNoteBibliographyTitle0"/>
    <w:rsid w:val="00363718"/>
    <w:pPr>
      <w:jc w:val="center"/>
    </w:pPr>
    <w:rPr>
      <w:rFonts w:cs="Times New Roman"/>
      <w:noProof/>
    </w:rPr>
  </w:style>
  <w:style w:type="character" w:customStyle="1" w:styleId="EndNoteBibliographyTitle0">
    <w:name w:val="EndNote Bibliography Title 字符"/>
    <w:basedOn w:val="DefaultParagraphFont"/>
    <w:link w:val="EndNoteBibliographyTitle"/>
    <w:rsid w:val="00363718"/>
    <w:rPr>
      <w:rFonts w:ascii="Times New Roman" w:eastAsia="SimSun" w:hAnsi="Times New Roman" w:cs="Times New Roman"/>
      <w:noProof/>
      <w:sz w:val="24"/>
    </w:rPr>
  </w:style>
  <w:style w:type="paragraph" w:customStyle="1" w:styleId="EndNoteBibliography">
    <w:name w:val="EndNote Bibliography"/>
    <w:basedOn w:val="Normal"/>
    <w:link w:val="EndNoteBibliography0"/>
    <w:rsid w:val="00363718"/>
    <w:rPr>
      <w:rFonts w:cs="Times New Roman"/>
      <w:noProof/>
    </w:rPr>
  </w:style>
  <w:style w:type="character" w:customStyle="1" w:styleId="EndNoteBibliography0">
    <w:name w:val="EndNote Bibliography 字符"/>
    <w:basedOn w:val="DefaultParagraphFont"/>
    <w:link w:val="EndNoteBibliography"/>
    <w:rsid w:val="00363718"/>
    <w:rPr>
      <w:rFonts w:ascii="Times New Roman" w:eastAsia="SimSun" w:hAnsi="Times New Roman" w:cs="Times New Roman"/>
      <w:noProof/>
      <w:sz w:val="24"/>
    </w:rPr>
  </w:style>
  <w:style w:type="character" w:styleId="Hyperlink">
    <w:name w:val="Hyperlink"/>
    <w:basedOn w:val="DefaultParagraphFont"/>
    <w:uiPriority w:val="99"/>
    <w:unhideWhenUsed/>
    <w:rsid w:val="00363718"/>
    <w:rPr>
      <w:color w:val="0000FF" w:themeColor="hyperlink"/>
      <w:u w:val="single"/>
    </w:rPr>
  </w:style>
  <w:style w:type="character" w:customStyle="1" w:styleId="UnresolvedMention1">
    <w:name w:val="Unresolved Mention1"/>
    <w:basedOn w:val="DefaultParagraphFont"/>
    <w:uiPriority w:val="99"/>
    <w:semiHidden/>
    <w:unhideWhenUsed/>
    <w:rsid w:val="00363718"/>
    <w:rPr>
      <w:color w:val="605E5C"/>
      <w:shd w:val="clear" w:color="auto" w:fill="E1DFDD"/>
    </w:rPr>
  </w:style>
  <w:style w:type="character" w:styleId="LineNumber">
    <w:name w:val="line number"/>
    <w:basedOn w:val="DefaultParagraphFont"/>
    <w:uiPriority w:val="99"/>
    <w:semiHidden/>
    <w:unhideWhenUsed/>
    <w:rsid w:val="00F353AF"/>
  </w:style>
  <w:style w:type="paragraph" w:styleId="BalloonText">
    <w:name w:val="Balloon Text"/>
    <w:basedOn w:val="Normal"/>
    <w:link w:val="BalloonTextChar"/>
    <w:uiPriority w:val="99"/>
    <w:semiHidden/>
    <w:unhideWhenUsed/>
    <w:rsid w:val="00C02801"/>
    <w:rPr>
      <w:sz w:val="18"/>
      <w:szCs w:val="18"/>
    </w:rPr>
  </w:style>
  <w:style w:type="character" w:customStyle="1" w:styleId="BalloonTextChar">
    <w:name w:val="Balloon Text Char"/>
    <w:basedOn w:val="DefaultParagraphFont"/>
    <w:link w:val="BalloonText"/>
    <w:uiPriority w:val="99"/>
    <w:semiHidden/>
    <w:rsid w:val="00C02801"/>
    <w:rPr>
      <w:rFonts w:ascii="Times New Roman" w:eastAsia="SimSun" w:hAnsi="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file>

<file path=customXml/itemProps1.xml><?xml version="1.0" encoding="utf-8"?>
<ds:datastoreItem xmlns:ds="http://schemas.openxmlformats.org/officeDocument/2006/customXml" ds:itemID="{DC1DB863-FEB7-4EBB-9B27-28AA5728AD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440</Words>
  <Characters>2508</Characters>
  <Application>Microsoft Office Word</Application>
  <DocSecurity>0</DocSecurity>
  <Lines>20</Lines>
  <Paragraphs>5</Paragraphs>
  <ScaleCrop>false</ScaleCrop>
  <Company/>
  <LinksUpToDate>false</LinksUpToDate>
  <CharactersWithSpaces>2943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Olliver, Tania</cp:lastModifiedBy>
  <cp:revision>2</cp:revision>
  <dcterms:created xsi:type="dcterms:W3CDTF">2023-05-14T23:31:00Z</dcterms:created>
  <dcterms:modified xsi:type="dcterms:W3CDTF">2023-05-14T23:31:00Z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bab825-a111-45e4-86a1-18cee0005896_Enabled">
    <vt:lpwstr>true</vt:lpwstr>
  </property>
  <property fmtid="{D5CDD505-2E9C-101B-9397-08002B2CF9AE}" pid="3" name="MSIP_Label_2bbab825-a111-45e4-86a1-18cee0005896_SetDate">
    <vt:lpwstr>2023-05-14T23:31:07Z</vt:lpwstr>
  </property>
  <property fmtid="{D5CDD505-2E9C-101B-9397-08002B2CF9AE}" pid="4" name="MSIP_Label_2bbab825-a111-45e4-86a1-18cee0005896_Method">
    <vt:lpwstr>Standard</vt:lpwstr>
  </property>
  <property fmtid="{D5CDD505-2E9C-101B-9397-08002B2CF9AE}" pid="5" name="MSIP_Label_2bbab825-a111-45e4-86a1-18cee0005896_Name">
    <vt:lpwstr>2bbab825-a111-45e4-86a1-18cee0005896</vt:lpwstr>
  </property>
  <property fmtid="{D5CDD505-2E9C-101B-9397-08002B2CF9AE}" pid="6" name="MSIP_Label_2bbab825-a111-45e4-86a1-18cee0005896_SiteId">
    <vt:lpwstr>2567d566-604c-408a-8a60-55d0dc9d9d6b</vt:lpwstr>
  </property>
  <property fmtid="{D5CDD505-2E9C-101B-9397-08002B2CF9AE}" pid="7" name="MSIP_Label_2bbab825-a111-45e4-86a1-18cee0005896_ActionId">
    <vt:lpwstr>de18fc0f-a33b-4546-8dca-5b61910487e6</vt:lpwstr>
  </property>
  <property fmtid="{D5CDD505-2E9C-101B-9397-08002B2CF9AE}" pid="8" name="MSIP_Label_2bbab825-a111-45e4-86a1-18cee0005896_ContentBits">
    <vt:lpwstr>2</vt:lpwstr>
  </property>
</Properties>
</file>