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0E72" w14:textId="2DF93658" w:rsidR="00431388" w:rsidRPr="00431388" w:rsidRDefault="004C727D" w:rsidP="0060400B">
      <w:pPr>
        <w:pStyle w:val="Heading1"/>
      </w:pPr>
      <w:r>
        <w:t>Supplementary material</w:t>
      </w:r>
    </w:p>
    <w:p w14:paraId="4A9FE199" w14:textId="187646B1" w:rsidR="00B30BC3" w:rsidRPr="00431388" w:rsidRDefault="004C727D" w:rsidP="0060400B">
      <w:pPr>
        <w:pStyle w:val="Heading1"/>
      </w:pPr>
      <w:r>
        <w:t>Supplementary methods</w:t>
      </w:r>
    </w:p>
    <w:p w14:paraId="42093006" w14:textId="4351B717" w:rsidR="004C727D" w:rsidRDefault="004C727D" w:rsidP="004C727D">
      <w:pPr>
        <w:pStyle w:val="Heading2"/>
        <w:rPr>
          <w:b w:val="0"/>
          <w:bCs w:val="0"/>
          <w:i w:val="0"/>
          <w:iCs w:val="0"/>
          <w:color w:val="FF0000"/>
          <w:sz w:val="20"/>
        </w:rPr>
      </w:pPr>
      <w:bookmarkStart w:id="0" w:name="_Hlk126604194"/>
      <w:r>
        <w:t>Intervention</w:t>
      </w:r>
    </w:p>
    <w:p w14:paraId="3C52918A" w14:textId="5F30F013" w:rsidR="004C727D" w:rsidRPr="004C727D" w:rsidRDefault="6490218A" w:rsidP="6F43BC4F">
      <w:r>
        <w:t>The patient application is a progressive, responsive web-application, accessible through smart phone, tablet or computer. Participants are sent a daily text message and email reminder to complete standard patient-reported outcome (PRO) questionnaires to aid structured reflection on COPD symptoms. The application provides access to standardized self-management advice, individualized rescue-pack advice (when activated by clinician) and patient-clinician asynchronous messaging for non-urgent advice regarding COPD self-management</w:t>
      </w:r>
      <w:r w:rsidRPr="0070481B">
        <w:t xml:space="preserve">. </w:t>
      </w:r>
      <w:r w:rsidR="6C30623B" w:rsidRPr="0070481B">
        <w:rPr>
          <w:rFonts w:eastAsia="Arial" w:cs="Arial"/>
        </w:rPr>
        <w:t xml:space="preserve">The messaging service was reviewed by the COPD clinical team </w:t>
      </w:r>
      <w:r w:rsidR="0EB559DE" w:rsidRPr="0070481B">
        <w:rPr>
          <w:rFonts w:eastAsia="Arial" w:cs="Arial"/>
        </w:rPr>
        <w:t xml:space="preserve">from </w:t>
      </w:r>
      <w:r w:rsidR="6C30623B" w:rsidRPr="0070481B">
        <w:rPr>
          <w:rFonts w:eastAsia="Arial" w:cs="Arial"/>
        </w:rPr>
        <w:t>Monday</w:t>
      </w:r>
      <w:r w:rsidR="4609C1F1" w:rsidRPr="0070481B">
        <w:rPr>
          <w:rFonts w:eastAsia="Arial" w:cs="Arial"/>
        </w:rPr>
        <w:t xml:space="preserve"> </w:t>
      </w:r>
      <w:r w:rsidR="12495384" w:rsidRPr="0070481B">
        <w:rPr>
          <w:rFonts w:eastAsia="Arial" w:cs="Arial"/>
        </w:rPr>
        <w:t>to</w:t>
      </w:r>
      <w:r w:rsidR="4609C1F1" w:rsidRPr="0070481B">
        <w:rPr>
          <w:rFonts w:eastAsia="Arial" w:cs="Arial"/>
        </w:rPr>
        <w:t xml:space="preserve"> </w:t>
      </w:r>
      <w:r w:rsidR="6C30623B" w:rsidRPr="0070481B">
        <w:rPr>
          <w:rFonts w:eastAsia="Arial" w:cs="Arial"/>
        </w:rPr>
        <w:t>Friday</w:t>
      </w:r>
      <w:r w:rsidR="4609C1F1" w:rsidRPr="0070481B">
        <w:rPr>
          <w:rFonts w:eastAsia="Arial" w:cs="Arial"/>
        </w:rPr>
        <w:t xml:space="preserve"> during </w:t>
      </w:r>
      <w:r w:rsidR="228903C5" w:rsidRPr="0070481B">
        <w:rPr>
          <w:rFonts w:eastAsia="Arial" w:cs="Arial"/>
        </w:rPr>
        <w:t xml:space="preserve">regular </w:t>
      </w:r>
      <w:r w:rsidR="4609C1F1" w:rsidRPr="0070481B">
        <w:rPr>
          <w:rFonts w:eastAsia="Arial" w:cs="Arial"/>
        </w:rPr>
        <w:t>office hours</w:t>
      </w:r>
      <w:r w:rsidR="03AAB96D" w:rsidRPr="0070481B">
        <w:rPr>
          <w:rFonts w:eastAsia="Arial" w:cs="Arial"/>
        </w:rPr>
        <w:t>,</w:t>
      </w:r>
      <w:r w:rsidR="4609C1F1" w:rsidRPr="0070481B">
        <w:rPr>
          <w:rFonts w:eastAsia="Arial" w:cs="Arial"/>
        </w:rPr>
        <w:t xml:space="preserve"> </w:t>
      </w:r>
      <w:r w:rsidR="6C30623B" w:rsidRPr="0070481B">
        <w:rPr>
          <w:rFonts w:eastAsia="Arial" w:cs="Arial"/>
        </w:rPr>
        <w:t xml:space="preserve">and participant queries were </w:t>
      </w:r>
      <w:r w:rsidR="177EDF07" w:rsidRPr="0070481B">
        <w:rPr>
          <w:rFonts w:eastAsia="Arial" w:cs="Arial"/>
        </w:rPr>
        <w:t>handled</w:t>
      </w:r>
      <w:r w:rsidR="6C30623B" w:rsidRPr="0070481B">
        <w:rPr>
          <w:rFonts w:eastAsia="Arial" w:cs="Arial"/>
        </w:rPr>
        <w:t xml:space="preserve"> </w:t>
      </w:r>
      <w:r w:rsidR="43D7E942" w:rsidRPr="0070481B">
        <w:rPr>
          <w:rFonts w:eastAsia="Arial" w:cs="Arial"/>
        </w:rPr>
        <w:t>in line with usual</w:t>
      </w:r>
      <w:r w:rsidR="6C30623B" w:rsidRPr="0070481B">
        <w:rPr>
          <w:rFonts w:eastAsia="Arial" w:cs="Arial"/>
        </w:rPr>
        <w:t xml:space="preserve"> care practices</w:t>
      </w:r>
      <w:r w:rsidR="4EE2F4C7" w:rsidRPr="0070481B">
        <w:rPr>
          <w:rFonts w:eastAsia="Arial" w:cs="Arial"/>
        </w:rPr>
        <w:t>.</w:t>
      </w:r>
      <w:r w:rsidR="7AF9819E" w:rsidRPr="35AC2F02">
        <w:rPr>
          <w:rFonts w:eastAsia="Arial" w:cs="Arial"/>
        </w:rPr>
        <w:t xml:space="preserve"> </w:t>
      </w:r>
      <w:r>
        <w:t>Further self-management material</w:t>
      </w:r>
      <w:r w:rsidR="0EBAEDCF">
        <w:t xml:space="preserve"> is</w:t>
      </w:r>
      <w:r>
        <w:t xml:space="preserve"> available via the ‘Managing my COPD’ support website</w:t>
      </w:r>
      <w:r w:rsidR="62C48203">
        <w:t>,</w:t>
      </w:r>
      <w:r>
        <w:t xml:space="preserve"> </w:t>
      </w:r>
      <w:r w:rsidR="0EBAEDCF">
        <w:t>as an additional component to the intervention. This</w:t>
      </w:r>
      <w:r>
        <w:t xml:space="preserve"> can be accessed at: </w:t>
      </w:r>
      <w:hyperlink r:id="rId7">
        <w:r w:rsidRPr="35AC2F02">
          <w:rPr>
            <w:rStyle w:val="Hyperlink"/>
          </w:rPr>
          <w:t>https://support.nhscopd.scot/managing-my-copd</w:t>
        </w:r>
      </w:hyperlink>
      <w:r>
        <w:t>.</w:t>
      </w:r>
    </w:p>
    <w:bookmarkEnd w:id="0"/>
    <w:p w14:paraId="69154CED" w14:textId="77777777" w:rsidR="004C727D" w:rsidRPr="004C727D" w:rsidRDefault="004C727D" w:rsidP="004C727D"/>
    <w:p w14:paraId="5ACB996E" w14:textId="13E1FE49" w:rsidR="00EE0017" w:rsidRDefault="004C727D" w:rsidP="004C727D">
      <w:r w:rsidRPr="004C727D">
        <w:t>Registration to the service prompts clinician review and completion of structured clinical summary data in the web-browser based clinical dashboard. The structured content supports remote monitoring and optimization of COPD management. The NHS Greater Glasgow and Clyde (NHS GG&amp;C) COPD clinical team additionally use the messaging facility and the rich dataset aggregated in the dashboard to facilitate out of hospital care and to maximize information available during scheduled care. The patient application has a banner noting that clinical team review and respond to messages Monday - Friday 8am-4pm, with signposting to alternative channels for emergency care.</w:t>
      </w:r>
    </w:p>
    <w:p w14:paraId="6F582923" w14:textId="28A0E484" w:rsidR="004C727D" w:rsidRDefault="004C727D" w:rsidP="004C727D">
      <w:pPr>
        <w:pStyle w:val="Heading2"/>
        <w:rPr>
          <w:b w:val="0"/>
          <w:bCs w:val="0"/>
          <w:i w:val="0"/>
          <w:iCs w:val="0"/>
          <w:color w:val="FF0000"/>
          <w:sz w:val="20"/>
        </w:rPr>
      </w:pPr>
      <w:r>
        <w:lastRenderedPageBreak/>
        <w:t>Data processing and storage</w:t>
      </w:r>
    </w:p>
    <w:p w14:paraId="242F23D8" w14:textId="650D30B7" w:rsidR="004C727D" w:rsidRDefault="004C727D" w:rsidP="004C727D">
      <w:r w:rsidRPr="004C727D">
        <w:t xml:space="preserve">All data was stored within NHS GG&amp;C Azure cloud tenancy with standard NHS data control, processing and security governance arrangements. Participant permission for data sharing was additionally captured within the patient application. Identity for each participant was linked by unique participant identifiers.  Analysis of data generated was undertaken by named researchers using a deidentified data feed from the </w:t>
      </w:r>
      <w:proofErr w:type="spellStart"/>
      <w:r w:rsidRPr="004C727D">
        <w:t>Lenus</w:t>
      </w:r>
      <w:proofErr w:type="spellEnd"/>
      <w:r w:rsidRPr="004C727D">
        <w:t xml:space="preserve"> COPD database.  Identification of the control cohort and analysis of control cohort data was undertaken by named researchers via the NHS GG&amp;C Safe Haven trusted research environment.</w:t>
      </w:r>
    </w:p>
    <w:p w14:paraId="12F90B43" w14:textId="58A4F505" w:rsidR="004C727D" w:rsidRDefault="004C727D" w:rsidP="004C727D">
      <w:pPr>
        <w:pStyle w:val="Heading2"/>
        <w:rPr>
          <w:b w:val="0"/>
          <w:bCs w:val="0"/>
          <w:i w:val="0"/>
          <w:iCs w:val="0"/>
          <w:color w:val="FF0000"/>
          <w:sz w:val="20"/>
        </w:rPr>
      </w:pPr>
      <w:bookmarkStart w:id="1" w:name="_Hlk126604359"/>
      <w:r w:rsidRPr="004C727D">
        <w:t>Definition of a COPD or respiratory-related admission</w:t>
      </w:r>
    </w:p>
    <w:p w14:paraId="7C5D1D15" w14:textId="11B0A3D1" w:rsidR="004C727D" w:rsidRDefault="004C727D" w:rsidP="004C727D">
      <w:r>
        <w:t xml:space="preserve">For the RECEIVER cohort, COPD or respiratory-related emergency department (ED) attendances and hospital admissions data were collated by the research team from review of electronic health records, looking at the window from one year preceding the date each participant onboarded onto the support service to the follow-up censor date (31st August 2021). Elective admissions </w:t>
      </w:r>
      <w:bookmarkEnd w:id="1"/>
      <w:r>
        <w:t xml:space="preserve">were included if they related to optimization of COPD management. Where there were uncertainties relating to the nature of an admission, consensus was achieved by discussion within the investigator team. </w:t>
      </w:r>
      <w:r w:rsidR="009404EB">
        <w:t>COPD or r</w:t>
      </w:r>
      <w:r>
        <w:t xml:space="preserve">espiratory-related ICD-10 diagnosis codes were applied to the ED attendance/admission data for the control cohort to acquire COPD or </w:t>
      </w:r>
      <w:r w:rsidR="00CC27DB">
        <w:t xml:space="preserve">respiratory </w:t>
      </w:r>
      <w:r>
        <w:t>related-admission and occupied bed day counts</w:t>
      </w:r>
      <w:r w:rsidR="00CC27DB">
        <w:t>.</w:t>
      </w:r>
    </w:p>
    <w:p w14:paraId="1B31A34B" w14:textId="77777777" w:rsidR="004C727D" w:rsidRDefault="004C727D" w:rsidP="004C727D"/>
    <w:p w14:paraId="7731D64A" w14:textId="20E2D5BE" w:rsidR="004C727D" w:rsidRPr="004C727D" w:rsidRDefault="004C727D" w:rsidP="004C727D">
      <w:r>
        <w:t>The date of hospital admission was used to determine inclusion in the year before index</w:t>
      </w:r>
      <w:r w:rsidR="00CC27DB">
        <w:t xml:space="preserve"> date </w:t>
      </w:r>
      <w:r>
        <w:t>and the year after index</w:t>
      </w:r>
      <w:r w:rsidR="00CC27DB">
        <w:t xml:space="preserve"> date</w:t>
      </w:r>
      <w:r>
        <w:t xml:space="preserve"> counts. Occupied bed days were counted in whole days from date of attendance to discharge; ED attendances of &lt;24 hours were therefore counted as one day.</w:t>
      </w:r>
    </w:p>
    <w:p w14:paraId="4612DC4F" w14:textId="77777777" w:rsidR="004C727D" w:rsidRPr="004C727D" w:rsidRDefault="004C727D" w:rsidP="004C727D"/>
    <w:p w14:paraId="2BEDDC1C" w14:textId="77777777" w:rsidR="0070481B" w:rsidRDefault="0070481B" w:rsidP="004C727D">
      <w:pPr>
        <w:pStyle w:val="Heading2"/>
      </w:pPr>
    </w:p>
    <w:p w14:paraId="10116283" w14:textId="644E53B3" w:rsidR="004C727D" w:rsidRDefault="004C727D" w:rsidP="004C727D">
      <w:pPr>
        <w:pStyle w:val="Heading2"/>
        <w:rPr>
          <w:b w:val="0"/>
          <w:bCs w:val="0"/>
          <w:i w:val="0"/>
          <w:iCs w:val="0"/>
          <w:color w:val="FF0000"/>
          <w:sz w:val="20"/>
        </w:rPr>
      </w:pPr>
      <w:r w:rsidRPr="004C727D">
        <w:t>Definition of community-managed exacerbations</w:t>
      </w:r>
    </w:p>
    <w:p w14:paraId="5EC16ABF" w14:textId="094A2439" w:rsidR="004C727D" w:rsidRDefault="004C727D" w:rsidP="004C727D">
      <w:r>
        <w:t xml:space="preserve">Exacerbations were identified from a once weekly PRO question in the patient application which asked the participants “have you taken antibiotics/steroids in the last week?” A ‘yes’ response was designed to be </w:t>
      </w:r>
      <w:r w:rsidR="00CC27DB">
        <w:t xml:space="preserve">a </w:t>
      </w:r>
      <w:r>
        <w:t>surrogate marker of a community-managed exacerbation in the previous week. To account for sustained symptoms and the requirement for extended courses of therapy amongst some individuals, criteria for refining which ‘yes’ responses to the weekly PRO were classed as new community-managed exacerbation events were developed and referred to as the PRO LOGIC criteria. The PRO LOGIC criteria for defining a new exacerbation event from a ‘yes’ response from the weekly PRO question were as follows:</w:t>
      </w:r>
    </w:p>
    <w:p w14:paraId="3D290484" w14:textId="28F34CB6" w:rsidR="004C727D" w:rsidRDefault="00242B46" w:rsidP="004C727D">
      <w:r>
        <w:t>-</w:t>
      </w:r>
      <w:r w:rsidR="004C727D">
        <w:t xml:space="preserve"> More than 5 weeks since previous ‘yes’ response</w:t>
      </w:r>
      <w:r w:rsidR="00CC27DB">
        <w:t xml:space="preserve">: </w:t>
      </w:r>
      <w:r w:rsidR="004C727D">
        <w:t>always considered a new community-managed exacerbation event.</w:t>
      </w:r>
    </w:p>
    <w:p w14:paraId="5FE4EA25" w14:textId="7D4ADD3C" w:rsidR="004C727D" w:rsidRDefault="004C727D" w:rsidP="004C727D">
      <w:r>
        <w:t xml:space="preserve"> </w:t>
      </w:r>
      <w:r w:rsidR="00242B46">
        <w:t>-</w:t>
      </w:r>
      <w:r>
        <w:t xml:space="preserve"> More than 2 weeks but less than 5 weeks since last ‘yes’ response: only </w:t>
      </w:r>
      <w:r w:rsidR="00CC27DB">
        <w:t xml:space="preserve">a </w:t>
      </w:r>
      <w:r>
        <w:t>new community-managed exacerbation event if</w:t>
      </w:r>
      <w:r w:rsidR="00CC27DB">
        <w:t xml:space="preserve"> there were</w:t>
      </w:r>
      <w:r>
        <w:t xml:space="preserve"> two consecutive ‘no’ responses between the previous ‘yes’ response and the ‘yes’ response in question</w:t>
      </w:r>
    </w:p>
    <w:p w14:paraId="1BEF091E" w14:textId="59092E53" w:rsidR="004C727D" w:rsidRDefault="004C727D" w:rsidP="004C727D"/>
    <w:p w14:paraId="5042FC78" w14:textId="1EC78862" w:rsidR="004C727D" w:rsidRDefault="004C727D" w:rsidP="004C727D">
      <w:r w:rsidRPr="004C727D">
        <w:t xml:space="preserve">Patient-clinician interactions via the </w:t>
      </w:r>
      <w:proofErr w:type="spellStart"/>
      <w:r w:rsidRPr="004C727D">
        <w:t>Lenus</w:t>
      </w:r>
      <w:proofErr w:type="spellEnd"/>
      <w:r w:rsidRPr="004C727D">
        <w:t xml:space="preserve"> COPD messaging facility and emergency clinical summary prescribing data were reviewed to allow clinician verification of a selection of these events. Good correlation between ‘PRO LOGIC’ and clinician-verifiable events was noted (Spearman's rank correlation coefficient = 0.8423).</w:t>
      </w:r>
    </w:p>
    <w:p w14:paraId="67C7DC89" w14:textId="1AC4DBDF" w:rsidR="004C727D" w:rsidRDefault="004C727D" w:rsidP="004C727D"/>
    <w:p w14:paraId="0D33AED7" w14:textId="6983BC65" w:rsidR="00802A97" w:rsidRDefault="00802A97" w:rsidP="004C727D"/>
    <w:p w14:paraId="7DDF58DD" w14:textId="477E20C1" w:rsidR="00802A97" w:rsidRDefault="00802A97" w:rsidP="004C727D"/>
    <w:p w14:paraId="4CBB69FF" w14:textId="5D13D274" w:rsidR="00802A97" w:rsidRDefault="00802A97" w:rsidP="004C727D"/>
    <w:p w14:paraId="5C7DA6B9" w14:textId="3632D3FD" w:rsidR="00802A97" w:rsidRDefault="00802A97" w:rsidP="004C727D"/>
    <w:p w14:paraId="56FB6F78" w14:textId="76BF6B4E" w:rsidR="00802A97" w:rsidRDefault="00802A97" w:rsidP="004C727D"/>
    <w:p w14:paraId="28847A43" w14:textId="47962D0E" w:rsidR="00802A97" w:rsidRDefault="00802A97" w:rsidP="004C727D"/>
    <w:p w14:paraId="5A66A3A4" w14:textId="6B69F0C6" w:rsidR="004C727D" w:rsidRDefault="004C727D" w:rsidP="00953ECC">
      <w:pPr>
        <w:pStyle w:val="Heading1"/>
      </w:pPr>
      <w:r>
        <w:lastRenderedPageBreak/>
        <w:t>Supplementary tables</w:t>
      </w:r>
    </w:p>
    <w:p w14:paraId="0F07904E" w14:textId="10AABBC9" w:rsidR="00953ECC" w:rsidRPr="004C727D" w:rsidRDefault="00953ECC" w:rsidP="00953ECC">
      <w:r w:rsidRPr="00953ECC">
        <w:rPr>
          <w:b/>
          <w:bCs/>
        </w:rPr>
        <w:t>Supplementary Table 1</w:t>
      </w:r>
      <w:r w:rsidRPr="00953ECC">
        <w:t xml:space="preserve"> Table showing the objectives of the RECEIVER trial, the relevant outcomes to each objective</w:t>
      </w:r>
      <w:r w:rsidR="00CC27DB">
        <w:t xml:space="preserve"> </w:t>
      </w:r>
      <w:r w:rsidR="00CC27DB" w:rsidRPr="00953ECC">
        <w:t>reported in this paper</w:t>
      </w:r>
      <w:r w:rsidRPr="00953ECC">
        <w:t>, and data that was collected during the trial related to each objective</w:t>
      </w:r>
      <w:r w:rsidR="00CC27DB">
        <w:t xml:space="preserve"> </w:t>
      </w:r>
      <w:r w:rsidR="00CC27DB" w:rsidRPr="00953ECC">
        <w:t>that is not reported here</w:t>
      </w:r>
    </w:p>
    <w:tbl>
      <w:tblPr>
        <w:tblW w:w="8647" w:type="dxa"/>
        <w:tblInd w:w="-5" w:type="dxa"/>
        <w:tblLook w:val="04A0" w:firstRow="1" w:lastRow="0" w:firstColumn="1" w:lastColumn="0" w:noHBand="0" w:noVBand="1"/>
      </w:tblPr>
      <w:tblGrid>
        <w:gridCol w:w="2552"/>
        <w:gridCol w:w="3685"/>
        <w:gridCol w:w="2410"/>
      </w:tblGrid>
      <w:tr w:rsidR="004C727D" w:rsidRPr="004C727D" w14:paraId="0D0C654A" w14:textId="77777777" w:rsidTr="007505B2">
        <w:trPr>
          <w:trHeight w:val="450"/>
        </w:trPr>
        <w:tc>
          <w:tcPr>
            <w:tcW w:w="2552"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EA0B487" w14:textId="77777777" w:rsidR="004C727D" w:rsidRPr="004C727D" w:rsidRDefault="004C727D" w:rsidP="004C727D">
            <w:pPr>
              <w:spacing w:line="240" w:lineRule="auto"/>
              <w:jc w:val="center"/>
              <w:rPr>
                <w:rFonts w:cs="Arial"/>
                <w:b/>
                <w:bCs/>
                <w:color w:val="000000"/>
                <w:szCs w:val="20"/>
                <w:lang w:eastAsia="en-GB"/>
              </w:rPr>
            </w:pPr>
            <w:r w:rsidRPr="004C727D">
              <w:rPr>
                <w:rFonts w:cs="Arial"/>
                <w:b/>
                <w:bCs/>
                <w:color w:val="000000"/>
                <w:szCs w:val="20"/>
                <w:lang w:eastAsia="en-GB"/>
              </w:rPr>
              <w:t>Objective</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63A72BC" w14:textId="06B2701E" w:rsidR="004C727D" w:rsidRPr="004C727D" w:rsidRDefault="004C727D" w:rsidP="004C727D">
            <w:pPr>
              <w:spacing w:line="240" w:lineRule="auto"/>
              <w:jc w:val="center"/>
              <w:rPr>
                <w:rFonts w:cs="Arial"/>
                <w:b/>
                <w:bCs/>
                <w:color w:val="000000"/>
                <w:szCs w:val="20"/>
                <w:lang w:eastAsia="en-GB"/>
              </w:rPr>
            </w:pPr>
            <w:r w:rsidRPr="004C727D">
              <w:rPr>
                <w:rFonts w:cs="Arial"/>
                <w:b/>
                <w:bCs/>
                <w:color w:val="000000"/>
                <w:szCs w:val="20"/>
                <w:lang w:eastAsia="en-GB"/>
              </w:rPr>
              <w:t xml:space="preserve">Relevant outcomes reported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6B509260" w14:textId="77777777" w:rsidR="004C727D" w:rsidRPr="004C727D" w:rsidRDefault="004C727D" w:rsidP="004C727D">
            <w:pPr>
              <w:spacing w:line="240" w:lineRule="auto"/>
              <w:jc w:val="center"/>
              <w:rPr>
                <w:rFonts w:cs="Arial"/>
                <w:b/>
                <w:bCs/>
                <w:color w:val="000000"/>
                <w:szCs w:val="20"/>
                <w:lang w:eastAsia="en-GB"/>
              </w:rPr>
            </w:pPr>
            <w:r w:rsidRPr="004C727D">
              <w:rPr>
                <w:rFonts w:cs="Arial"/>
                <w:b/>
                <w:bCs/>
                <w:color w:val="000000"/>
                <w:szCs w:val="20"/>
                <w:lang w:eastAsia="en-GB"/>
              </w:rPr>
              <w:t>Data measured but not reported here</w:t>
            </w:r>
          </w:p>
        </w:tc>
      </w:tr>
      <w:tr w:rsidR="004C727D" w:rsidRPr="004C727D" w14:paraId="66A5499E" w14:textId="77777777" w:rsidTr="007505B2">
        <w:trPr>
          <w:trHeight w:val="230"/>
        </w:trPr>
        <w:tc>
          <w:tcPr>
            <w:tcW w:w="2552"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2F967777" w14:textId="77777777" w:rsidR="004C727D" w:rsidRPr="004C727D" w:rsidRDefault="004C727D" w:rsidP="004C727D">
            <w:pPr>
              <w:spacing w:line="240" w:lineRule="auto"/>
              <w:rPr>
                <w:rFonts w:cs="Arial"/>
                <w:color w:val="000000"/>
                <w:szCs w:val="20"/>
                <w:lang w:eastAsia="en-GB"/>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3A71D0D2" w14:textId="77777777" w:rsidR="004C727D" w:rsidRPr="004C727D" w:rsidRDefault="004C727D" w:rsidP="004C727D">
            <w:pPr>
              <w:spacing w:line="240" w:lineRule="auto"/>
              <w:rPr>
                <w:rFonts w:cs="Arial"/>
                <w:b/>
                <w:bCs/>
                <w:color w:val="000000"/>
                <w:szCs w:val="20"/>
                <w:lang w:eastAsia="en-GB"/>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3B64D1CB" w14:textId="77777777" w:rsidR="004C727D" w:rsidRPr="004C727D" w:rsidRDefault="004C727D" w:rsidP="004C727D">
            <w:pPr>
              <w:spacing w:line="240" w:lineRule="auto"/>
              <w:rPr>
                <w:rFonts w:cs="Arial"/>
                <w:b/>
                <w:bCs/>
                <w:color w:val="000000"/>
                <w:sz w:val="24"/>
                <w:lang w:eastAsia="en-GB"/>
              </w:rPr>
            </w:pPr>
          </w:p>
        </w:tc>
      </w:tr>
      <w:tr w:rsidR="004C727D" w:rsidRPr="004C727D" w14:paraId="726D8B35" w14:textId="77777777" w:rsidTr="000F0451">
        <w:trPr>
          <w:trHeight w:val="3220"/>
        </w:trPr>
        <w:tc>
          <w:tcPr>
            <w:tcW w:w="2552" w:type="dxa"/>
            <w:tcBorders>
              <w:top w:val="single" w:sz="4" w:space="0" w:color="auto"/>
              <w:left w:val="single" w:sz="4" w:space="0" w:color="auto"/>
              <w:bottom w:val="single" w:sz="4" w:space="0" w:color="auto"/>
              <w:right w:val="single" w:sz="4" w:space="0" w:color="auto"/>
            </w:tcBorders>
            <w:shd w:val="clear" w:color="auto" w:fill="F2F2F2"/>
          </w:tcPr>
          <w:p w14:paraId="6E06220A" w14:textId="77777777" w:rsidR="004C727D" w:rsidRPr="004C727D" w:rsidRDefault="004C727D" w:rsidP="004C727D">
            <w:pPr>
              <w:spacing w:line="240" w:lineRule="auto"/>
              <w:rPr>
                <w:rFonts w:cs="Arial"/>
                <w:b/>
                <w:bCs/>
                <w:color w:val="000000"/>
                <w:szCs w:val="20"/>
                <w:lang w:eastAsia="en-GB"/>
              </w:rPr>
            </w:pPr>
            <w:r w:rsidRPr="004C727D">
              <w:rPr>
                <w:rFonts w:cs="Arial"/>
                <w:b/>
                <w:bCs/>
                <w:color w:val="000000"/>
                <w:szCs w:val="20"/>
                <w:lang w:eastAsia="en-GB"/>
              </w:rPr>
              <w:t>To determine utilization of the patient application by a population with severe COPD over an extended period</w:t>
            </w:r>
          </w:p>
        </w:tc>
        <w:tc>
          <w:tcPr>
            <w:tcW w:w="3685" w:type="dxa"/>
            <w:tcBorders>
              <w:top w:val="single" w:sz="4" w:space="0" w:color="auto"/>
              <w:left w:val="nil"/>
              <w:bottom w:val="single" w:sz="4" w:space="0" w:color="auto"/>
              <w:right w:val="single" w:sz="4" w:space="0" w:color="auto"/>
            </w:tcBorders>
            <w:shd w:val="clear" w:color="000000" w:fill="FFFFFF"/>
          </w:tcPr>
          <w:p w14:paraId="7C54CC32" w14:textId="77777777" w:rsidR="004C727D" w:rsidRPr="004C727D" w:rsidRDefault="004C727D" w:rsidP="004C727D">
            <w:pPr>
              <w:spacing w:line="240" w:lineRule="auto"/>
              <w:rPr>
                <w:rFonts w:cs="Arial"/>
                <w:color w:val="000000"/>
                <w:szCs w:val="20"/>
                <w:lang w:eastAsia="en-GB"/>
              </w:rPr>
            </w:pPr>
            <w:r w:rsidRPr="004C727D">
              <w:rPr>
                <w:rFonts w:cs="Arial"/>
                <w:color w:val="000000"/>
                <w:szCs w:val="20"/>
                <w:lang w:eastAsia="en-GB"/>
              </w:rPr>
              <w:t>Percentage of participants completing at least</w:t>
            </w:r>
            <w:r w:rsidRPr="004C727D">
              <w:rPr>
                <w:rFonts w:cs="Arial"/>
                <w:sz w:val="22"/>
                <w:szCs w:val="22"/>
                <w:lang w:eastAsia="en-GB"/>
              </w:rPr>
              <w:t xml:space="preserve"> one</w:t>
            </w:r>
            <w:r w:rsidRPr="004C727D">
              <w:rPr>
                <w:rFonts w:cs="Arial"/>
                <w:color w:val="000000"/>
                <w:szCs w:val="20"/>
                <w:lang w:eastAsia="en-GB"/>
              </w:rPr>
              <w:t xml:space="preserve"> COPD assessment test (CAT) entry each week</w:t>
            </w:r>
          </w:p>
          <w:p w14:paraId="5C2A9006" w14:textId="77777777" w:rsidR="004C727D" w:rsidRPr="004C727D" w:rsidRDefault="004C727D" w:rsidP="004C727D">
            <w:pPr>
              <w:spacing w:line="240" w:lineRule="auto"/>
              <w:rPr>
                <w:rFonts w:cs="Arial"/>
                <w:color w:val="000000"/>
                <w:szCs w:val="20"/>
                <w:lang w:eastAsia="en-GB"/>
              </w:rPr>
            </w:pPr>
          </w:p>
          <w:p w14:paraId="67E42BBD" w14:textId="77777777" w:rsidR="004C727D" w:rsidRPr="004C727D" w:rsidRDefault="004C727D" w:rsidP="004C727D">
            <w:pPr>
              <w:spacing w:line="240" w:lineRule="auto"/>
              <w:rPr>
                <w:rFonts w:cs="Arial"/>
                <w:color w:val="000000"/>
                <w:szCs w:val="20"/>
                <w:lang w:eastAsia="en-GB"/>
              </w:rPr>
            </w:pPr>
            <w:r w:rsidRPr="004C727D">
              <w:rPr>
                <w:rFonts w:cs="Arial"/>
                <w:color w:val="000000"/>
                <w:szCs w:val="20"/>
                <w:lang w:eastAsia="en-GB"/>
              </w:rPr>
              <w:t>Percentage of participants resident in SIMD quintile 1 postcodes completing at least one CAT entry per week</w:t>
            </w:r>
          </w:p>
          <w:p w14:paraId="376EF1A3" w14:textId="77777777" w:rsidR="004C727D" w:rsidRPr="004C727D" w:rsidRDefault="004C727D" w:rsidP="004C727D">
            <w:pPr>
              <w:spacing w:line="240" w:lineRule="auto"/>
              <w:rPr>
                <w:rFonts w:cs="Arial"/>
                <w:color w:val="000000"/>
                <w:szCs w:val="20"/>
                <w:lang w:eastAsia="en-GB"/>
              </w:rPr>
            </w:pPr>
          </w:p>
          <w:p w14:paraId="3638DD59" w14:textId="77777777" w:rsidR="004C727D" w:rsidRPr="004C727D" w:rsidRDefault="004C727D" w:rsidP="004C727D">
            <w:pPr>
              <w:spacing w:line="240" w:lineRule="auto"/>
              <w:rPr>
                <w:rFonts w:cs="Arial"/>
                <w:color w:val="000000"/>
                <w:szCs w:val="20"/>
                <w:lang w:eastAsia="en-GB"/>
              </w:rPr>
            </w:pPr>
            <w:r w:rsidRPr="004C727D">
              <w:rPr>
                <w:rFonts w:cs="Arial"/>
                <w:color w:val="000000"/>
                <w:szCs w:val="20"/>
                <w:lang w:eastAsia="en-GB"/>
              </w:rPr>
              <w:t>Mean number of CAT entries completed per week</w:t>
            </w:r>
          </w:p>
          <w:p w14:paraId="3E905EB9" w14:textId="77777777" w:rsidR="004C727D" w:rsidRPr="004C727D" w:rsidRDefault="004C727D" w:rsidP="004C727D">
            <w:pPr>
              <w:spacing w:line="240" w:lineRule="auto"/>
              <w:rPr>
                <w:rFonts w:cs="Arial"/>
                <w:color w:val="000000"/>
                <w:szCs w:val="20"/>
                <w:lang w:eastAsia="en-GB"/>
              </w:rPr>
            </w:pPr>
          </w:p>
          <w:p w14:paraId="53752904" w14:textId="00440764" w:rsidR="004C727D" w:rsidRPr="004C727D" w:rsidRDefault="004C727D" w:rsidP="004C727D">
            <w:pPr>
              <w:spacing w:line="240" w:lineRule="auto"/>
              <w:rPr>
                <w:rFonts w:cs="Arial"/>
                <w:szCs w:val="20"/>
                <w:lang w:eastAsia="en-GB"/>
              </w:rPr>
            </w:pPr>
            <w:r w:rsidRPr="004C727D">
              <w:rPr>
                <w:rFonts w:cs="Arial"/>
                <w:color w:val="000000"/>
                <w:szCs w:val="20"/>
                <w:lang w:eastAsia="en-GB"/>
              </w:rPr>
              <w:t>Completion of medical research council (</w:t>
            </w:r>
            <w:r w:rsidRPr="004C727D">
              <w:rPr>
                <w:rFonts w:cs="Arial"/>
                <w:szCs w:val="20"/>
                <w:lang w:eastAsia="en-GB"/>
              </w:rPr>
              <w:t xml:space="preserve">MRC) </w:t>
            </w:r>
            <w:proofErr w:type="spellStart"/>
            <w:r w:rsidRPr="004C727D">
              <w:rPr>
                <w:rFonts w:cs="Arial"/>
                <w:szCs w:val="20"/>
                <w:lang w:eastAsia="en-GB"/>
              </w:rPr>
              <w:t>Dyspnoea</w:t>
            </w:r>
            <w:proofErr w:type="spellEnd"/>
            <w:r w:rsidRPr="004C727D">
              <w:rPr>
                <w:rFonts w:cs="Arial"/>
                <w:szCs w:val="20"/>
                <w:lang w:eastAsia="en-GB"/>
              </w:rPr>
              <w:t xml:space="preserve"> Scale and EQ-5D entries</w:t>
            </w:r>
          </w:p>
        </w:tc>
        <w:tc>
          <w:tcPr>
            <w:tcW w:w="2410" w:type="dxa"/>
            <w:tcBorders>
              <w:top w:val="single" w:sz="4" w:space="0" w:color="auto"/>
              <w:left w:val="nil"/>
              <w:bottom w:val="single" w:sz="4" w:space="0" w:color="auto"/>
              <w:right w:val="single" w:sz="4" w:space="0" w:color="auto"/>
            </w:tcBorders>
            <w:shd w:val="clear" w:color="auto" w:fill="FFFFFF"/>
          </w:tcPr>
          <w:p w14:paraId="50B361E2" w14:textId="77777777" w:rsidR="004C727D" w:rsidRPr="004C727D" w:rsidRDefault="004C727D" w:rsidP="004C727D">
            <w:pPr>
              <w:spacing w:line="240" w:lineRule="auto"/>
              <w:rPr>
                <w:rFonts w:cs="Arial"/>
                <w:color w:val="000000"/>
                <w:szCs w:val="20"/>
                <w:lang w:eastAsia="en-GB"/>
              </w:rPr>
            </w:pPr>
            <w:r w:rsidRPr="004C727D">
              <w:rPr>
                <w:rFonts w:cs="Arial"/>
                <w:color w:val="000000"/>
                <w:szCs w:val="20"/>
                <w:lang w:eastAsia="en-GB"/>
              </w:rPr>
              <w:t>Utilization of self-management information (page views)</w:t>
            </w:r>
          </w:p>
          <w:p w14:paraId="0CBEF65E" w14:textId="77777777" w:rsidR="004C727D" w:rsidRPr="004C727D" w:rsidRDefault="004C727D" w:rsidP="004C727D">
            <w:pPr>
              <w:spacing w:line="240" w:lineRule="auto"/>
              <w:rPr>
                <w:rFonts w:cs="Arial"/>
                <w:color w:val="000000"/>
                <w:szCs w:val="20"/>
                <w:lang w:eastAsia="en-GB"/>
              </w:rPr>
            </w:pPr>
          </w:p>
          <w:p w14:paraId="14FE30C5" w14:textId="77777777" w:rsidR="004C727D" w:rsidRPr="004C727D" w:rsidRDefault="004C727D" w:rsidP="004C727D">
            <w:pPr>
              <w:spacing w:line="240" w:lineRule="auto"/>
              <w:rPr>
                <w:rFonts w:cs="Arial"/>
                <w:color w:val="000000"/>
                <w:szCs w:val="20"/>
                <w:lang w:eastAsia="en-GB"/>
              </w:rPr>
            </w:pPr>
            <w:r w:rsidRPr="004C727D">
              <w:rPr>
                <w:rFonts w:cs="Arial"/>
                <w:color w:val="000000"/>
                <w:szCs w:val="20"/>
                <w:lang w:eastAsia="en-GB"/>
              </w:rPr>
              <w:t>Utilization of the patient-clinician messaging facility</w:t>
            </w:r>
          </w:p>
          <w:p w14:paraId="76A1A704" w14:textId="77777777" w:rsidR="004C727D" w:rsidRPr="004C727D" w:rsidRDefault="004C727D" w:rsidP="004C727D">
            <w:pPr>
              <w:spacing w:line="240" w:lineRule="auto"/>
              <w:rPr>
                <w:rFonts w:cs="Arial"/>
                <w:color w:val="000000"/>
                <w:szCs w:val="20"/>
                <w:lang w:eastAsia="en-GB"/>
              </w:rPr>
            </w:pPr>
          </w:p>
          <w:p w14:paraId="32914029" w14:textId="77777777" w:rsidR="004C727D" w:rsidRPr="004C727D" w:rsidRDefault="004C727D" w:rsidP="004C727D">
            <w:pPr>
              <w:spacing w:line="240" w:lineRule="auto"/>
              <w:rPr>
                <w:rFonts w:cs="Arial"/>
                <w:color w:val="000000"/>
                <w:szCs w:val="20"/>
                <w:lang w:eastAsia="en-GB"/>
              </w:rPr>
            </w:pPr>
            <w:r w:rsidRPr="004C727D">
              <w:rPr>
                <w:rFonts w:cs="Arial"/>
                <w:color w:val="000000"/>
                <w:szCs w:val="20"/>
                <w:lang w:eastAsia="en-GB"/>
              </w:rPr>
              <w:t>Completion of daily symptom diary questions</w:t>
            </w:r>
          </w:p>
        </w:tc>
      </w:tr>
      <w:tr w:rsidR="004C727D" w:rsidRPr="004C727D" w14:paraId="113A1499" w14:textId="77777777" w:rsidTr="007505B2">
        <w:trPr>
          <w:trHeight w:val="1269"/>
        </w:trPr>
        <w:tc>
          <w:tcPr>
            <w:tcW w:w="2552" w:type="dxa"/>
            <w:tcBorders>
              <w:top w:val="single" w:sz="4" w:space="0" w:color="auto"/>
              <w:left w:val="single" w:sz="4" w:space="0" w:color="auto"/>
              <w:bottom w:val="single" w:sz="4" w:space="0" w:color="auto"/>
              <w:right w:val="single" w:sz="4" w:space="0" w:color="auto"/>
            </w:tcBorders>
            <w:shd w:val="clear" w:color="000000" w:fill="F2F2F2"/>
          </w:tcPr>
          <w:p w14:paraId="6F82709A" w14:textId="77777777" w:rsidR="004C727D" w:rsidRPr="004C727D" w:rsidRDefault="004C727D" w:rsidP="004C727D">
            <w:pPr>
              <w:spacing w:line="240" w:lineRule="auto"/>
              <w:rPr>
                <w:rFonts w:cs="Arial"/>
                <w:b/>
                <w:bCs/>
                <w:color w:val="000000"/>
                <w:szCs w:val="20"/>
                <w:lang w:eastAsia="en-GB"/>
              </w:rPr>
            </w:pPr>
            <w:r w:rsidRPr="004C727D">
              <w:rPr>
                <w:rFonts w:cs="Arial"/>
                <w:b/>
                <w:bCs/>
                <w:color w:val="000000"/>
                <w:szCs w:val="20"/>
                <w:lang w:eastAsia="en-GB"/>
              </w:rPr>
              <w:t xml:space="preserve">To explore potential determinants of patient application utilization </w:t>
            </w:r>
          </w:p>
        </w:tc>
        <w:tc>
          <w:tcPr>
            <w:tcW w:w="3685" w:type="dxa"/>
            <w:tcBorders>
              <w:top w:val="single" w:sz="4" w:space="0" w:color="auto"/>
              <w:left w:val="nil"/>
              <w:bottom w:val="single" w:sz="4" w:space="0" w:color="auto"/>
              <w:right w:val="single" w:sz="4" w:space="0" w:color="auto"/>
            </w:tcBorders>
            <w:shd w:val="clear" w:color="000000" w:fill="FFFFFF"/>
          </w:tcPr>
          <w:p w14:paraId="3D1FED77" w14:textId="74D8914B" w:rsidR="004C727D" w:rsidRPr="004C6AED" w:rsidRDefault="00CC27DB" w:rsidP="004C727D">
            <w:pPr>
              <w:spacing w:line="240" w:lineRule="auto"/>
              <w:rPr>
                <w:rFonts w:cs="Arial"/>
                <w:color w:val="000000"/>
                <w:szCs w:val="20"/>
                <w:lang w:eastAsia="en-GB"/>
              </w:rPr>
            </w:pPr>
            <w:r w:rsidRPr="004C6AED">
              <w:rPr>
                <w:rFonts w:cs="Arial"/>
                <w:color w:val="000000"/>
                <w:szCs w:val="20"/>
                <w:lang w:eastAsia="en-GB"/>
              </w:rPr>
              <w:t xml:space="preserve">Reporting </w:t>
            </w:r>
            <w:r w:rsidR="00AD5F34" w:rsidRPr="004C6AED">
              <w:rPr>
                <w:rFonts w:cs="Arial"/>
                <w:color w:val="000000"/>
                <w:szCs w:val="20"/>
                <w:lang w:eastAsia="en-GB"/>
              </w:rPr>
              <w:t xml:space="preserve">on the </w:t>
            </w:r>
            <w:r w:rsidR="004C727D" w:rsidRPr="004C6AED">
              <w:rPr>
                <w:rFonts w:cs="Arial"/>
                <w:color w:val="000000"/>
                <w:szCs w:val="20"/>
                <w:lang w:eastAsia="en-GB"/>
              </w:rPr>
              <w:t>demographic</w:t>
            </w:r>
            <w:r w:rsidR="00AD5F34" w:rsidRPr="004C6AED">
              <w:rPr>
                <w:rFonts w:cs="Arial"/>
                <w:color w:val="000000"/>
                <w:szCs w:val="20"/>
                <w:lang w:eastAsia="en-GB"/>
              </w:rPr>
              <w:t>s</w:t>
            </w:r>
            <w:r w:rsidR="004C727D" w:rsidRPr="004C6AED">
              <w:rPr>
                <w:rFonts w:cs="Arial"/>
                <w:color w:val="000000"/>
                <w:szCs w:val="20"/>
                <w:lang w:eastAsia="en-GB"/>
              </w:rPr>
              <w:t xml:space="preserve">, disease </w:t>
            </w:r>
            <w:r w:rsidR="00AD5F34" w:rsidRPr="004C6AED">
              <w:rPr>
                <w:rFonts w:cs="Arial"/>
                <w:color w:val="000000"/>
                <w:szCs w:val="20"/>
                <w:lang w:eastAsia="en-GB"/>
              </w:rPr>
              <w:t>severity</w:t>
            </w:r>
            <w:r w:rsidR="004C727D" w:rsidRPr="004C6AED">
              <w:rPr>
                <w:rFonts w:cs="Arial"/>
                <w:color w:val="000000"/>
                <w:szCs w:val="20"/>
                <w:lang w:eastAsia="en-GB"/>
              </w:rPr>
              <w:t>, current</w:t>
            </w:r>
            <w:r w:rsidR="00AD5F34" w:rsidRPr="004C6AED">
              <w:rPr>
                <w:rFonts w:cs="Arial"/>
                <w:color w:val="000000"/>
                <w:szCs w:val="20"/>
                <w:lang w:eastAsia="en-GB"/>
              </w:rPr>
              <w:t xml:space="preserve"> therapies </w:t>
            </w:r>
            <w:r w:rsidR="004C727D" w:rsidRPr="004C6AED">
              <w:rPr>
                <w:rFonts w:cs="Arial"/>
                <w:color w:val="000000"/>
                <w:szCs w:val="20"/>
                <w:lang w:eastAsia="en-GB"/>
              </w:rPr>
              <w:t>, comorbidit</w:t>
            </w:r>
            <w:r w:rsidR="00AD5F34" w:rsidRPr="004C6AED">
              <w:rPr>
                <w:rFonts w:cs="Arial"/>
                <w:color w:val="000000"/>
                <w:szCs w:val="20"/>
                <w:lang w:eastAsia="en-GB"/>
              </w:rPr>
              <w:t>y prevalence</w:t>
            </w:r>
            <w:r w:rsidR="004C727D" w:rsidRPr="004C6AED">
              <w:rPr>
                <w:rFonts w:cs="Arial"/>
                <w:color w:val="000000"/>
                <w:szCs w:val="20"/>
                <w:lang w:eastAsia="en-GB"/>
              </w:rPr>
              <w:t>, and clinical event</w:t>
            </w:r>
            <w:r w:rsidR="00AD5F34" w:rsidRPr="004C6AED">
              <w:rPr>
                <w:rFonts w:cs="Arial"/>
                <w:color w:val="000000"/>
                <w:szCs w:val="20"/>
                <w:lang w:eastAsia="en-GB"/>
              </w:rPr>
              <w:t xml:space="preserve"> count</w:t>
            </w:r>
            <w:r w:rsidR="004C727D" w:rsidRPr="004C6AED">
              <w:rPr>
                <w:rFonts w:cs="Arial"/>
                <w:color w:val="000000"/>
                <w:szCs w:val="20"/>
                <w:lang w:eastAsia="en-GB"/>
              </w:rPr>
              <w:t xml:space="preserve"> over follow-up </w:t>
            </w:r>
            <w:r w:rsidR="00AD5F34" w:rsidRPr="004C6AED">
              <w:rPr>
                <w:rFonts w:cs="Arial"/>
                <w:color w:val="000000"/>
                <w:szCs w:val="20"/>
                <w:lang w:eastAsia="en-GB"/>
              </w:rPr>
              <w:t xml:space="preserve">of </w:t>
            </w:r>
            <w:r w:rsidR="004C727D" w:rsidRPr="004C6AED">
              <w:rPr>
                <w:rFonts w:cs="Arial"/>
                <w:color w:val="000000"/>
                <w:szCs w:val="20"/>
                <w:lang w:eastAsia="en-GB"/>
              </w:rPr>
              <w:t xml:space="preserve">participants </w:t>
            </w:r>
            <w:r w:rsidR="00AD5F34" w:rsidRPr="004C6AED">
              <w:rPr>
                <w:rFonts w:cs="Arial"/>
                <w:color w:val="000000"/>
                <w:szCs w:val="20"/>
                <w:lang w:eastAsia="en-GB"/>
              </w:rPr>
              <w:t xml:space="preserve">with different </w:t>
            </w:r>
            <w:r w:rsidR="004C6AED">
              <w:rPr>
                <w:rFonts w:cs="Arial"/>
                <w:color w:val="000000"/>
                <w:szCs w:val="20"/>
                <w:lang w:eastAsia="en-GB"/>
              </w:rPr>
              <w:t xml:space="preserve">application </w:t>
            </w:r>
            <w:r w:rsidR="004C727D" w:rsidRPr="004C6AED">
              <w:rPr>
                <w:rFonts w:cs="Arial"/>
                <w:color w:val="000000"/>
                <w:szCs w:val="20"/>
                <w:lang w:eastAsia="en-GB"/>
              </w:rPr>
              <w:t>utilization levels</w:t>
            </w:r>
          </w:p>
        </w:tc>
        <w:tc>
          <w:tcPr>
            <w:tcW w:w="2410" w:type="dxa"/>
            <w:tcBorders>
              <w:top w:val="single" w:sz="4" w:space="0" w:color="auto"/>
              <w:left w:val="nil"/>
              <w:bottom w:val="single" w:sz="4" w:space="0" w:color="auto"/>
              <w:right w:val="single" w:sz="4" w:space="0" w:color="auto"/>
            </w:tcBorders>
            <w:shd w:val="clear" w:color="auto" w:fill="FFFFFF"/>
          </w:tcPr>
          <w:p w14:paraId="0CE5C021" w14:textId="77777777" w:rsidR="004C727D" w:rsidRPr="004C6AED" w:rsidRDefault="004C727D" w:rsidP="004C727D">
            <w:pPr>
              <w:spacing w:line="240" w:lineRule="auto"/>
              <w:rPr>
                <w:rFonts w:cs="Arial"/>
                <w:color w:val="000000"/>
                <w:szCs w:val="20"/>
                <w:lang w:eastAsia="en-GB"/>
              </w:rPr>
            </w:pPr>
          </w:p>
        </w:tc>
      </w:tr>
      <w:tr w:rsidR="004C727D" w:rsidRPr="004C727D" w14:paraId="67E5425D" w14:textId="77777777" w:rsidTr="007505B2">
        <w:trPr>
          <w:trHeight w:val="2172"/>
        </w:trPr>
        <w:tc>
          <w:tcPr>
            <w:tcW w:w="2552" w:type="dxa"/>
            <w:tcBorders>
              <w:top w:val="single" w:sz="4" w:space="0" w:color="auto"/>
              <w:left w:val="single" w:sz="4" w:space="0" w:color="auto"/>
              <w:bottom w:val="single" w:sz="4" w:space="0" w:color="auto"/>
              <w:right w:val="single" w:sz="4" w:space="0" w:color="auto"/>
            </w:tcBorders>
            <w:shd w:val="clear" w:color="000000" w:fill="F2F2F2"/>
          </w:tcPr>
          <w:p w14:paraId="7C34FE75" w14:textId="77777777" w:rsidR="004C727D" w:rsidRPr="004C727D" w:rsidRDefault="004C727D" w:rsidP="004C727D">
            <w:pPr>
              <w:spacing w:line="240" w:lineRule="auto"/>
              <w:rPr>
                <w:rFonts w:cs="Arial"/>
                <w:b/>
                <w:bCs/>
                <w:color w:val="000000"/>
                <w:szCs w:val="20"/>
                <w:lang w:eastAsia="en-GB"/>
              </w:rPr>
            </w:pPr>
            <w:r w:rsidRPr="004C727D">
              <w:rPr>
                <w:rFonts w:cs="Arial"/>
                <w:b/>
                <w:bCs/>
                <w:color w:val="000000"/>
                <w:szCs w:val="20"/>
                <w:lang w:eastAsia="en-GB"/>
              </w:rPr>
              <w:t>To determine the impact of the service on the clinical outcomes of a population with severe COPD compared to a matched control cohort</w:t>
            </w:r>
          </w:p>
        </w:tc>
        <w:tc>
          <w:tcPr>
            <w:tcW w:w="3685" w:type="dxa"/>
            <w:tcBorders>
              <w:top w:val="single" w:sz="4" w:space="0" w:color="auto"/>
              <w:left w:val="nil"/>
              <w:bottom w:val="single" w:sz="4" w:space="0" w:color="auto"/>
              <w:right w:val="single" w:sz="4" w:space="0" w:color="auto"/>
            </w:tcBorders>
            <w:shd w:val="clear" w:color="000000" w:fill="FFFFFF"/>
          </w:tcPr>
          <w:p w14:paraId="1812B648" w14:textId="217558B9" w:rsidR="004C727D" w:rsidRPr="004C6AED" w:rsidRDefault="00AD5F34" w:rsidP="004C727D">
            <w:pPr>
              <w:spacing w:line="240" w:lineRule="auto"/>
              <w:rPr>
                <w:rFonts w:cs="Arial"/>
                <w:szCs w:val="20"/>
                <w:lang w:eastAsia="en-GB"/>
              </w:rPr>
            </w:pPr>
            <w:r w:rsidRPr="004C6AED">
              <w:rPr>
                <w:rFonts w:cs="Arial"/>
                <w:szCs w:val="20"/>
                <w:lang w:eastAsia="en-GB"/>
              </w:rPr>
              <w:t>C</w:t>
            </w:r>
            <w:r w:rsidR="004C727D" w:rsidRPr="004C6AED">
              <w:rPr>
                <w:rFonts w:cs="Arial"/>
                <w:szCs w:val="20"/>
                <w:lang w:eastAsia="en-GB"/>
              </w:rPr>
              <w:t>ompar</w:t>
            </w:r>
            <w:r w:rsidRPr="004C6AED">
              <w:rPr>
                <w:rFonts w:cs="Arial"/>
                <w:szCs w:val="20"/>
                <w:lang w:eastAsia="en-GB"/>
              </w:rPr>
              <w:t>ison of</w:t>
            </w:r>
            <w:r w:rsidR="004C727D" w:rsidRPr="004C6AED">
              <w:rPr>
                <w:rFonts w:cs="Arial"/>
                <w:szCs w:val="20"/>
                <w:lang w:eastAsia="en-GB"/>
              </w:rPr>
              <w:t xml:space="preserve"> survival to event metrics between the RECEIVER and control cohorts</w:t>
            </w:r>
          </w:p>
          <w:p w14:paraId="20E7B1AA" w14:textId="77777777" w:rsidR="004C727D" w:rsidRPr="004C6AED" w:rsidRDefault="004C727D" w:rsidP="004C727D">
            <w:pPr>
              <w:spacing w:line="240" w:lineRule="auto"/>
              <w:rPr>
                <w:rFonts w:cs="Arial"/>
                <w:szCs w:val="20"/>
                <w:lang w:eastAsia="en-GB"/>
              </w:rPr>
            </w:pPr>
          </w:p>
          <w:p w14:paraId="164FF4ED" w14:textId="5FC8CD83" w:rsidR="004C727D" w:rsidRPr="004C6AED" w:rsidRDefault="004C727D" w:rsidP="004C727D">
            <w:pPr>
              <w:spacing w:line="240" w:lineRule="auto"/>
              <w:rPr>
                <w:rFonts w:cs="Arial"/>
                <w:szCs w:val="20"/>
                <w:lang w:eastAsia="en-GB"/>
              </w:rPr>
            </w:pPr>
            <w:r w:rsidRPr="004C6AED">
              <w:rPr>
                <w:rFonts w:cs="Arial"/>
                <w:szCs w:val="20"/>
                <w:lang w:eastAsia="en-GB"/>
              </w:rPr>
              <w:t>Compar</w:t>
            </w:r>
            <w:r w:rsidR="00AD5F34" w:rsidRPr="004C6AED">
              <w:rPr>
                <w:rFonts w:cs="Arial"/>
                <w:szCs w:val="20"/>
                <w:lang w:eastAsia="en-GB"/>
              </w:rPr>
              <w:t>ison of</w:t>
            </w:r>
            <w:r w:rsidRPr="004C6AED">
              <w:rPr>
                <w:rFonts w:cs="Arial"/>
                <w:szCs w:val="20"/>
                <w:lang w:eastAsia="en-GB"/>
              </w:rPr>
              <w:t xml:space="preserve"> post-index date changes in</w:t>
            </w:r>
            <w:r w:rsidR="00AD5F34" w:rsidRPr="004C6AED">
              <w:rPr>
                <w:rFonts w:cs="Arial"/>
                <w:szCs w:val="20"/>
                <w:lang w:eastAsia="en-GB"/>
              </w:rPr>
              <w:t xml:space="preserve"> </w:t>
            </w:r>
            <w:r w:rsidRPr="004C6AED">
              <w:rPr>
                <w:rFonts w:cs="Arial"/>
                <w:szCs w:val="20"/>
                <w:lang w:eastAsia="en-GB"/>
              </w:rPr>
              <w:t>annual COPD or respiratory-related admission</w:t>
            </w:r>
            <w:r w:rsidR="00F111DE" w:rsidRPr="004C6AED">
              <w:rPr>
                <w:rFonts w:cs="Arial"/>
                <w:szCs w:val="20"/>
                <w:lang w:eastAsia="en-GB"/>
              </w:rPr>
              <w:t>s</w:t>
            </w:r>
            <w:r w:rsidRPr="004C6AED">
              <w:rPr>
                <w:rFonts w:cs="Arial"/>
                <w:szCs w:val="20"/>
                <w:lang w:eastAsia="en-GB"/>
              </w:rPr>
              <w:t xml:space="preserve"> and occupied bed da</w:t>
            </w:r>
            <w:r w:rsidR="00F111DE" w:rsidRPr="004C6AED">
              <w:rPr>
                <w:rFonts w:cs="Arial"/>
                <w:szCs w:val="20"/>
                <w:lang w:eastAsia="en-GB"/>
              </w:rPr>
              <w:t>ys</w:t>
            </w:r>
            <w:r w:rsidRPr="004C6AED">
              <w:rPr>
                <w:rFonts w:cs="Arial"/>
                <w:szCs w:val="20"/>
                <w:lang w:eastAsia="en-GB"/>
              </w:rPr>
              <w:t xml:space="preserve"> </w:t>
            </w:r>
            <w:r w:rsidR="000F0451" w:rsidRPr="004C6AED">
              <w:rPr>
                <w:rFonts w:cs="Arial"/>
                <w:szCs w:val="20"/>
                <w:lang w:eastAsia="en-GB"/>
              </w:rPr>
              <w:t>between the RECEIVER and control cohort</w:t>
            </w:r>
            <w:r w:rsidR="000F0451">
              <w:rPr>
                <w:rFonts w:cs="Arial"/>
                <w:szCs w:val="20"/>
                <w:lang w:eastAsia="en-GB"/>
              </w:rPr>
              <w:t>s</w:t>
            </w:r>
          </w:p>
        </w:tc>
        <w:tc>
          <w:tcPr>
            <w:tcW w:w="2410" w:type="dxa"/>
            <w:tcBorders>
              <w:top w:val="single" w:sz="4" w:space="0" w:color="auto"/>
              <w:left w:val="nil"/>
              <w:bottom w:val="single" w:sz="4" w:space="0" w:color="auto"/>
              <w:right w:val="single" w:sz="4" w:space="0" w:color="auto"/>
            </w:tcBorders>
            <w:shd w:val="clear" w:color="auto" w:fill="FFFFFF"/>
          </w:tcPr>
          <w:p w14:paraId="1473F175" w14:textId="77777777" w:rsidR="004C727D" w:rsidRPr="004C6AED" w:rsidRDefault="004C727D" w:rsidP="004C727D">
            <w:pPr>
              <w:spacing w:line="240" w:lineRule="auto"/>
              <w:rPr>
                <w:rFonts w:cs="Arial"/>
                <w:color w:val="000000"/>
                <w:szCs w:val="20"/>
                <w:lang w:eastAsia="en-GB"/>
              </w:rPr>
            </w:pPr>
          </w:p>
        </w:tc>
      </w:tr>
      <w:tr w:rsidR="004C727D" w:rsidRPr="004C727D" w14:paraId="793D00D6" w14:textId="77777777" w:rsidTr="007505B2">
        <w:trPr>
          <w:trHeight w:val="1191"/>
        </w:trPr>
        <w:tc>
          <w:tcPr>
            <w:tcW w:w="2552" w:type="dxa"/>
            <w:tcBorders>
              <w:top w:val="single" w:sz="4" w:space="0" w:color="auto"/>
              <w:left w:val="single" w:sz="4" w:space="0" w:color="auto"/>
              <w:bottom w:val="single" w:sz="4" w:space="0" w:color="auto"/>
              <w:right w:val="single" w:sz="4" w:space="0" w:color="auto"/>
            </w:tcBorders>
            <w:shd w:val="clear" w:color="000000" w:fill="F2F2F2"/>
          </w:tcPr>
          <w:p w14:paraId="03985E76" w14:textId="43CA7265" w:rsidR="004C727D" w:rsidRPr="004C727D" w:rsidRDefault="004C727D" w:rsidP="004C727D">
            <w:pPr>
              <w:spacing w:line="240" w:lineRule="auto"/>
              <w:rPr>
                <w:rFonts w:cs="Arial"/>
                <w:b/>
                <w:bCs/>
                <w:color w:val="000000"/>
                <w:szCs w:val="20"/>
                <w:lang w:eastAsia="en-GB"/>
              </w:rPr>
            </w:pPr>
            <w:r w:rsidRPr="00F111DE">
              <w:rPr>
                <w:rFonts w:cs="Arial"/>
                <w:b/>
                <w:bCs/>
                <w:color w:val="000000"/>
                <w:szCs w:val="20"/>
                <w:lang w:eastAsia="en-GB"/>
              </w:rPr>
              <w:t>To</w:t>
            </w:r>
            <w:r w:rsidRPr="004C727D">
              <w:rPr>
                <w:rFonts w:cs="Arial"/>
                <w:b/>
                <w:bCs/>
                <w:color w:val="000000"/>
                <w:szCs w:val="20"/>
                <w:lang w:eastAsia="en-GB"/>
              </w:rPr>
              <w:t xml:space="preserve"> determine the impact </w:t>
            </w:r>
            <w:r w:rsidRPr="004C727D">
              <w:rPr>
                <w:rFonts w:cs="Arial"/>
                <w:b/>
                <w:bCs/>
                <w:color w:val="000000"/>
                <w:szCs w:val="20"/>
                <w:shd w:val="clear" w:color="auto" w:fill="F2F2F2"/>
                <w:lang w:eastAsia="en-GB"/>
              </w:rPr>
              <w:t>of the service on disease impact metrics amongst a population with</w:t>
            </w:r>
            <w:r w:rsidRPr="004C727D">
              <w:rPr>
                <w:rFonts w:cs="Arial"/>
                <w:b/>
                <w:bCs/>
                <w:color w:val="000000"/>
                <w:szCs w:val="20"/>
                <w:lang w:eastAsia="en-GB"/>
              </w:rPr>
              <w:t xml:space="preserve"> severe COPD </w:t>
            </w:r>
          </w:p>
        </w:tc>
        <w:tc>
          <w:tcPr>
            <w:tcW w:w="3685" w:type="dxa"/>
            <w:tcBorders>
              <w:top w:val="single" w:sz="4" w:space="0" w:color="auto"/>
              <w:left w:val="nil"/>
              <w:bottom w:val="single" w:sz="4" w:space="0" w:color="auto"/>
              <w:right w:val="single" w:sz="4" w:space="0" w:color="auto"/>
            </w:tcBorders>
            <w:shd w:val="clear" w:color="000000" w:fill="FFFFFF"/>
          </w:tcPr>
          <w:p w14:paraId="076C80C7" w14:textId="5759CE9A" w:rsidR="004C727D" w:rsidRPr="004C6AED" w:rsidRDefault="004C727D" w:rsidP="004C727D">
            <w:pPr>
              <w:spacing w:line="240" w:lineRule="auto"/>
              <w:rPr>
                <w:rFonts w:cs="Arial"/>
                <w:szCs w:val="20"/>
                <w:lang w:eastAsia="en-GB"/>
              </w:rPr>
            </w:pPr>
            <w:r w:rsidRPr="004C6AED">
              <w:rPr>
                <w:rFonts w:cs="Arial"/>
                <w:szCs w:val="20"/>
                <w:lang w:eastAsia="en-GB"/>
              </w:rPr>
              <w:t>Longitudinal analysis of CAT scores and EQ-5D visual analogue scale (VAS) scores</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89516B3" w14:textId="224C33E6" w:rsidR="004C727D" w:rsidRPr="004C6AED" w:rsidRDefault="004C727D" w:rsidP="004C727D">
            <w:pPr>
              <w:spacing w:line="240" w:lineRule="auto"/>
              <w:rPr>
                <w:rFonts w:cs="Arial"/>
                <w:color w:val="000000"/>
                <w:szCs w:val="20"/>
                <w:lang w:eastAsia="en-GB"/>
              </w:rPr>
            </w:pPr>
            <w:r w:rsidRPr="004C6AED">
              <w:rPr>
                <w:rFonts w:cs="Arial"/>
                <w:color w:val="000000"/>
                <w:szCs w:val="20"/>
                <w:lang w:eastAsia="en-GB"/>
              </w:rPr>
              <w:t>Longitudinal</w:t>
            </w:r>
            <w:r w:rsidR="00F111DE" w:rsidRPr="004C6AED">
              <w:rPr>
                <w:rFonts w:cs="Arial"/>
                <w:color w:val="000000"/>
                <w:szCs w:val="20"/>
                <w:lang w:eastAsia="en-GB"/>
              </w:rPr>
              <w:t xml:space="preserve"> data collected through PROs:</w:t>
            </w:r>
            <w:r w:rsidRPr="004C6AED">
              <w:rPr>
                <w:rFonts w:cs="Arial"/>
                <w:color w:val="000000"/>
                <w:szCs w:val="20"/>
                <w:lang w:eastAsia="en-GB"/>
              </w:rPr>
              <w:t xml:space="preserve"> MRC </w:t>
            </w:r>
            <w:proofErr w:type="spellStart"/>
            <w:r w:rsidRPr="004C6AED">
              <w:rPr>
                <w:rFonts w:cs="Arial"/>
                <w:color w:val="000000"/>
                <w:szCs w:val="20"/>
                <w:lang w:eastAsia="en-GB"/>
              </w:rPr>
              <w:t>Dyspnoea</w:t>
            </w:r>
            <w:proofErr w:type="spellEnd"/>
            <w:r w:rsidRPr="004C6AED">
              <w:rPr>
                <w:rFonts w:cs="Arial"/>
                <w:color w:val="000000"/>
                <w:szCs w:val="20"/>
                <w:lang w:eastAsia="en-GB"/>
              </w:rPr>
              <w:t xml:space="preserve"> </w:t>
            </w:r>
            <w:r w:rsidR="00F111DE" w:rsidRPr="004C6AED">
              <w:rPr>
                <w:rFonts w:cs="Arial"/>
                <w:color w:val="000000"/>
                <w:szCs w:val="20"/>
                <w:lang w:eastAsia="en-GB"/>
              </w:rPr>
              <w:t>s</w:t>
            </w:r>
            <w:r w:rsidRPr="004C6AED">
              <w:rPr>
                <w:rFonts w:cs="Arial"/>
                <w:color w:val="000000"/>
                <w:szCs w:val="20"/>
                <w:lang w:eastAsia="en-GB"/>
              </w:rPr>
              <w:t xml:space="preserve">cale, symptom diary, and EQ-5D descriptive system </w:t>
            </w:r>
          </w:p>
        </w:tc>
      </w:tr>
      <w:tr w:rsidR="004C727D" w:rsidRPr="004C727D" w14:paraId="5C660A4F" w14:textId="77777777" w:rsidTr="007505B2">
        <w:trPr>
          <w:trHeight w:val="558"/>
        </w:trPr>
        <w:tc>
          <w:tcPr>
            <w:tcW w:w="2552" w:type="dxa"/>
            <w:tcBorders>
              <w:top w:val="single" w:sz="4" w:space="0" w:color="auto"/>
              <w:left w:val="single" w:sz="4" w:space="0" w:color="auto"/>
              <w:bottom w:val="single" w:sz="4" w:space="0" w:color="auto"/>
              <w:right w:val="single" w:sz="4" w:space="0" w:color="auto"/>
            </w:tcBorders>
            <w:shd w:val="clear" w:color="000000" w:fill="F2F2F2"/>
          </w:tcPr>
          <w:p w14:paraId="646E6912" w14:textId="74228489" w:rsidR="004C727D" w:rsidRPr="004C727D" w:rsidRDefault="004C727D" w:rsidP="004C727D">
            <w:pPr>
              <w:spacing w:line="240" w:lineRule="auto"/>
              <w:rPr>
                <w:rFonts w:cs="Arial"/>
                <w:b/>
                <w:bCs/>
                <w:color w:val="000000"/>
                <w:szCs w:val="20"/>
                <w:lang w:eastAsia="en-GB"/>
              </w:rPr>
            </w:pPr>
            <w:r w:rsidRPr="004C727D">
              <w:rPr>
                <w:rFonts w:cs="Arial"/>
                <w:b/>
                <w:bCs/>
                <w:color w:val="000000"/>
                <w:szCs w:val="20"/>
                <w:lang w:eastAsia="en-GB"/>
              </w:rPr>
              <w:t xml:space="preserve">To provide a platform for the implementation and evaluation of additional innovations </w:t>
            </w:r>
          </w:p>
        </w:tc>
        <w:tc>
          <w:tcPr>
            <w:tcW w:w="3685" w:type="dxa"/>
            <w:tcBorders>
              <w:top w:val="single" w:sz="4" w:space="0" w:color="auto"/>
              <w:left w:val="nil"/>
              <w:bottom w:val="single" w:sz="4" w:space="0" w:color="auto"/>
              <w:right w:val="single" w:sz="4" w:space="0" w:color="auto"/>
            </w:tcBorders>
            <w:shd w:val="clear" w:color="000000" w:fill="FFFFFF"/>
          </w:tcPr>
          <w:p w14:paraId="7AC1C8FA" w14:textId="77777777" w:rsidR="004C727D" w:rsidRPr="000F0451" w:rsidRDefault="004C727D" w:rsidP="004C727D">
            <w:pPr>
              <w:spacing w:line="240" w:lineRule="auto"/>
              <w:rPr>
                <w:rFonts w:cs="Arial"/>
                <w:szCs w:val="20"/>
                <w:lang w:eastAsia="en-GB"/>
              </w:rPr>
            </w:pPr>
            <w:r w:rsidRPr="000F0451">
              <w:rPr>
                <w:rFonts w:cs="Arial"/>
                <w:szCs w:val="20"/>
                <w:lang w:eastAsia="en-GB"/>
              </w:rPr>
              <w:t>Future work</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7481F2B" w14:textId="315150B6" w:rsidR="004C727D" w:rsidRPr="004C727D" w:rsidRDefault="007505B2" w:rsidP="004C727D">
            <w:pPr>
              <w:spacing w:line="240" w:lineRule="auto"/>
              <w:rPr>
                <w:rFonts w:cs="Arial"/>
                <w:color w:val="000000"/>
                <w:szCs w:val="20"/>
                <w:lang w:eastAsia="en-GB"/>
              </w:rPr>
            </w:pPr>
            <w:r>
              <w:rPr>
                <w:rFonts w:cs="Arial"/>
                <w:color w:val="000000"/>
                <w:szCs w:val="20"/>
                <w:lang w:eastAsia="en-GB"/>
              </w:rPr>
              <w:t>W</w:t>
            </w:r>
            <w:r w:rsidR="004C727D" w:rsidRPr="004C727D">
              <w:rPr>
                <w:rFonts w:cs="Arial"/>
                <w:color w:val="000000"/>
                <w:szCs w:val="20"/>
                <w:lang w:eastAsia="en-GB"/>
              </w:rPr>
              <w:t>earable physiology monitor and home non-invasive ventilation (NIV) machine</w:t>
            </w:r>
            <w:r>
              <w:rPr>
                <w:rFonts w:cs="Arial"/>
                <w:color w:val="000000"/>
                <w:szCs w:val="20"/>
                <w:lang w:eastAsia="en-GB"/>
              </w:rPr>
              <w:t xml:space="preserve"> data</w:t>
            </w:r>
          </w:p>
        </w:tc>
      </w:tr>
      <w:tr w:rsidR="004C727D" w:rsidRPr="004C727D" w14:paraId="23174386" w14:textId="77777777" w:rsidTr="007505B2">
        <w:trPr>
          <w:trHeight w:val="993"/>
        </w:trPr>
        <w:tc>
          <w:tcPr>
            <w:tcW w:w="2552" w:type="dxa"/>
            <w:tcBorders>
              <w:top w:val="single" w:sz="4" w:space="0" w:color="auto"/>
              <w:left w:val="single" w:sz="4" w:space="0" w:color="auto"/>
              <w:bottom w:val="single" w:sz="4" w:space="0" w:color="auto"/>
              <w:right w:val="single" w:sz="4" w:space="0" w:color="auto"/>
            </w:tcBorders>
            <w:shd w:val="clear" w:color="000000" w:fill="F2F2F2"/>
          </w:tcPr>
          <w:p w14:paraId="51A670E2" w14:textId="77777777" w:rsidR="004C727D" w:rsidRPr="004C727D" w:rsidRDefault="004C727D" w:rsidP="004C727D">
            <w:pPr>
              <w:spacing w:line="240" w:lineRule="auto"/>
              <w:rPr>
                <w:rFonts w:cs="Arial"/>
                <w:b/>
                <w:bCs/>
                <w:color w:val="000000"/>
                <w:szCs w:val="20"/>
                <w:lang w:eastAsia="en-GB"/>
              </w:rPr>
            </w:pPr>
            <w:r w:rsidRPr="004C727D">
              <w:rPr>
                <w:rFonts w:cs="Arial"/>
                <w:b/>
                <w:bCs/>
                <w:color w:val="000000"/>
                <w:szCs w:val="20"/>
                <w:lang w:eastAsia="en-GB"/>
              </w:rPr>
              <w:t xml:space="preserve">To determine the cost-effectiveness of the intervention </w:t>
            </w:r>
          </w:p>
        </w:tc>
        <w:tc>
          <w:tcPr>
            <w:tcW w:w="3685" w:type="dxa"/>
            <w:tcBorders>
              <w:top w:val="single" w:sz="4" w:space="0" w:color="auto"/>
              <w:left w:val="nil"/>
              <w:bottom w:val="single" w:sz="4" w:space="0" w:color="auto"/>
              <w:right w:val="single" w:sz="4" w:space="0" w:color="auto"/>
            </w:tcBorders>
            <w:shd w:val="clear" w:color="000000" w:fill="FFFFFF"/>
          </w:tcPr>
          <w:p w14:paraId="7945756D" w14:textId="77777777" w:rsidR="004C727D" w:rsidRPr="004C727D" w:rsidRDefault="004C727D" w:rsidP="004C727D">
            <w:pPr>
              <w:spacing w:line="240" w:lineRule="auto"/>
              <w:rPr>
                <w:rFonts w:cs="Arial"/>
                <w:szCs w:val="20"/>
                <w:lang w:eastAsia="en-GB"/>
              </w:rPr>
            </w:pPr>
            <w:r w:rsidRPr="004C727D">
              <w:rPr>
                <w:rFonts w:cs="Arial"/>
                <w:szCs w:val="20"/>
                <w:lang w:eastAsia="en-GB"/>
              </w:rPr>
              <w:t>Future work</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6618A92" w14:textId="7167A0BD" w:rsidR="004C727D" w:rsidRPr="004C727D" w:rsidRDefault="004C727D" w:rsidP="004C727D">
            <w:pPr>
              <w:spacing w:line="240" w:lineRule="auto"/>
              <w:rPr>
                <w:rFonts w:eastAsia="Calibri" w:cs="Arial"/>
                <w:szCs w:val="20"/>
                <w:shd w:val="clear" w:color="auto" w:fill="FAF9F8"/>
              </w:rPr>
            </w:pPr>
            <w:r w:rsidRPr="004C727D">
              <w:rPr>
                <w:rFonts w:eastAsia="Calibri" w:cs="Arial"/>
                <w:szCs w:val="20"/>
                <w:shd w:val="clear" w:color="auto" w:fill="FAF9F8"/>
              </w:rPr>
              <w:t>Projected direct and indirect cost savings, development and implementation costs</w:t>
            </w:r>
          </w:p>
        </w:tc>
      </w:tr>
    </w:tbl>
    <w:p w14:paraId="7C1B3D43" w14:textId="0D928909" w:rsidR="00EE0017" w:rsidRDefault="00EE0017" w:rsidP="00EE0017"/>
    <w:p w14:paraId="4C371D31" w14:textId="3379470F" w:rsidR="00953ECC" w:rsidRDefault="00953ECC" w:rsidP="00EE0017">
      <w:r w:rsidRPr="00953ECC">
        <w:rPr>
          <w:b/>
          <w:bCs/>
        </w:rPr>
        <w:t>Supplementary Table 2</w:t>
      </w:r>
      <w:r w:rsidRPr="00953ECC">
        <w:t xml:space="preserve"> Table showing the Scottish Index of Multiple Deprivation (SIMD) breakdown of the RECEIVER and control cohorts compared to the SIMD breakdown of COPD burden within NHS Greater Glasgow and Clyde </w:t>
      </w:r>
      <w:r w:rsidR="00F111DE">
        <w:t xml:space="preserve">overall </w:t>
      </w:r>
      <w:r w:rsidRPr="00953ECC">
        <w:t>(NHS GG&amp;C)</w:t>
      </w:r>
    </w:p>
    <w:tbl>
      <w:tblPr>
        <w:tblStyle w:val="TableGrid"/>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10"/>
        <w:gridCol w:w="1247"/>
        <w:gridCol w:w="1247"/>
        <w:gridCol w:w="1248"/>
        <w:gridCol w:w="1247"/>
        <w:gridCol w:w="1248"/>
      </w:tblGrid>
      <w:tr w:rsidR="00953ECC" w:rsidRPr="00953ECC" w14:paraId="25AD4C28" w14:textId="77777777" w:rsidTr="00936E92">
        <w:trPr>
          <w:trHeight w:val="270"/>
        </w:trPr>
        <w:tc>
          <w:tcPr>
            <w:tcW w:w="2410" w:type="dxa"/>
            <w:shd w:val="clear" w:color="auto" w:fill="F2F2F2"/>
            <w:vAlign w:val="bottom"/>
            <w:hideMark/>
          </w:tcPr>
          <w:p w14:paraId="0A2892C5" w14:textId="77777777" w:rsidR="00953ECC" w:rsidRPr="00953ECC" w:rsidRDefault="00953ECC" w:rsidP="00953ECC">
            <w:pPr>
              <w:spacing w:after="160" w:line="259" w:lineRule="auto"/>
              <w:rPr>
                <w:rFonts w:cs="Arial"/>
                <w:color w:val="0D0D0D"/>
                <w:szCs w:val="22"/>
              </w:rPr>
            </w:pPr>
          </w:p>
        </w:tc>
        <w:tc>
          <w:tcPr>
            <w:tcW w:w="1247" w:type="dxa"/>
            <w:shd w:val="clear" w:color="auto" w:fill="F2F2F2"/>
          </w:tcPr>
          <w:p w14:paraId="519338C7" w14:textId="77777777" w:rsidR="00953ECC" w:rsidRPr="00936E92" w:rsidRDefault="00953ECC" w:rsidP="00953ECC">
            <w:pPr>
              <w:spacing w:after="160" w:line="259" w:lineRule="auto"/>
              <w:jc w:val="center"/>
              <w:rPr>
                <w:rFonts w:cs="Arial"/>
                <w:b/>
                <w:bCs/>
                <w:color w:val="0D0D0D"/>
                <w:sz w:val="20"/>
                <w:szCs w:val="20"/>
              </w:rPr>
            </w:pPr>
            <w:r w:rsidRPr="00936E92">
              <w:rPr>
                <w:rFonts w:cs="Arial"/>
                <w:b/>
                <w:bCs/>
                <w:color w:val="0D0D0D"/>
                <w:sz w:val="20"/>
                <w:szCs w:val="20"/>
              </w:rPr>
              <w:t>SIMD quintile 1</w:t>
            </w:r>
          </w:p>
        </w:tc>
        <w:tc>
          <w:tcPr>
            <w:tcW w:w="1247" w:type="dxa"/>
            <w:shd w:val="clear" w:color="auto" w:fill="F2F2F2"/>
          </w:tcPr>
          <w:p w14:paraId="17F60063" w14:textId="77777777" w:rsidR="00953ECC" w:rsidRPr="00936E92" w:rsidRDefault="00953ECC" w:rsidP="00953ECC">
            <w:pPr>
              <w:spacing w:after="160" w:line="259" w:lineRule="auto"/>
              <w:jc w:val="center"/>
              <w:rPr>
                <w:rFonts w:cs="Arial"/>
                <w:b/>
                <w:bCs/>
                <w:color w:val="0D0D0D"/>
                <w:sz w:val="20"/>
                <w:szCs w:val="20"/>
              </w:rPr>
            </w:pPr>
            <w:r w:rsidRPr="00936E92">
              <w:rPr>
                <w:rFonts w:cs="Arial"/>
                <w:b/>
                <w:bCs/>
                <w:color w:val="0D0D0D"/>
                <w:sz w:val="20"/>
                <w:szCs w:val="20"/>
              </w:rPr>
              <w:t>SIMD quintile 2</w:t>
            </w:r>
          </w:p>
        </w:tc>
        <w:tc>
          <w:tcPr>
            <w:tcW w:w="1248" w:type="dxa"/>
            <w:shd w:val="clear" w:color="auto" w:fill="F2F2F2"/>
          </w:tcPr>
          <w:p w14:paraId="5379A47D" w14:textId="77777777" w:rsidR="00953ECC" w:rsidRPr="00936E92" w:rsidRDefault="00953ECC" w:rsidP="00953ECC">
            <w:pPr>
              <w:spacing w:after="160" w:line="259" w:lineRule="auto"/>
              <w:jc w:val="center"/>
              <w:rPr>
                <w:rFonts w:cs="Arial"/>
                <w:b/>
                <w:bCs/>
                <w:color w:val="0D0D0D"/>
                <w:sz w:val="20"/>
                <w:szCs w:val="20"/>
              </w:rPr>
            </w:pPr>
            <w:r w:rsidRPr="00936E92">
              <w:rPr>
                <w:rFonts w:cs="Arial"/>
                <w:b/>
                <w:bCs/>
                <w:color w:val="0D0D0D"/>
                <w:sz w:val="20"/>
                <w:szCs w:val="20"/>
              </w:rPr>
              <w:t>SIMD quintile 3</w:t>
            </w:r>
          </w:p>
        </w:tc>
        <w:tc>
          <w:tcPr>
            <w:tcW w:w="1247" w:type="dxa"/>
            <w:shd w:val="clear" w:color="auto" w:fill="F2F2F2"/>
          </w:tcPr>
          <w:p w14:paraId="7CA83708" w14:textId="77777777" w:rsidR="00953ECC" w:rsidRPr="00936E92" w:rsidRDefault="00953ECC" w:rsidP="00953ECC">
            <w:pPr>
              <w:spacing w:after="160" w:line="259" w:lineRule="auto"/>
              <w:jc w:val="center"/>
              <w:rPr>
                <w:rFonts w:cs="Arial"/>
                <w:b/>
                <w:bCs/>
                <w:color w:val="0D0D0D"/>
                <w:sz w:val="20"/>
                <w:szCs w:val="20"/>
              </w:rPr>
            </w:pPr>
            <w:r w:rsidRPr="00936E92">
              <w:rPr>
                <w:rFonts w:cs="Arial"/>
                <w:b/>
                <w:bCs/>
                <w:color w:val="0D0D0D"/>
                <w:sz w:val="20"/>
                <w:szCs w:val="20"/>
              </w:rPr>
              <w:t>SIMD quintile 4</w:t>
            </w:r>
          </w:p>
        </w:tc>
        <w:tc>
          <w:tcPr>
            <w:tcW w:w="1248" w:type="dxa"/>
            <w:shd w:val="clear" w:color="auto" w:fill="F2F2F2"/>
            <w:vAlign w:val="bottom"/>
            <w:hideMark/>
          </w:tcPr>
          <w:p w14:paraId="5C543620" w14:textId="77777777" w:rsidR="00953ECC" w:rsidRPr="00936E92" w:rsidRDefault="00953ECC" w:rsidP="00953ECC">
            <w:pPr>
              <w:spacing w:after="160" w:line="259" w:lineRule="auto"/>
              <w:jc w:val="center"/>
              <w:rPr>
                <w:rFonts w:cs="Arial"/>
                <w:b/>
                <w:bCs/>
                <w:color w:val="0D0D0D"/>
                <w:sz w:val="20"/>
                <w:szCs w:val="20"/>
              </w:rPr>
            </w:pPr>
            <w:r w:rsidRPr="00936E92">
              <w:rPr>
                <w:rFonts w:cs="Arial"/>
                <w:b/>
                <w:bCs/>
                <w:color w:val="0D0D0D"/>
                <w:sz w:val="20"/>
                <w:szCs w:val="20"/>
              </w:rPr>
              <w:t>SIMD quintile 5</w:t>
            </w:r>
          </w:p>
        </w:tc>
      </w:tr>
      <w:tr w:rsidR="00953ECC" w:rsidRPr="00953ECC" w14:paraId="369889FD" w14:textId="77777777" w:rsidTr="00936E92">
        <w:trPr>
          <w:trHeight w:val="270"/>
        </w:trPr>
        <w:tc>
          <w:tcPr>
            <w:tcW w:w="2410" w:type="dxa"/>
            <w:shd w:val="clear" w:color="auto" w:fill="F2F2F2"/>
            <w:vAlign w:val="bottom"/>
            <w:hideMark/>
          </w:tcPr>
          <w:p w14:paraId="044F6EE8" w14:textId="77777777" w:rsidR="00953ECC" w:rsidRPr="00936E92" w:rsidRDefault="00953ECC" w:rsidP="00953ECC">
            <w:pPr>
              <w:spacing w:after="160" w:line="259" w:lineRule="auto"/>
              <w:rPr>
                <w:rFonts w:cs="Arial"/>
                <w:b/>
                <w:bCs/>
                <w:color w:val="000000"/>
                <w:sz w:val="20"/>
                <w:szCs w:val="20"/>
              </w:rPr>
            </w:pPr>
            <w:r w:rsidRPr="00936E92">
              <w:rPr>
                <w:rFonts w:cs="Arial"/>
                <w:b/>
                <w:bCs/>
                <w:color w:val="000000"/>
                <w:sz w:val="20"/>
                <w:szCs w:val="20"/>
              </w:rPr>
              <w:t>RECEIVER cohort, %</w:t>
            </w:r>
          </w:p>
        </w:tc>
        <w:tc>
          <w:tcPr>
            <w:tcW w:w="1247" w:type="dxa"/>
            <w:shd w:val="clear" w:color="auto" w:fill="FFFFFF"/>
          </w:tcPr>
          <w:p w14:paraId="765E5B9F"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57.8</w:t>
            </w:r>
          </w:p>
        </w:tc>
        <w:tc>
          <w:tcPr>
            <w:tcW w:w="1247" w:type="dxa"/>
            <w:shd w:val="clear" w:color="auto" w:fill="FFFFFF"/>
          </w:tcPr>
          <w:p w14:paraId="1CEDDC73"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21.7</w:t>
            </w:r>
          </w:p>
        </w:tc>
        <w:tc>
          <w:tcPr>
            <w:tcW w:w="1248" w:type="dxa"/>
            <w:shd w:val="clear" w:color="auto" w:fill="FFFFFF"/>
          </w:tcPr>
          <w:p w14:paraId="6C2EDAA7"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10.8</w:t>
            </w:r>
          </w:p>
        </w:tc>
        <w:tc>
          <w:tcPr>
            <w:tcW w:w="1247" w:type="dxa"/>
            <w:shd w:val="clear" w:color="auto" w:fill="FFFFFF"/>
          </w:tcPr>
          <w:p w14:paraId="5C871F51"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4.8</w:t>
            </w:r>
          </w:p>
        </w:tc>
        <w:tc>
          <w:tcPr>
            <w:tcW w:w="1248" w:type="dxa"/>
            <w:shd w:val="clear" w:color="auto" w:fill="FFFFFF"/>
          </w:tcPr>
          <w:p w14:paraId="46C960EF"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4.8</w:t>
            </w:r>
          </w:p>
        </w:tc>
      </w:tr>
      <w:tr w:rsidR="00953ECC" w:rsidRPr="00953ECC" w14:paraId="52B3CEEA" w14:textId="77777777" w:rsidTr="00936E92">
        <w:trPr>
          <w:trHeight w:val="270"/>
        </w:trPr>
        <w:tc>
          <w:tcPr>
            <w:tcW w:w="2410" w:type="dxa"/>
            <w:shd w:val="clear" w:color="auto" w:fill="F2F2F2"/>
            <w:vAlign w:val="bottom"/>
            <w:hideMark/>
          </w:tcPr>
          <w:p w14:paraId="14F28E99" w14:textId="152144A5" w:rsidR="00953ECC" w:rsidRPr="00936E92" w:rsidRDefault="00953ECC" w:rsidP="00953ECC">
            <w:pPr>
              <w:spacing w:after="160" w:line="259" w:lineRule="auto"/>
              <w:rPr>
                <w:rFonts w:cs="Arial"/>
                <w:b/>
                <w:bCs/>
                <w:color w:val="000000"/>
                <w:sz w:val="20"/>
                <w:szCs w:val="20"/>
              </w:rPr>
            </w:pPr>
            <w:r w:rsidRPr="00936E92">
              <w:rPr>
                <w:rFonts w:cs="Arial"/>
                <w:b/>
                <w:bCs/>
                <w:color w:val="000000"/>
                <w:sz w:val="20"/>
                <w:szCs w:val="20"/>
              </w:rPr>
              <w:t>Control cohort</w:t>
            </w:r>
            <w:r w:rsidR="00523036">
              <w:rPr>
                <w:rFonts w:cs="Arial"/>
                <w:b/>
                <w:bCs/>
                <w:color w:val="000000"/>
                <w:sz w:val="20"/>
                <w:szCs w:val="20"/>
              </w:rPr>
              <w:t>*</w:t>
            </w:r>
            <w:r w:rsidRPr="00936E92">
              <w:rPr>
                <w:rFonts w:cs="Arial"/>
                <w:b/>
                <w:bCs/>
                <w:color w:val="000000"/>
                <w:sz w:val="20"/>
                <w:szCs w:val="20"/>
              </w:rPr>
              <w:t>, %</w:t>
            </w:r>
          </w:p>
        </w:tc>
        <w:tc>
          <w:tcPr>
            <w:tcW w:w="1247" w:type="dxa"/>
            <w:shd w:val="clear" w:color="auto" w:fill="FFFFFF"/>
          </w:tcPr>
          <w:p w14:paraId="38553556"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62.5</w:t>
            </w:r>
          </w:p>
        </w:tc>
        <w:tc>
          <w:tcPr>
            <w:tcW w:w="1247" w:type="dxa"/>
            <w:shd w:val="clear" w:color="auto" w:fill="FFFFFF"/>
          </w:tcPr>
          <w:p w14:paraId="37EBEF19"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16.2</w:t>
            </w:r>
          </w:p>
        </w:tc>
        <w:tc>
          <w:tcPr>
            <w:tcW w:w="1248" w:type="dxa"/>
            <w:shd w:val="clear" w:color="auto" w:fill="FFFFFF"/>
          </w:tcPr>
          <w:p w14:paraId="7140572A"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9.2</w:t>
            </w:r>
          </w:p>
        </w:tc>
        <w:tc>
          <w:tcPr>
            <w:tcW w:w="1247" w:type="dxa"/>
            <w:shd w:val="clear" w:color="auto" w:fill="FFFFFF"/>
          </w:tcPr>
          <w:p w14:paraId="4C5CD23B"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7.7</w:t>
            </w:r>
          </w:p>
        </w:tc>
        <w:tc>
          <w:tcPr>
            <w:tcW w:w="1248" w:type="dxa"/>
            <w:shd w:val="clear" w:color="auto" w:fill="FFFFFF"/>
          </w:tcPr>
          <w:p w14:paraId="1FF9F189"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4.4</w:t>
            </w:r>
          </w:p>
        </w:tc>
      </w:tr>
      <w:tr w:rsidR="00953ECC" w:rsidRPr="00953ECC" w14:paraId="6FBA79EE" w14:textId="77777777" w:rsidTr="00936E92">
        <w:trPr>
          <w:trHeight w:val="270"/>
        </w:trPr>
        <w:tc>
          <w:tcPr>
            <w:tcW w:w="2410" w:type="dxa"/>
            <w:shd w:val="clear" w:color="auto" w:fill="F2F2F2"/>
            <w:vAlign w:val="bottom"/>
          </w:tcPr>
          <w:p w14:paraId="5715BF0C" w14:textId="77777777" w:rsidR="00953ECC" w:rsidRPr="00936E92" w:rsidRDefault="00953ECC" w:rsidP="00953ECC">
            <w:pPr>
              <w:spacing w:after="160" w:line="259" w:lineRule="auto"/>
              <w:rPr>
                <w:rFonts w:cs="Arial"/>
                <w:b/>
                <w:bCs/>
                <w:color w:val="000000"/>
                <w:sz w:val="20"/>
                <w:szCs w:val="20"/>
              </w:rPr>
            </w:pPr>
            <w:r w:rsidRPr="00936E92">
              <w:rPr>
                <w:rFonts w:cs="Arial"/>
                <w:b/>
                <w:bCs/>
                <w:color w:val="000000"/>
                <w:sz w:val="20"/>
                <w:szCs w:val="20"/>
              </w:rPr>
              <w:t>COPD admissions in NHS GG&amp;C in 2018/19, %</w:t>
            </w:r>
          </w:p>
        </w:tc>
        <w:tc>
          <w:tcPr>
            <w:tcW w:w="1247" w:type="dxa"/>
            <w:shd w:val="clear" w:color="auto" w:fill="FFFFFF"/>
          </w:tcPr>
          <w:p w14:paraId="784F199B"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60.9</w:t>
            </w:r>
          </w:p>
        </w:tc>
        <w:tc>
          <w:tcPr>
            <w:tcW w:w="1247" w:type="dxa"/>
            <w:shd w:val="clear" w:color="auto" w:fill="FFFFFF"/>
          </w:tcPr>
          <w:p w14:paraId="0D963EE1"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18.3</w:t>
            </w:r>
          </w:p>
        </w:tc>
        <w:tc>
          <w:tcPr>
            <w:tcW w:w="1248" w:type="dxa"/>
            <w:shd w:val="clear" w:color="auto" w:fill="FFFFFF"/>
          </w:tcPr>
          <w:p w14:paraId="57F7030C"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9.2</w:t>
            </w:r>
          </w:p>
        </w:tc>
        <w:tc>
          <w:tcPr>
            <w:tcW w:w="1247" w:type="dxa"/>
            <w:shd w:val="clear" w:color="auto" w:fill="FFFFFF"/>
          </w:tcPr>
          <w:p w14:paraId="3A3CBDE0"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6.2</w:t>
            </w:r>
          </w:p>
        </w:tc>
        <w:tc>
          <w:tcPr>
            <w:tcW w:w="1248" w:type="dxa"/>
            <w:shd w:val="clear" w:color="auto" w:fill="FFFFFF"/>
          </w:tcPr>
          <w:p w14:paraId="474CFE09" w14:textId="77777777" w:rsidR="00953ECC" w:rsidRPr="00936E92" w:rsidRDefault="00953ECC" w:rsidP="00953ECC">
            <w:pPr>
              <w:spacing w:after="160" w:line="259" w:lineRule="auto"/>
              <w:jc w:val="center"/>
              <w:rPr>
                <w:rFonts w:cs="Arial"/>
                <w:color w:val="000000"/>
                <w:sz w:val="20"/>
                <w:szCs w:val="20"/>
              </w:rPr>
            </w:pPr>
            <w:r w:rsidRPr="00936E92">
              <w:rPr>
                <w:rFonts w:cs="Arial"/>
                <w:color w:val="000000"/>
                <w:sz w:val="20"/>
                <w:szCs w:val="20"/>
              </w:rPr>
              <w:t>5.5</w:t>
            </w:r>
          </w:p>
        </w:tc>
      </w:tr>
    </w:tbl>
    <w:p w14:paraId="499FE6BA" w14:textId="0C2A7D94" w:rsidR="00953ECC" w:rsidRDefault="00953ECC" w:rsidP="00EE0017">
      <w:r w:rsidRPr="00665221">
        <w:rPr>
          <w:b/>
          <w:bCs/>
        </w:rPr>
        <w:t>Notes</w:t>
      </w:r>
      <w:r>
        <w:t>: COPD burden within NHS GG&amp;C is determined</w:t>
      </w:r>
      <w:r w:rsidRPr="00953ECC">
        <w:t xml:space="preserve"> by the number of individuals having 1-3 emergency COPD admissions over the 2018/19 period (Public Health Scotland Scottish Atlas of Variation data, available at: </w:t>
      </w:r>
      <w:hyperlink r:id="rId8" w:history="1">
        <w:r w:rsidR="00665221" w:rsidRPr="00FA33C4">
          <w:rPr>
            <w:rStyle w:val="Hyperlink"/>
          </w:rPr>
          <w:t>https://www.isdscotland.org/products-and-services/scottish-atlas-of-variation/view-the-atlas/respiratory.asp</w:t>
        </w:r>
      </w:hyperlink>
      <w:r w:rsidRPr="00953ECC">
        <w:t>)</w:t>
      </w:r>
      <w:r w:rsidR="00A768D8">
        <w:t xml:space="preserve">. </w:t>
      </w:r>
      <w:r w:rsidR="00523036">
        <w:t>*</w:t>
      </w:r>
      <w:r w:rsidR="00A768D8">
        <w:t>SIMD data available for 413/ 415 of individuals in the control cohort.</w:t>
      </w:r>
    </w:p>
    <w:p w14:paraId="6482C5E5" w14:textId="22EE3BAE" w:rsidR="00665221" w:rsidRDefault="00665221" w:rsidP="00EE0017"/>
    <w:p w14:paraId="28744C18" w14:textId="7C878E32" w:rsidR="00665221" w:rsidRDefault="00665221" w:rsidP="00EE0017">
      <w:r w:rsidRPr="00665221">
        <w:rPr>
          <w:b/>
          <w:bCs/>
        </w:rPr>
        <w:t>Supplementary Table 3</w:t>
      </w:r>
      <w:r w:rsidRPr="00665221">
        <w:t xml:space="preserve"> Table showing the baseline characteristics for RECEIVER participants in each of the four utilization quartiles</w:t>
      </w:r>
    </w:p>
    <w:tbl>
      <w:tblPr>
        <w:tblStyle w:val="TableGrid1"/>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68"/>
        <w:gridCol w:w="1346"/>
        <w:gridCol w:w="1347"/>
        <w:gridCol w:w="1347"/>
        <w:gridCol w:w="1347"/>
        <w:gridCol w:w="992"/>
      </w:tblGrid>
      <w:tr w:rsidR="00665221" w:rsidRPr="00665221" w14:paraId="7039C5D1" w14:textId="77777777" w:rsidTr="00936E92">
        <w:trPr>
          <w:trHeight w:val="270"/>
        </w:trPr>
        <w:tc>
          <w:tcPr>
            <w:tcW w:w="2268" w:type="dxa"/>
            <w:shd w:val="clear" w:color="auto" w:fill="F2F2F2"/>
            <w:vAlign w:val="bottom"/>
            <w:hideMark/>
          </w:tcPr>
          <w:p w14:paraId="210C5AA3" w14:textId="77777777" w:rsidR="00665221" w:rsidRPr="00936E92" w:rsidRDefault="00665221" w:rsidP="00665221">
            <w:pPr>
              <w:spacing w:line="240" w:lineRule="auto"/>
              <w:rPr>
                <w:rFonts w:cs="Arial"/>
                <w:color w:val="0D0D0D"/>
                <w:sz w:val="20"/>
                <w:szCs w:val="20"/>
              </w:rPr>
            </w:pPr>
          </w:p>
        </w:tc>
        <w:tc>
          <w:tcPr>
            <w:tcW w:w="1346" w:type="dxa"/>
            <w:shd w:val="clear" w:color="auto" w:fill="F2F2F2"/>
          </w:tcPr>
          <w:p w14:paraId="71FDDC5B" w14:textId="77777777" w:rsidR="00665221" w:rsidRPr="00936E92" w:rsidRDefault="00665221" w:rsidP="00665221">
            <w:pPr>
              <w:spacing w:line="240" w:lineRule="auto"/>
              <w:jc w:val="center"/>
              <w:rPr>
                <w:rFonts w:cs="Arial"/>
                <w:b/>
                <w:bCs/>
                <w:color w:val="0D0D0D"/>
                <w:sz w:val="20"/>
                <w:szCs w:val="20"/>
              </w:rPr>
            </w:pPr>
            <w:r w:rsidRPr="00936E92">
              <w:rPr>
                <w:rFonts w:cs="Arial"/>
                <w:b/>
                <w:bCs/>
                <w:color w:val="0D0D0D"/>
                <w:sz w:val="20"/>
                <w:szCs w:val="20"/>
              </w:rPr>
              <w:t>Very regular users (Quartile 4), n = 21</w:t>
            </w:r>
          </w:p>
        </w:tc>
        <w:tc>
          <w:tcPr>
            <w:tcW w:w="1347" w:type="dxa"/>
            <w:shd w:val="clear" w:color="auto" w:fill="F2F2F2"/>
          </w:tcPr>
          <w:p w14:paraId="32FB714A" w14:textId="77777777" w:rsidR="00665221" w:rsidRPr="00936E92" w:rsidRDefault="00665221" w:rsidP="00665221">
            <w:pPr>
              <w:spacing w:line="240" w:lineRule="auto"/>
              <w:jc w:val="center"/>
              <w:rPr>
                <w:rFonts w:cs="Arial"/>
                <w:b/>
                <w:bCs/>
                <w:color w:val="0D0D0D"/>
                <w:sz w:val="20"/>
                <w:szCs w:val="20"/>
              </w:rPr>
            </w:pPr>
            <w:r w:rsidRPr="00936E92">
              <w:rPr>
                <w:rFonts w:cs="Arial"/>
                <w:b/>
                <w:bCs/>
                <w:color w:val="0D0D0D"/>
                <w:sz w:val="20"/>
                <w:szCs w:val="20"/>
              </w:rPr>
              <w:t>Regular users (Quartile 3), n = 20</w:t>
            </w:r>
          </w:p>
        </w:tc>
        <w:tc>
          <w:tcPr>
            <w:tcW w:w="1347" w:type="dxa"/>
            <w:shd w:val="clear" w:color="auto" w:fill="F2F2F2"/>
          </w:tcPr>
          <w:p w14:paraId="733602D0" w14:textId="77777777" w:rsidR="00665221" w:rsidRPr="00936E92" w:rsidRDefault="00665221" w:rsidP="00665221">
            <w:pPr>
              <w:spacing w:line="240" w:lineRule="auto"/>
              <w:jc w:val="center"/>
              <w:rPr>
                <w:rFonts w:cs="Arial"/>
                <w:b/>
                <w:bCs/>
                <w:color w:val="0D0D0D"/>
                <w:sz w:val="20"/>
                <w:szCs w:val="20"/>
              </w:rPr>
            </w:pPr>
            <w:r w:rsidRPr="00936E92">
              <w:rPr>
                <w:rFonts w:cs="Arial"/>
                <w:b/>
                <w:bCs/>
                <w:color w:val="0D0D0D"/>
                <w:sz w:val="20"/>
                <w:szCs w:val="20"/>
              </w:rPr>
              <w:t>Intermittent users (Quartile 2), n = 21</w:t>
            </w:r>
          </w:p>
        </w:tc>
        <w:tc>
          <w:tcPr>
            <w:tcW w:w="1347" w:type="dxa"/>
            <w:shd w:val="clear" w:color="auto" w:fill="F2F2F2"/>
          </w:tcPr>
          <w:p w14:paraId="7A16EB15" w14:textId="77777777" w:rsidR="00665221" w:rsidRPr="00936E92" w:rsidRDefault="00665221" w:rsidP="00665221">
            <w:pPr>
              <w:spacing w:line="240" w:lineRule="auto"/>
              <w:jc w:val="center"/>
              <w:rPr>
                <w:rFonts w:cs="Arial"/>
                <w:b/>
                <w:bCs/>
                <w:color w:val="0D0D0D"/>
                <w:sz w:val="20"/>
                <w:szCs w:val="20"/>
              </w:rPr>
            </w:pPr>
            <w:r w:rsidRPr="00936E92">
              <w:rPr>
                <w:rFonts w:cs="Arial"/>
                <w:b/>
                <w:bCs/>
                <w:color w:val="0D0D0D"/>
                <w:sz w:val="20"/>
                <w:szCs w:val="20"/>
              </w:rPr>
              <w:t>Infrequent or non-users (Quartile 1), n = 21</w:t>
            </w:r>
          </w:p>
        </w:tc>
        <w:tc>
          <w:tcPr>
            <w:tcW w:w="992" w:type="dxa"/>
            <w:shd w:val="clear" w:color="auto" w:fill="F2F2F2"/>
            <w:hideMark/>
          </w:tcPr>
          <w:p w14:paraId="5C4578D7" w14:textId="77777777" w:rsidR="00665221" w:rsidRPr="00936E92" w:rsidRDefault="00665221" w:rsidP="00665221">
            <w:pPr>
              <w:spacing w:line="240" w:lineRule="auto"/>
              <w:jc w:val="center"/>
              <w:rPr>
                <w:rFonts w:cs="Arial"/>
                <w:b/>
                <w:bCs/>
                <w:color w:val="0D0D0D"/>
                <w:sz w:val="20"/>
                <w:szCs w:val="20"/>
              </w:rPr>
            </w:pPr>
            <w:r w:rsidRPr="00936E92">
              <w:rPr>
                <w:rFonts w:cs="Arial"/>
                <w:b/>
                <w:bCs/>
                <w:color w:val="0D0D0D"/>
                <w:sz w:val="20"/>
                <w:szCs w:val="20"/>
                <w:lang w:val="en-GB"/>
              </w:rPr>
              <w:t>p-value</w:t>
            </w:r>
          </w:p>
        </w:tc>
      </w:tr>
      <w:tr w:rsidR="00665221" w:rsidRPr="00665221" w14:paraId="3F5170D6" w14:textId="77777777" w:rsidTr="00936E92">
        <w:trPr>
          <w:trHeight w:val="270"/>
        </w:trPr>
        <w:tc>
          <w:tcPr>
            <w:tcW w:w="2268" w:type="dxa"/>
            <w:shd w:val="clear" w:color="auto" w:fill="F2F2F2"/>
            <w:vAlign w:val="bottom"/>
            <w:hideMark/>
          </w:tcPr>
          <w:p w14:paraId="7366CA79"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Age at baseline, mean</w:t>
            </w:r>
          </w:p>
        </w:tc>
        <w:tc>
          <w:tcPr>
            <w:tcW w:w="1346" w:type="dxa"/>
            <w:shd w:val="clear" w:color="auto" w:fill="FFFFFF"/>
          </w:tcPr>
          <w:p w14:paraId="4972855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63.1</w:t>
            </w:r>
          </w:p>
        </w:tc>
        <w:tc>
          <w:tcPr>
            <w:tcW w:w="1347" w:type="dxa"/>
            <w:shd w:val="clear" w:color="auto" w:fill="FFFFFF"/>
          </w:tcPr>
          <w:p w14:paraId="4972E892"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67.3</w:t>
            </w:r>
          </w:p>
        </w:tc>
        <w:tc>
          <w:tcPr>
            <w:tcW w:w="1347" w:type="dxa"/>
            <w:shd w:val="clear" w:color="auto" w:fill="FFFFFF"/>
          </w:tcPr>
          <w:p w14:paraId="5851142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64.0</w:t>
            </w:r>
          </w:p>
        </w:tc>
        <w:tc>
          <w:tcPr>
            <w:tcW w:w="1347" w:type="dxa"/>
            <w:shd w:val="clear" w:color="auto" w:fill="FFFFFF"/>
          </w:tcPr>
          <w:p w14:paraId="3980458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63.3</w:t>
            </w:r>
          </w:p>
        </w:tc>
        <w:tc>
          <w:tcPr>
            <w:tcW w:w="992" w:type="dxa"/>
            <w:shd w:val="clear" w:color="auto" w:fill="FFFFFF"/>
            <w:hideMark/>
          </w:tcPr>
          <w:p w14:paraId="08F87948" w14:textId="77777777" w:rsidR="00665221" w:rsidRPr="00936E92" w:rsidRDefault="00665221" w:rsidP="00665221">
            <w:pPr>
              <w:spacing w:line="240" w:lineRule="auto"/>
              <w:jc w:val="center"/>
              <w:rPr>
                <w:rFonts w:cs="Arial"/>
                <w:color w:val="000000"/>
                <w:sz w:val="20"/>
                <w:szCs w:val="20"/>
                <w:vertAlign w:val="subscript"/>
              </w:rPr>
            </w:pPr>
            <w:r w:rsidRPr="00936E92">
              <w:rPr>
                <w:rFonts w:cs="Arial"/>
                <w:color w:val="000000"/>
                <w:sz w:val="20"/>
                <w:szCs w:val="20"/>
                <w:lang w:val="en-GB"/>
              </w:rPr>
              <w:t>0.3318</w:t>
            </w:r>
          </w:p>
        </w:tc>
      </w:tr>
      <w:tr w:rsidR="00665221" w:rsidRPr="00665221" w14:paraId="55CCC66E" w14:textId="77777777" w:rsidTr="00936E92">
        <w:trPr>
          <w:trHeight w:val="270"/>
        </w:trPr>
        <w:tc>
          <w:tcPr>
            <w:tcW w:w="2268" w:type="dxa"/>
            <w:shd w:val="clear" w:color="auto" w:fill="F2F2F2"/>
            <w:vAlign w:val="bottom"/>
            <w:hideMark/>
          </w:tcPr>
          <w:p w14:paraId="326285A1"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Sex, % female</w:t>
            </w:r>
          </w:p>
        </w:tc>
        <w:tc>
          <w:tcPr>
            <w:tcW w:w="1346" w:type="dxa"/>
            <w:shd w:val="clear" w:color="auto" w:fill="FFFFFF"/>
          </w:tcPr>
          <w:p w14:paraId="08AD3AB2"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52.4</w:t>
            </w:r>
          </w:p>
        </w:tc>
        <w:tc>
          <w:tcPr>
            <w:tcW w:w="1347" w:type="dxa"/>
            <w:shd w:val="clear" w:color="auto" w:fill="FFFFFF"/>
          </w:tcPr>
          <w:p w14:paraId="78B183E5"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60.0</w:t>
            </w:r>
          </w:p>
        </w:tc>
        <w:tc>
          <w:tcPr>
            <w:tcW w:w="1347" w:type="dxa"/>
            <w:shd w:val="clear" w:color="auto" w:fill="FFFFFF"/>
          </w:tcPr>
          <w:p w14:paraId="4D1DE21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71.4</w:t>
            </w:r>
          </w:p>
        </w:tc>
        <w:tc>
          <w:tcPr>
            <w:tcW w:w="1347" w:type="dxa"/>
            <w:shd w:val="clear" w:color="auto" w:fill="FFFFFF"/>
          </w:tcPr>
          <w:p w14:paraId="0E77C74E"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71.4</w:t>
            </w:r>
          </w:p>
        </w:tc>
        <w:tc>
          <w:tcPr>
            <w:tcW w:w="992" w:type="dxa"/>
            <w:shd w:val="clear" w:color="auto" w:fill="FFFFFF"/>
            <w:hideMark/>
          </w:tcPr>
          <w:p w14:paraId="2425B63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0.4992</w:t>
            </w:r>
          </w:p>
        </w:tc>
      </w:tr>
      <w:tr w:rsidR="00665221" w:rsidRPr="00665221" w14:paraId="577A134C" w14:textId="77777777" w:rsidTr="00936E92">
        <w:trPr>
          <w:trHeight w:val="270"/>
        </w:trPr>
        <w:tc>
          <w:tcPr>
            <w:tcW w:w="2268" w:type="dxa"/>
            <w:shd w:val="clear" w:color="auto" w:fill="F2F2F2"/>
            <w:vAlign w:val="bottom"/>
            <w:hideMark/>
          </w:tcPr>
          <w:p w14:paraId="2BE5515D"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Smoking Status, % current</w:t>
            </w:r>
          </w:p>
        </w:tc>
        <w:tc>
          <w:tcPr>
            <w:tcW w:w="1346" w:type="dxa"/>
            <w:shd w:val="clear" w:color="auto" w:fill="FFFFFF"/>
          </w:tcPr>
          <w:p w14:paraId="176F29B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23.8</w:t>
            </w:r>
          </w:p>
        </w:tc>
        <w:tc>
          <w:tcPr>
            <w:tcW w:w="1347" w:type="dxa"/>
            <w:shd w:val="clear" w:color="auto" w:fill="FFFFFF"/>
          </w:tcPr>
          <w:p w14:paraId="1EA1000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25.0</w:t>
            </w:r>
          </w:p>
        </w:tc>
        <w:tc>
          <w:tcPr>
            <w:tcW w:w="1347" w:type="dxa"/>
            <w:shd w:val="clear" w:color="auto" w:fill="FFFFFF"/>
          </w:tcPr>
          <w:p w14:paraId="218B6B4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38.1</w:t>
            </w:r>
          </w:p>
        </w:tc>
        <w:tc>
          <w:tcPr>
            <w:tcW w:w="1347" w:type="dxa"/>
            <w:shd w:val="clear" w:color="auto" w:fill="FFFFFF"/>
          </w:tcPr>
          <w:p w14:paraId="7CA069D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33.3</w:t>
            </w:r>
          </w:p>
        </w:tc>
        <w:tc>
          <w:tcPr>
            <w:tcW w:w="992" w:type="dxa"/>
            <w:shd w:val="clear" w:color="auto" w:fill="FFFFFF"/>
            <w:hideMark/>
          </w:tcPr>
          <w:p w14:paraId="310993D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0.7093</w:t>
            </w:r>
          </w:p>
        </w:tc>
      </w:tr>
      <w:tr w:rsidR="00665221" w:rsidRPr="00665221" w14:paraId="7A9F5C02" w14:textId="77777777" w:rsidTr="00936E92">
        <w:trPr>
          <w:trHeight w:val="270"/>
        </w:trPr>
        <w:tc>
          <w:tcPr>
            <w:tcW w:w="2268" w:type="dxa"/>
            <w:shd w:val="clear" w:color="auto" w:fill="F2F2F2"/>
            <w:vAlign w:val="bottom"/>
            <w:hideMark/>
          </w:tcPr>
          <w:p w14:paraId="0143232E"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COPD or respiratory-related admissions in previous year, mean</w:t>
            </w:r>
          </w:p>
        </w:tc>
        <w:tc>
          <w:tcPr>
            <w:tcW w:w="1346" w:type="dxa"/>
            <w:shd w:val="clear" w:color="auto" w:fill="FFFFFF"/>
          </w:tcPr>
          <w:p w14:paraId="07A943A7"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2.7</w:t>
            </w:r>
          </w:p>
        </w:tc>
        <w:tc>
          <w:tcPr>
            <w:tcW w:w="1347" w:type="dxa"/>
            <w:shd w:val="clear" w:color="auto" w:fill="FFFFFF"/>
          </w:tcPr>
          <w:p w14:paraId="03950A0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2.5</w:t>
            </w:r>
          </w:p>
        </w:tc>
        <w:tc>
          <w:tcPr>
            <w:tcW w:w="1347" w:type="dxa"/>
            <w:shd w:val="clear" w:color="auto" w:fill="FFFFFF"/>
          </w:tcPr>
          <w:p w14:paraId="07AE81E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2.4</w:t>
            </w:r>
          </w:p>
        </w:tc>
        <w:tc>
          <w:tcPr>
            <w:tcW w:w="1347" w:type="dxa"/>
            <w:shd w:val="clear" w:color="auto" w:fill="FFFFFF"/>
          </w:tcPr>
          <w:p w14:paraId="4CBA447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2.3</w:t>
            </w:r>
          </w:p>
        </w:tc>
        <w:tc>
          <w:tcPr>
            <w:tcW w:w="992" w:type="dxa"/>
            <w:shd w:val="clear" w:color="auto" w:fill="FFFFFF"/>
            <w:hideMark/>
          </w:tcPr>
          <w:p w14:paraId="20E13447"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0.9572</w:t>
            </w:r>
          </w:p>
        </w:tc>
      </w:tr>
      <w:tr w:rsidR="00665221" w:rsidRPr="00665221" w14:paraId="2C8B67C7" w14:textId="77777777" w:rsidTr="00936E92">
        <w:trPr>
          <w:trHeight w:val="270"/>
        </w:trPr>
        <w:tc>
          <w:tcPr>
            <w:tcW w:w="2268" w:type="dxa"/>
            <w:shd w:val="clear" w:color="auto" w:fill="F2F2F2"/>
            <w:vAlign w:val="bottom"/>
            <w:hideMark/>
          </w:tcPr>
          <w:p w14:paraId="4E99BF39"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SIMD Quintile, mean</w:t>
            </w:r>
          </w:p>
        </w:tc>
        <w:tc>
          <w:tcPr>
            <w:tcW w:w="1346" w:type="dxa"/>
            <w:shd w:val="clear" w:color="auto" w:fill="FFFFFF"/>
          </w:tcPr>
          <w:p w14:paraId="7B49C957"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1.7</w:t>
            </w:r>
          </w:p>
        </w:tc>
        <w:tc>
          <w:tcPr>
            <w:tcW w:w="1347" w:type="dxa"/>
            <w:shd w:val="clear" w:color="auto" w:fill="FFFFFF"/>
          </w:tcPr>
          <w:p w14:paraId="58BE146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1.8</w:t>
            </w:r>
          </w:p>
        </w:tc>
        <w:tc>
          <w:tcPr>
            <w:tcW w:w="1347" w:type="dxa"/>
            <w:shd w:val="clear" w:color="auto" w:fill="FFFFFF"/>
          </w:tcPr>
          <w:p w14:paraId="0F22835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2.0</w:t>
            </w:r>
          </w:p>
        </w:tc>
        <w:tc>
          <w:tcPr>
            <w:tcW w:w="1347" w:type="dxa"/>
            <w:shd w:val="clear" w:color="auto" w:fill="FFFFFF"/>
          </w:tcPr>
          <w:p w14:paraId="3A14C5F1"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1.5</w:t>
            </w:r>
          </w:p>
        </w:tc>
        <w:tc>
          <w:tcPr>
            <w:tcW w:w="992" w:type="dxa"/>
            <w:shd w:val="clear" w:color="auto" w:fill="FFFFFF"/>
            <w:hideMark/>
          </w:tcPr>
          <w:p w14:paraId="49FA90A2"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0.305</w:t>
            </w:r>
          </w:p>
        </w:tc>
      </w:tr>
      <w:tr w:rsidR="00665221" w:rsidRPr="00665221" w14:paraId="639F57D0" w14:textId="77777777" w:rsidTr="00936E92">
        <w:trPr>
          <w:trHeight w:val="270"/>
        </w:trPr>
        <w:tc>
          <w:tcPr>
            <w:tcW w:w="2268" w:type="dxa"/>
            <w:shd w:val="clear" w:color="auto" w:fill="F2F2F2"/>
            <w:vAlign w:val="bottom"/>
            <w:hideMark/>
          </w:tcPr>
          <w:p w14:paraId="7B18F75C"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FEV1% predicted, mean</w:t>
            </w:r>
          </w:p>
        </w:tc>
        <w:tc>
          <w:tcPr>
            <w:tcW w:w="1346" w:type="dxa"/>
            <w:shd w:val="clear" w:color="auto" w:fill="FFFFFF"/>
          </w:tcPr>
          <w:p w14:paraId="07D67BD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44.7</w:t>
            </w:r>
          </w:p>
        </w:tc>
        <w:tc>
          <w:tcPr>
            <w:tcW w:w="1347" w:type="dxa"/>
            <w:shd w:val="clear" w:color="auto" w:fill="FFFFFF"/>
          </w:tcPr>
          <w:p w14:paraId="4A5A6F1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50.0</w:t>
            </w:r>
          </w:p>
        </w:tc>
        <w:tc>
          <w:tcPr>
            <w:tcW w:w="1347" w:type="dxa"/>
            <w:shd w:val="clear" w:color="auto" w:fill="FFFFFF"/>
          </w:tcPr>
          <w:p w14:paraId="0A64290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48.0</w:t>
            </w:r>
          </w:p>
        </w:tc>
        <w:tc>
          <w:tcPr>
            <w:tcW w:w="1347" w:type="dxa"/>
            <w:shd w:val="clear" w:color="auto" w:fill="FFFFFF"/>
          </w:tcPr>
          <w:p w14:paraId="3F86FEC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49.00</w:t>
            </w:r>
          </w:p>
        </w:tc>
        <w:tc>
          <w:tcPr>
            <w:tcW w:w="992" w:type="dxa"/>
            <w:shd w:val="clear" w:color="auto" w:fill="FFFFFF"/>
            <w:hideMark/>
          </w:tcPr>
          <w:p w14:paraId="38E9278E"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0.8428</w:t>
            </w:r>
          </w:p>
        </w:tc>
      </w:tr>
      <w:tr w:rsidR="00665221" w:rsidRPr="00665221" w14:paraId="720978E5" w14:textId="77777777" w:rsidTr="00936E92">
        <w:trPr>
          <w:trHeight w:val="270"/>
        </w:trPr>
        <w:tc>
          <w:tcPr>
            <w:tcW w:w="2268" w:type="dxa"/>
            <w:shd w:val="clear" w:color="auto" w:fill="F2F2F2"/>
            <w:vAlign w:val="bottom"/>
            <w:hideMark/>
          </w:tcPr>
          <w:p w14:paraId="72F8AF9C"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FEV1 /FVC predicted, mean</w:t>
            </w:r>
          </w:p>
        </w:tc>
        <w:tc>
          <w:tcPr>
            <w:tcW w:w="1346" w:type="dxa"/>
            <w:shd w:val="clear" w:color="auto" w:fill="FFFFFF"/>
          </w:tcPr>
          <w:p w14:paraId="4975E6D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0.45</w:t>
            </w:r>
          </w:p>
        </w:tc>
        <w:tc>
          <w:tcPr>
            <w:tcW w:w="1347" w:type="dxa"/>
            <w:shd w:val="clear" w:color="auto" w:fill="FFFFFF"/>
          </w:tcPr>
          <w:p w14:paraId="4B2580A0"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0.47</w:t>
            </w:r>
          </w:p>
        </w:tc>
        <w:tc>
          <w:tcPr>
            <w:tcW w:w="1347" w:type="dxa"/>
            <w:shd w:val="clear" w:color="auto" w:fill="FFFFFF"/>
          </w:tcPr>
          <w:p w14:paraId="78C44EA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0.47</w:t>
            </w:r>
          </w:p>
        </w:tc>
        <w:tc>
          <w:tcPr>
            <w:tcW w:w="1347" w:type="dxa"/>
            <w:shd w:val="clear" w:color="auto" w:fill="FFFFFF"/>
          </w:tcPr>
          <w:p w14:paraId="1E09E59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0.45</w:t>
            </w:r>
          </w:p>
        </w:tc>
        <w:tc>
          <w:tcPr>
            <w:tcW w:w="992" w:type="dxa"/>
            <w:shd w:val="clear" w:color="auto" w:fill="FFFFFF"/>
            <w:hideMark/>
          </w:tcPr>
          <w:p w14:paraId="7CB976A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0.9837</w:t>
            </w:r>
          </w:p>
        </w:tc>
      </w:tr>
      <w:tr w:rsidR="00665221" w:rsidRPr="00665221" w14:paraId="2AD50118" w14:textId="77777777" w:rsidTr="00936E92">
        <w:trPr>
          <w:trHeight w:val="270"/>
        </w:trPr>
        <w:tc>
          <w:tcPr>
            <w:tcW w:w="2268" w:type="dxa"/>
            <w:shd w:val="clear" w:color="auto" w:fill="F2F2F2"/>
            <w:vAlign w:val="bottom"/>
            <w:hideMark/>
          </w:tcPr>
          <w:p w14:paraId="706FEB30"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Previous pulmonary rehabilitation, % had</w:t>
            </w:r>
          </w:p>
        </w:tc>
        <w:tc>
          <w:tcPr>
            <w:tcW w:w="1346" w:type="dxa"/>
            <w:shd w:val="clear" w:color="auto" w:fill="FFFFFF"/>
          </w:tcPr>
          <w:p w14:paraId="109E965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28.6</w:t>
            </w:r>
          </w:p>
        </w:tc>
        <w:tc>
          <w:tcPr>
            <w:tcW w:w="1347" w:type="dxa"/>
            <w:shd w:val="clear" w:color="auto" w:fill="FFFFFF"/>
          </w:tcPr>
          <w:p w14:paraId="2EFA2B7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35.0</w:t>
            </w:r>
          </w:p>
        </w:tc>
        <w:tc>
          <w:tcPr>
            <w:tcW w:w="1347" w:type="dxa"/>
            <w:shd w:val="clear" w:color="auto" w:fill="FFFFFF"/>
          </w:tcPr>
          <w:p w14:paraId="4E63813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19.0</w:t>
            </w:r>
          </w:p>
        </w:tc>
        <w:tc>
          <w:tcPr>
            <w:tcW w:w="1347" w:type="dxa"/>
            <w:shd w:val="clear" w:color="auto" w:fill="FFFFFF"/>
          </w:tcPr>
          <w:p w14:paraId="5A60681A"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14.3</w:t>
            </w:r>
          </w:p>
        </w:tc>
        <w:tc>
          <w:tcPr>
            <w:tcW w:w="992" w:type="dxa"/>
            <w:shd w:val="clear" w:color="auto" w:fill="FFFFFF"/>
            <w:hideMark/>
          </w:tcPr>
          <w:p w14:paraId="3F86A0D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0.4029</w:t>
            </w:r>
          </w:p>
        </w:tc>
      </w:tr>
      <w:tr w:rsidR="00665221" w:rsidRPr="00665221" w14:paraId="36EA8A65" w14:textId="77777777" w:rsidTr="00936E92">
        <w:trPr>
          <w:trHeight w:val="270"/>
        </w:trPr>
        <w:tc>
          <w:tcPr>
            <w:tcW w:w="2268" w:type="dxa"/>
            <w:shd w:val="clear" w:color="auto" w:fill="F2F2F2"/>
            <w:vAlign w:val="bottom"/>
            <w:hideMark/>
          </w:tcPr>
          <w:p w14:paraId="4897B6E8"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lastRenderedPageBreak/>
              <w:t>NIV therapy, % users</w:t>
            </w:r>
          </w:p>
        </w:tc>
        <w:tc>
          <w:tcPr>
            <w:tcW w:w="1346" w:type="dxa"/>
            <w:shd w:val="clear" w:color="auto" w:fill="FFFFFF"/>
          </w:tcPr>
          <w:p w14:paraId="7F50BD2A"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33.3</w:t>
            </w:r>
          </w:p>
        </w:tc>
        <w:tc>
          <w:tcPr>
            <w:tcW w:w="1347" w:type="dxa"/>
            <w:shd w:val="clear" w:color="auto" w:fill="FFFFFF"/>
          </w:tcPr>
          <w:p w14:paraId="5776011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20.0</w:t>
            </w:r>
          </w:p>
        </w:tc>
        <w:tc>
          <w:tcPr>
            <w:tcW w:w="1347" w:type="dxa"/>
            <w:shd w:val="clear" w:color="auto" w:fill="FFFFFF"/>
          </w:tcPr>
          <w:p w14:paraId="6515EEAE"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19.0</w:t>
            </w:r>
          </w:p>
        </w:tc>
        <w:tc>
          <w:tcPr>
            <w:tcW w:w="1347" w:type="dxa"/>
            <w:shd w:val="clear" w:color="auto" w:fill="FFFFFF"/>
          </w:tcPr>
          <w:p w14:paraId="1572830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42.9</w:t>
            </w:r>
          </w:p>
        </w:tc>
        <w:tc>
          <w:tcPr>
            <w:tcW w:w="992" w:type="dxa"/>
            <w:shd w:val="clear" w:color="auto" w:fill="FFFFFF"/>
            <w:hideMark/>
          </w:tcPr>
          <w:p w14:paraId="651A242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0.2665</w:t>
            </w:r>
          </w:p>
        </w:tc>
      </w:tr>
      <w:tr w:rsidR="00665221" w:rsidRPr="00665221" w14:paraId="51B57906" w14:textId="77777777" w:rsidTr="00936E92">
        <w:trPr>
          <w:trHeight w:val="270"/>
        </w:trPr>
        <w:tc>
          <w:tcPr>
            <w:tcW w:w="2268" w:type="dxa"/>
            <w:shd w:val="clear" w:color="auto" w:fill="F2F2F2"/>
            <w:vAlign w:val="bottom"/>
            <w:hideMark/>
          </w:tcPr>
          <w:p w14:paraId="5ECC196F"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Home Oxygen User, % users</w:t>
            </w:r>
          </w:p>
        </w:tc>
        <w:tc>
          <w:tcPr>
            <w:tcW w:w="1346" w:type="dxa"/>
            <w:shd w:val="clear" w:color="auto" w:fill="FFFFFF"/>
          </w:tcPr>
          <w:p w14:paraId="56F8A1D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33.3</w:t>
            </w:r>
          </w:p>
        </w:tc>
        <w:tc>
          <w:tcPr>
            <w:tcW w:w="1347" w:type="dxa"/>
            <w:shd w:val="clear" w:color="auto" w:fill="FFFFFF"/>
          </w:tcPr>
          <w:p w14:paraId="1B66CD1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35.0</w:t>
            </w:r>
          </w:p>
        </w:tc>
        <w:tc>
          <w:tcPr>
            <w:tcW w:w="1347" w:type="dxa"/>
            <w:shd w:val="clear" w:color="auto" w:fill="FFFFFF"/>
          </w:tcPr>
          <w:p w14:paraId="51D6C67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33.3</w:t>
            </w:r>
          </w:p>
        </w:tc>
        <w:tc>
          <w:tcPr>
            <w:tcW w:w="1347" w:type="dxa"/>
            <w:shd w:val="clear" w:color="auto" w:fill="FFFFFF"/>
          </w:tcPr>
          <w:p w14:paraId="3788BEA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47.6</w:t>
            </w:r>
          </w:p>
        </w:tc>
        <w:tc>
          <w:tcPr>
            <w:tcW w:w="992" w:type="dxa"/>
            <w:shd w:val="clear" w:color="auto" w:fill="FFFFFF"/>
            <w:hideMark/>
          </w:tcPr>
          <w:p w14:paraId="14065347"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0.7331</w:t>
            </w:r>
          </w:p>
        </w:tc>
      </w:tr>
      <w:tr w:rsidR="00665221" w:rsidRPr="00665221" w14:paraId="39018B73" w14:textId="77777777" w:rsidTr="00936E92">
        <w:trPr>
          <w:trHeight w:val="270"/>
        </w:trPr>
        <w:tc>
          <w:tcPr>
            <w:tcW w:w="2268" w:type="dxa"/>
            <w:shd w:val="clear" w:color="auto" w:fill="F2F2F2"/>
            <w:vAlign w:val="bottom"/>
            <w:hideMark/>
          </w:tcPr>
          <w:p w14:paraId="39F0B7CB"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Baseline CAT, mean</w:t>
            </w:r>
          </w:p>
        </w:tc>
        <w:tc>
          <w:tcPr>
            <w:tcW w:w="1346" w:type="dxa"/>
            <w:shd w:val="clear" w:color="auto" w:fill="FFFFFF"/>
          </w:tcPr>
          <w:p w14:paraId="62C7ADB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21.2</w:t>
            </w:r>
          </w:p>
        </w:tc>
        <w:tc>
          <w:tcPr>
            <w:tcW w:w="1347" w:type="dxa"/>
            <w:shd w:val="clear" w:color="auto" w:fill="FFFFFF"/>
          </w:tcPr>
          <w:p w14:paraId="215FACC2"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23.4</w:t>
            </w:r>
          </w:p>
        </w:tc>
        <w:tc>
          <w:tcPr>
            <w:tcW w:w="1347" w:type="dxa"/>
            <w:shd w:val="clear" w:color="auto" w:fill="FFFFFF"/>
          </w:tcPr>
          <w:p w14:paraId="6E73443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24.6</w:t>
            </w:r>
          </w:p>
        </w:tc>
        <w:tc>
          <w:tcPr>
            <w:tcW w:w="1347" w:type="dxa"/>
            <w:shd w:val="clear" w:color="auto" w:fill="FFFFFF"/>
          </w:tcPr>
          <w:p w14:paraId="570C3B6E"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23.8</w:t>
            </w:r>
          </w:p>
        </w:tc>
        <w:tc>
          <w:tcPr>
            <w:tcW w:w="992" w:type="dxa"/>
            <w:shd w:val="clear" w:color="auto" w:fill="FFFFFF"/>
            <w:hideMark/>
          </w:tcPr>
          <w:p w14:paraId="0B50E22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0.4737</w:t>
            </w:r>
          </w:p>
        </w:tc>
      </w:tr>
      <w:tr w:rsidR="00665221" w:rsidRPr="00665221" w14:paraId="3E686219" w14:textId="77777777" w:rsidTr="00936E92">
        <w:trPr>
          <w:trHeight w:val="270"/>
        </w:trPr>
        <w:tc>
          <w:tcPr>
            <w:tcW w:w="2268" w:type="dxa"/>
            <w:shd w:val="clear" w:color="auto" w:fill="F2F2F2"/>
            <w:vAlign w:val="bottom"/>
            <w:hideMark/>
          </w:tcPr>
          <w:p w14:paraId="0B4F8FF9"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Baseline MRC, mean</w:t>
            </w:r>
          </w:p>
        </w:tc>
        <w:tc>
          <w:tcPr>
            <w:tcW w:w="1346" w:type="dxa"/>
            <w:shd w:val="clear" w:color="auto" w:fill="FFFFFF"/>
          </w:tcPr>
          <w:p w14:paraId="06530B1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3.6</w:t>
            </w:r>
          </w:p>
        </w:tc>
        <w:tc>
          <w:tcPr>
            <w:tcW w:w="1347" w:type="dxa"/>
            <w:shd w:val="clear" w:color="auto" w:fill="FFFFFF"/>
          </w:tcPr>
          <w:p w14:paraId="3ADD3DB5"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3.8</w:t>
            </w:r>
          </w:p>
        </w:tc>
        <w:tc>
          <w:tcPr>
            <w:tcW w:w="1347" w:type="dxa"/>
            <w:shd w:val="clear" w:color="auto" w:fill="FFFFFF"/>
          </w:tcPr>
          <w:p w14:paraId="5495261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4.0</w:t>
            </w:r>
          </w:p>
        </w:tc>
        <w:tc>
          <w:tcPr>
            <w:tcW w:w="1347" w:type="dxa"/>
            <w:shd w:val="clear" w:color="auto" w:fill="FFFFFF"/>
          </w:tcPr>
          <w:p w14:paraId="78E40CC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3.3</w:t>
            </w:r>
          </w:p>
        </w:tc>
        <w:tc>
          <w:tcPr>
            <w:tcW w:w="992" w:type="dxa"/>
            <w:shd w:val="clear" w:color="auto" w:fill="FFFFFF"/>
            <w:hideMark/>
          </w:tcPr>
          <w:p w14:paraId="5FCC5F1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0.2728</w:t>
            </w:r>
          </w:p>
        </w:tc>
      </w:tr>
      <w:tr w:rsidR="00665221" w:rsidRPr="00665221" w14:paraId="02521A79" w14:textId="77777777" w:rsidTr="00936E92">
        <w:trPr>
          <w:trHeight w:val="270"/>
        </w:trPr>
        <w:tc>
          <w:tcPr>
            <w:tcW w:w="2268" w:type="dxa"/>
            <w:tcBorders>
              <w:bottom w:val="single" w:sz="4" w:space="0" w:color="auto"/>
            </w:tcBorders>
            <w:shd w:val="clear" w:color="auto" w:fill="F2F2F2"/>
            <w:vAlign w:val="bottom"/>
            <w:hideMark/>
          </w:tcPr>
          <w:p w14:paraId="45883F22"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Highest eosinophil count, mean</w:t>
            </w:r>
          </w:p>
        </w:tc>
        <w:tc>
          <w:tcPr>
            <w:tcW w:w="1346" w:type="dxa"/>
            <w:tcBorders>
              <w:bottom w:val="single" w:sz="4" w:space="0" w:color="auto"/>
            </w:tcBorders>
            <w:shd w:val="clear" w:color="auto" w:fill="FFFFFF"/>
          </w:tcPr>
          <w:p w14:paraId="16EAE45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0.55</w:t>
            </w:r>
          </w:p>
        </w:tc>
        <w:tc>
          <w:tcPr>
            <w:tcW w:w="1347" w:type="dxa"/>
            <w:tcBorders>
              <w:bottom w:val="single" w:sz="4" w:space="0" w:color="auto"/>
            </w:tcBorders>
            <w:shd w:val="clear" w:color="auto" w:fill="FFFFFF"/>
          </w:tcPr>
          <w:p w14:paraId="4C46305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0.51</w:t>
            </w:r>
          </w:p>
        </w:tc>
        <w:tc>
          <w:tcPr>
            <w:tcW w:w="1347" w:type="dxa"/>
            <w:tcBorders>
              <w:bottom w:val="single" w:sz="4" w:space="0" w:color="auto"/>
            </w:tcBorders>
            <w:shd w:val="clear" w:color="auto" w:fill="FFFFFF"/>
          </w:tcPr>
          <w:p w14:paraId="3BB9AB4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0.56</w:t>
            </w:r>
          </w:p>
        </w:tc>
        <w:tc>
          <w:tcPr>
            <w:tcW w:w="1347" w:type="dxa"/>
            <w:tcBorders>
              <w:bottom w:val="single" w:sz="4" w:space="0" w:color="auto"/>
            </w:tcBorders>
            <w:shd w:val="clear" w:color="auto" w:fill="FFFFFF"/>
          </w:tcPr>
          <w:p w14:paraId="5CEBF68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0.93</w:t>
            </w:r>
          </w:p>
        </w:tc>
        <w:tc>
          <w:tcPr>
            <w:tcW w:w="992" w:type="dxa"/>
            <w:tcBorders>
              <w:bottom w:val="single" w:sz="4" w:space="0" w:color="auto"/>
            </w:tcBorders>
            <w:shd w:val="clear" w:color="auto" w:fill="FFFFFF"/>
            <w:hideMark/>
          </w:tcPr>
          <w:p w14:paraId="635D033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0.6877</w:t>
            </w:r>
          </w:p>
        </w:tc>
      </w:tr>
      <w:tr w:rsidR="00665221" w:rsidRPr="00665221" w14:paraId="39817C26" w14:textId="77777777" w:rsidTr="00936E92">
        <w:trPr>
          <w:trHeight w:val="270"/>
        </w:trPr>
        <w:tc>
          <w:tcPr>
            <w:tcW w:w="2268" w:type="dxa"/>
            <w:tcBorders>
              <w:bottom w:val="nil"/>
              <w:right w:val="single" w:sz="4" w:space="0" w:color="auto"/>
            </w:tcBorders>
            <w:shd w:val="clear" w:color="auto" w:fill="F2F2F2"/>
            <w:vAlign w:val="bottom"/>
          </w:tcPr>
          <w:p w14:paraId="22CE493C"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rPr>
              <w:t>Comorbidities, % with</w:t>
            </w:r>
          </w:p>
        </w:tc>
        <w:tc>
          <w:tcPr>
            <w:tcW w:w="1346" w:type="dxa"/>
            <w:tcBorders>
              <w:left w:val="single" w:sz="4" w:space="0" w:color="auto"/>
              <w:bottom w:val="nil"/>
              <w:right w:val="single" w:sz="4" w:space="0" w:color="auto"/>
            </w:tcBorders>
            <w:shd w:val="clear" w:color="auto" w:fill="FFFFFF"/>
          </w:tcPr>
          <w:p w14:paraId="5EDC3BE5" w14:textId="77777777" w:rsidR="00665221" w:rsidRPr="00936E92" w:rsidRDefault="00665221" w:rsidP="00665221">
            <w:pPr>
              <w:spacing w:line="240" w:lineRule="auto"/>
              <w:jc w:val="center"/>
              <w:rPr>
                <w:rFonts w:cs="Arial"/>
                <w:color w:val="000000"/>
                <w:sz w:val="20"/>
                <w:szCs w:val="20"/>
              </w:rPr>
            </w:pPr>
          </w:p>
        </w:tc>
        <w:tc>
          <w:tcPr>
            <w:tcW w:w="1347" w:type="dxa"/>
            <w:tcBorders>
              <w:left w:val="single" w:sz="4" w:space="0" w:color="auto"/>
              <w:bottom w:val="nil"/>
              <w:right w:val="single" w:sz="4" w:space="0" w:color="auto"/>
            </w:tcBorders>
            <w:shd w:val="clear" w:color="auto" w:fill="FFFFFF"/>
          </w:tcPr>
          <w:p w14:paraId="41F29A68" w14:textId="77777777" w:rsidR="00665221" w:rsidRPr="00936E92" w:rsidRDefault="00665221" w:rsidP="00665221">
            <w:pPr>
              <w:spacing w:line="240" w:lineRule="auto"/>
              <w:jc w:val="center"/>
              <w:rPr>
                <w:rFonts w:cs="Arial"/>
                <w:color w:val="000000"/>
                <w:sz w:val="20"/>
                <w:szCs w:val="20"/>
              </w:rPr>
            </w:pPr>
          </w:p>
        </w:tc>
        <w:tc>
          <w:tcPr>
            <w:tcW w:w="1347" w:type="dxa"/>
            <w:tcBorders>
              <w:left w:val="single" w:sz="4" w:space="0" w:color="auto"/>
              <w:bottom w:val="nil"/>
              <w:right w:val="single" w:sz="4" w:space="0" w:color="auto"/>
            </w:tcBorders>
            <w:shd w:val="clear" w:color="auto" w:fill="FFFFFF"/>
          </w:tcPr>
          <w:p w14:paraId="131A55EF" w14:textId="77777777" w:rsidR="00665221" w:rsidRPr="00936E92" w:rsidRDefault="00665221" w:rsidP="00665221">
            <w:pPr>
              <w:spacing w:line="240" w:lineRule="auto"/>
              <w:jc w:val="center"/>
              <w:rPr>
                <w:rFonts w:cs="Arial"/>
                <w:color w:val="000000"/>
                <w:sz w:val="20"/>
                <w:szCs w:val="20"/>
              </w:rPr>
            </w:pPr>
          </w:p>
        </w:tc>
        <w:tc>
          <w:tcPr>
            <w:tcW w:w="1347" w:type="dxa"/>
            <w:tcBorders>
              <w:left w:val="single" w:sz="4" w:space="0" w:color="auto"/>
              <w:bottom w:val="nil"/>
              <w:right w:val="single" w:sz="4" w:space="0" w:color="auto"/>
            </w:tcBorders>
            <w:shd w:val="clear" w:color="auto" w:fill="FFFFFF"/>
          </w:tcPr>
          <w:p w14:paraId="745F769B" w14:textId="77777777" w:rsidR="00665221" w:rsidRPr="00936E92" w:rsidRDefault="00665221" w:rsidP="00665221">
            <w:pPr>
              <w:spacing w:line="240" w:lineRule="auto"/>
              <w:jc w:val="center"/>
              <w:rPr>
                <w:rFonts w:cs="Arial"/>
                <w:color w:val="000000"/>
                <w:sz w:val="20"/>
                <w:szCs w:val="20"/>
              </w:rPr>
            </w:pPr>
          </w:p>
        </w:tc>
        <w:tc>
          <w:tcPr>
            <w:tcW w:w="992" w:type="dxa"/>
            <w:tcBorders>
              <w:left w:val="single" w:sz="4" w:space="0" w:color="auto"/>
              <w:bottom w:val="nil"/>
            </w:tcBorders>
            <w:shd w:val="clear" w:color="auto" w:fill="FFFFFF"/>
          </w:tcPr>
          <w:p w14:paraId="0D560EC6" w14:textId="77777777" w:rsidR="00665221" w:rsidRPr="00936E92" w:rsidRDefault="00665221" w:rsidP="00665221">
            <w:pPr>
              <w:spacing w:line="240" w:lineRule="auto"/>
              <w:jc w:val="center"/>
              <w:rPr>
                <w:rFonts w:cs="Arial"/>
                <w:color w:val="000000"/>
                <w:sz w:val="20"/>
                <w:szCs w:val="20"/>
              </w:rPr>
            </w:pPr>
          </w:p>
        </w:tc>
      </w:tr>
      <w:tr w:rsidR="00665221" w:rsidRPr="00665221" w14:paraId="4AE5526C" w14:textId="77777777" w:rsidTr="00936E92">
        <w:trPr>
          <w:trHeight w:val="270"/>
        </w:trPr>
        <w:tc>
          <w:tcPr>
            <w:tcW w:w="2268" w:type="dxa"/>
            <w:tcBorders>
              <w:top w:val="nil"/>
              <w:bottom w:val="nil"/>
              <w:right w:val="single" w:sz="4" w:space="0" w:color="auto"/>
            </w:tcBorders>
            <w:shd w:val="clear" w:color="auto" w:fill="F2F2F2"/>
            <w:vAlign w:val="bottom"/>
            <w:hideMark/>
          </w:tcPr>
          <w:p w14:paraId="37849CD1"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Osteoporosis</w:t>
            </w:r>
          </w:p>
        </w:tc>
        <w:tc>
          <w:tcPr>
            <w:tcW w:w="1346" w:type="dxa"/>
            <w:tcBorders>
              <w:top w:val="nil"/>
              <w:left w:val="single" w:sz="4" w:space="0" w:color="auto"/>
              <w:bottom w:val="nil"/>
              <w:right w:val="single" w:sz="4" w:space="0" w:color="auto"/>
            </w:tcBorders>
            <w:shd w:val="clear" w:color="auto" w:fill="FFFFFF"/>
          </w:tcPr>
          <w:p w14:paraId="7580BDB0"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28.6</w:t>
            </w:r>
          </w:p>
        </w:tc>
        <w:tc>
          <w:tcPr>
            <w:tcW w:w="1347" w:type="dxa"/>
            <w:tcBorders>
              <w:top w:val="nil"/>
              <w:left w:val="single" w:sz="4" w:space="0" w:color="auto"/>
              <w:bottom w:val="nil"/>
              <w:right w:val="single" w:sz="4" w:space="0" w:color="auto"/>
            </w:tcBorders>
            <w:shd w:val="clear" w:color="auto" w:fill="FFFFFF"/>
          </w:tcPr>
          <w:p w14:paraId="66F9F8E1"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5.0</w:t>
            </w:r>
          </w:p>
        </w:tc>
        <w:tc>
          <w:tcPr>
            <w:tcW w:w="1347" w:type="dxa"/>
            <w:tcBorders>
              <w:top w:val="nil"/>
              <w:left w:val="single" w:sz="4" w:space="0" w:color="auto"/>
              <w:bottom w:val="nil"/>
              <w:right w:val="single" w:sz="4" w:space="0" w:color="auto"/>
            </w:tcBorders>
            <w:shd w:val="clear" w:color="auto" w:fill="FFFFFF"/>
          </w:tcPr>
          <w:p w14:paraId="1ECDB7F7"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1347" w:type="dxa"/>
            <w:tcBorders>
              <w:top w:val="nil"/>
              <w:left w:val="single" w:sz="4" w:space="0" w:color="auto"/>
              <w:bottom w:val="nil"/>
              <w:right w:val="single" w:sz="4" w:space="0" w:color="auto"/>
            </w:tcBorders>
            <w:shd w:val="clear" w:color="auto" w:fill="FFFFFF"/>
          </w:tcPr>
          <w:p w14:paraId="55174B9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992" w:type="dxa"/>
            <w:tcBorders>
              <w:top w:val="nil"/>
              <w:left w:val="single" w:sz="4" w:space="0" w:color="auto"/>
              <w:bottom w:val="nil"/>
            </w:tcBorders>
            <w:shd w:val="clear" w:color="auto" w:fill="FFFFFF"/>
            <w:hideMark/>
          </w:tcPr>
          <w:p w14:paraId="79BC6115"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0.1126</w:t>
            </w:r>
          </w:p>
        </w:tc>
      </w:tr>
      <w:tr w:rsidR="00665221" w:rsidRPr="00665221" w14:paraId="195815DF" w14:textId="77777777" w:rsidTr="00936E92">
        <w:trPr>
          <w:trHeight w:val="270"/>
        </w:trPr>
        <w:tc>
          <w:tcPr>
            <w:tcW w:w="2268" w:type="dxa"/>
            <w:tcBorders>
              <w:top w:val="nil"/>
              <w:bottom w:val="nil"/>
              <w:right w:val="single" w:sz="4" w:space="0" w:color="auto"/>
            </w:tcBorders>
            <w:shd w:val="clear" w:color="auto" w:fill="F2F2F2"/>
            <w:vAlign w:val="bottom"/>
            <w:hideMark/>
          </w:tcPr>
          <w:p w14:paraId="5A97D35F"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Ischaemic Heart Disease </w:t>
            </w:r>
          </w:p>
        </w:tc>
        <w:tc>
          <w:tcPr>
            <w:tcW w:w="1346" w:type="dxa"/>
            <w:tcBorders>
              <w:top w:val="nil"/>
              <w:left w:val="single" w:sz="4" w:space="0" w:color="auto"/>
              <w:bottom w:val="nil"/>
              <w:right w:val="single" w:sz="4" w:space="0" w:color="auto"/>
            </w:tcBorders>
            <w:shd w:val="clear" w:color="auto" w:fill="FFFFFF"/>
          </w:tcPr>
          <w:p w14:paraId="0D94D10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bottom w:val="nil"/>
              <w:right w:val="single" w:sz="4" w:space="0" w:color="auto"/>
            </w:tcBorders>
            <w:shd w:val="clear" w:color="auto" w:fill="FFFFFF"/>
          </w:tcPr>
          <w:p w14:paraId="2124F55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5.0</w:t>
            </w:r>
          </w:p>
        </w:tc>
        <w:tc>
          <w:tcPr>
            <w:tcW w:w="1347" w:type="dxa"/>
            <w:tcBorders>
              <w:top w:val="nil"/>
              <w:left w:val="single" w:sz="4" w:space="0" w:color="auto"/>
              <w:bottom w:val="nil"/>
              <w:right w:val="single" w:sz="4" w:space="0" w:color="auto"/>
            </w:tcBorders>
            <w:shd w:val="clear" w:color="auto" w:fill="FFFFFF"/>
          </w:tcPr>
          <w:p w14:paraId="21E573C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1347" w:type="dxa"/>
            <w:tcBorders>
              <w:top w:val="nil"/>
              <w:left w:val="single" w:sz="4" w:space="0" w:color="auto"/>
              <w:bottom w:val="nil"/>
              <w:right w:val="single" w:sz="4" w:space="0" w:color="auto"/>
            </w:tcBorders>
            <w:shd w:val="clear" w:color="auto" w:fill="FFFFFF"/>
          </w:tcPr>
          <w:p w14:paraId="7A97A3A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14.3</w:t>
            </w:r>
          </w:p>
        </w:tc>
        <w:tc>
          <w:tcPr>
            <w:tcW w:w="992" w:type="dxa"/>
            <w:tcBorders>
              <w:top w:val="nil"/>
              <w:left w:val="single" w:sz="4" w:space="0" w:color="auto"/>
              <w:bottom w:val="nil"/>
            </w:tcBorders>
            <w:shd w:val="clear" w:color="auto" w:fill="FFFFFF"/>
            <w:hideMark/>
          </w:tcPr>
          <w:p w14:paraId="266F5D3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0.6514</w:t>
            </w:r>
          </w:p>
        </w:tc>
      </w:tr>
      <w:tr w:rsidR="00665221" w:rsidRPr="00665221" w14:paraId="2EE0AA31" w14:textId="77777777" w:rsidTr="00936E92">
        <w:trPr>
          <w:trHeight w:val="270"/>
        </w:trPr>
        <w:tc>
          <w:tcPr>
            <w:tcW w:w="2268" w:type="dxa"/>
            <w:tcBorders>
              <w:top w:val="nil"/>
              <w:bottom w:val="nil"/>
              <w:right w:val="single" w:sz="4" w:space="0" w:color="auto"/>
            </w:tcBorders>
            <w:shd w:val="clear" w:color="auto" w:fill="F2F2F2"/>
            <w:vAlign w:val="bottom"/>
            <w:hideMark/>
          </w:tcPr>
          <w:p w14:paraId="634BCE65"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Obstructive Sleep Apnoea </w:t>
            </w:r>
          </w:p>
        </w:tc>
        <w:tc>
          <w:tcPr>
            <w:tcW w:w="1346" w:type="dxa"/>
            <w:tcBorders>
              <w:top w:val="nil"/>
              <w:left w:val="single" w:sz="4" w:space="0" w:color="auto"/>
              <w:bottom w:val="nil"/>
              <w:right w:val="single" w:sz="4" w:space="0" w:color="auto"/>
            </w:tcBorders>
            <w:shd w:val="clear" w:color="auto" w:fill="FFFFFF"/>
          </w:tcPr>
          <w:p w14:paraId="6E39F65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1347" w:type="dxa"/>
            <w:tcBorders>
              <w:top w:val="nil"/>
              <w:left w:val="single" w:sz="4" w:space="0" w:color="auto"/>
              <w:bottom w:val="nil"/>
              <w:right w:val="single" w:sz="4" w:space="0" w:color="auto"/>
            </w:tcBorders>
            <w:shd w:val="clear" w:color="auto" w:fill="FFFFFF"/>
          </w:tcPr>
          <w:p w14:paraId="40AC7F4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5.0</w:t>
            </w:r>
          </w:p>
        </w:tc>
        <w:tc>
          <w:tcPr>
            <w:tcW w:w="1347" w:type="dxa"/>
            <w:tcBorders>
              <w:top w:val="nil"/>
              <w:left w:val="single" w:sz="4" w:space="0" w:color="auto"/>
              <w:bottom w:val="nil"/>
              <w:right w:val="single" w:sz="4" w:space="0" w:color="auto"/>
            </w:tcBorders>
            <w:shd w:val="clear" w:color="auto" w:fill="FFFFFF"/>
          </w:tcPr>
          <w:p w14:paraId="349AF965"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1347" w:type="dxa"/>
            <w:tcBorders>
              <w:top w:val="nil"/>
              <w:left w:val="single" w:sz="4" w:space="0" w:color="auto"/>
              <w:bottom w:val="nil"/>
              <w:right w:val="single" w:sz="4" w:space="0" w:color="auto"/>
            </w:tcBorders>
            <w:shd w:val="clear" w:color="auto" w:fill="FFFFFF"/>
          </w:tcPr>
          <w:p w14:paraId="385E592E"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23.8</w:t>
            </w:r>
          </w:p>
        </w:tc>
        <w:tc>
          <w:tcPr>
            <w:tcW w:w="992" w:type="dxa"/>
            <w:tcBorders>
              <w:top w:val="nil"/>
              <w:left w:val="single" w:sz="4" w:space="0" w:color="auto"/>
              <w:bottom w:val="nil"/>
            </w:tcBorders>
            <w:shd w:val="clear" w:color="auto" w:fill="FFFFFF"/>
            <w:hideMark/>
          </w:tcPr>
          <w:p w14:paraId="16900A1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0.2690</w:t>
            </w:r>
          </w:p>
        </w:tc>
      </w:tr>
      <w:tr w:rsidR="00665221" w:rsidRPr="00665221" w14:paraId="20FFEC84" w14:textId="77777777" w:rsidTr="00936E92">
        <w:trPr>
          <w:trHeight w:val="270"/>
        </w:trPr>
        <w:tc>
          <w:tcPr>
            <w:tcW w:w="2268" w:type="dxa"/>
            <w:tcBorders>
              <w:top w:val="nil"/>
              <w:bottom w:val="nil"/>
              <w:right w:val="single" w:sz="4" w:space="0" w:color="auto"/>
            </w:tcBorders>
            <w:shd w:val="clear" w:color="auto" w:fill="F2F2F2"/>
            <w:vAlign w:val="bottom"/>
            <w:hideMark/>
          </w:tcPr>
          <w:p w14:paraId="7BEDE15B"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Diabetes Mellitus</w:t>
            </w:r>
          </w:p>
        </w:tc>
        <w:tc>
          <w:tcPr>
            <w:tcW w:w="1346" w:type="dxa"/>
            <w:tcBorders>
              <w:top w:val="nil"/>
              <w:left w:val="single" w:sz="4" w:space="0" w:color="auto"/>
              <w:bottom w:val="nil"/>
              <w:right w:val="single" w:sz="4" w:space="0" w:color="auto"/>
            </w:tcBorders>
            <w:shd w:val="clear" w:color="auto" w:fill="FFFFFF"/>
          </w:tcPr>
          <w:p w14:paraId="6FEB4BCE"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1347" w:type="dxa"/>
            <w:tcBorders>
              <w:top w:val="nil"/>
              <w:left w:val="single" w:sz="4" w:space="0" w:color="auto"/>
              <w:bottom w:val="nil"/>
              <w:right w:val="single" w:sz="4" w:space="0" w:color="auto"/>
            </w:tcBorders>
            <w:shd w:val="clear" w:color="auto" w:fill="FFFFFF"/>
          </w:tcPr>
          <w:p w14:paraId="30C7FF7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5.0</w:t>
            </w:r>
          </w:p>
        </w:tc>
        <w:tc>
          <w:tcPr>
            <w:tcW w:w="1347" w:type="dxa"/>
            <w:tcBorders>
              <w:top w:val="nil"/>
              <w:left w:val="single" w:sz="4" w:space="0" w:color="auto"/>
              <w:bottom w:val="nil"/>
              <w:right w:val="single" w:sz="4" w:space="0" w:color="auto"/>
            </w:tcBorders>
            <w:shd w:val="clear" w:color="auto" w:fill="FFFFFF"/>
          </w:tcPr>
          <w:p w14:paraId="03A06C2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bottom w:val="nil"/>
              <w:right w:val="single" w:sz="4" w:space="0" w:color="auto"/>
            </w:tcBorders>
            <w:shd w:val="clear" w:color="auto" w:fill="FFFFFF"/>
          </w:tcPr>
          <w:p w14:paraId="3C61A135"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23.8</w:t>
            </w:r>
          </w:p>
        </w:tc>
        <w:tc>
          <w:tcPr>
            <w:tcW w:w="992" w:type="dxa"/>
            <w:tcBorders>
              <w:top w:val="nil"/>
              <w:left w:val="single" w:sz="4" w:space="0" w:color="auto"/>
              <w:bottom w:val="nil"/>
            </w:tcBorders>
            <w:shd w:val="clear" w:color="auto" w:fill="FFFFFF"/>
            <w:hideMark/>
          </w:tcPr>
          <w:p w14:paraId="087238F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0.1578</w:t>
            </w:r>
          </w:p>
        </w:tc>
      </w:tr>
      <w:tr w:rsidR="00665221" w:rsidRPr="00665221" w14:paraId="69C9085B" w14:textId="77777777" w:rsidTr="00936E92">
        <w:trPr>
          <w:trHeight w:val="270"/>
        </w:trPr>
        <w:tc>
          <w:tcPr>
            <w:tcW w:w="2268" w:type="dxa"/>
            <w:tcBorders>
              <w:top w:val="nil"/>
              <w:bottom w:val="nil"/>
              <w:right w:val="single" w:sz="4" w:space="0" w:color="auto"/>
            </w:tcBorders>
            <w:shd w:val="clear" w:color="auto" w:fill="F2F2F2"/>
            <w:vAlign w:val="bottom"/>
            <w:hideMark/>
          </w:tcPr>
          <w:p w14:paraId="152151CE"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Asthma Overlap </w:t>
            </w:r>
          </w:p>
        </w:tc>
        <w:tc>
          <w:tcPr>
            <w:tcW w:w="1346" w:type="dxa"/>
            <w:tcBorders>
              <w:top w:val="nil"/>
              <w:left w:val="single" w:sz="4" w:space="0" w:color="auto"/>
              <w:bottom w:val="nil"/>
              <w:right w:val="single" w:sz="4" w:space="0" w:color="auto"/>
            </w:tcBorders>
            <w:shd w:val="clear" w:color="auto" w:fill="FFFFFF"/>
          </w:tcPr>
          <w:p w14:paraId="3A4C1B1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1347" w:type="dxa"/>
            <w:tcBorders>
              <w:top w:val="nil"/>
              <w:left w:val="single" w:sz="4" w:space="0" w:color="auto"/>
              <w:bottom w:val="nil"/>
              <w:right w:val="single" w:sz="4" w:space="0" w:color="auto"/>
            </w:tcBorders>
            <w:shd w:val="clear" w:color="auto" w:fill="FFFFFF"/>
          </w:tcPr>
          <w:p w14:paraId="14B8E1C2"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10.0</w:t>
            </w:r>
          </w:p>
        </w:tc>
        <w:tc>
          <w:tcPr>
            <w:tcW w:w="1347" w:type="dxa"/>
            <w:tcBorders>
              <w:top w:val="nil"/>
              <w:left w:val="single" w:sz="4" w:space="0" w:color="auto"/>
              <w:bottom w:val="nil"/>
              <w:right w:val="single" w:sz="4" w:space="0" w:color="auto"/>
            </w:tcBorders>
            <w:shd w:val="clear" w:color="auto" w:fill="FFFFFF"/>
          </w:tcPr>
          <w:p w14:paraId="13B98820"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bottom w:val="nil"/>
              <w:right w:val="single" w:sz="4" w:space="0" w:color="auto"/>
            </w:tcBorders>
            <w:shd w:val="clear" w:color="auto" w:fill="FFFFFF"/>
          </w:tcPr>
          <w:p w14:paraId="4FA7F36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14.3</w:t>
            </w:r>
          </w:p>
        </w:tc>
        <w:tc>
          <w:tcPr>
            <w:tcW w:w="992" w:type="dxa"/>
            <w:tcBorders>
              <w:top w:val="nil"/>
              <w:left w:val="single" w:sz="4" w:space="0" w:color="auto"/>
              <w:bottom w:val="nil"/>
            </w:tcBorders>
            <w:shd w:val="clear" w:color="auto" w:fill="FFFFFF"/>
            <w:hideMark/>
          </w:tcPr>
          <w:p w14:paraId="79310CE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0.7777</w:t>
            </w:r>
          </w:p>
        </w:tc>
      </w:tr>
      <w:tr w:rsidR="00665221" w:rsidRPr="00665221" w14:paraId="43D35A7E" w14:textId="77777777" w:rsidTr="00936E92">
        <w:trPr>
          <w:trHeight w:val="270"/>
        </w:trPr>
        <w:tc>
          <w:tcPr>
            <w:tcW w:w="2268" w:type="dxa"/>
            <w:tcBorders>
              <w:top w:val="nil"/>
              <w:bottom w:val="nil"/>
              <w:right w:val="single" w:sz="4" w:space="0" w:color="auto"/>
            </w:tcBorders>
            <w:shd w:val="clear" w:color="auto" w:fill="F2F2F2"/>
            <w:vAlign w:val="bottom"/>
            <w:hideMark/>
          </w:tcPr>
          <w:p w14:paraId="6052706F"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Bronchiectasis </w:t>
            </w:r>
          </w:p>
        </w:tc>
        <w:tc>
          <w:tcPr>
            <w:tcW w:w="1346" w:type="dxa"/>
            <w:tcBorders>
              <w:top w:val="nil"/>
              <w:left w:val="single" w:sz="4" w:space="0" w:color="auto"/>
              <w:bottom w:val="nil"/>
              <w:right w:val="single" w:sz="4" w:space="0" w:color="auto"/>
            </w:tcBorders>
            <w:shd w:val="clear" w:color="auto" w:fill="FFFFFF"/>
          </w:tcPr>
          <w:p w14:paraId="55B0494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66F9469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5.0</w:t>
            </w:r>
          </w:p>
        </w:tc>
        <w:tc>
          <w:tcPr>
            <w:tcW w:w="1347" w:type="dxa"/>
            <w:tcBorders>
              <w:top w:val="nil"/>
              <w:left w:val="single" w:sz="4" w:space="0" w:color="auto"/>
              <w:bottom w:val="nil"/>
              <w:right w:val="single" w:sz="4" w:space="0" w:color="auto"/>
            </w:tcBorders>
            <w:shd w:val="clear" w:color="auto" w:fill="FFFFFF"/>
          </w:tcPr>
          <w:p w14:paraId="0417235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06B2C74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992" w:type="dxa"/>
            <w:tcBorders>
              <w:top w:val="nil"/>
              <w:left w:val="single" w:sz="4" w:space="0" w:color="auto"/>
              <w:bottom w:val="nil"/>
            </w:tcBorders>
            <w:shd w:val="clear" w:color="auto" w:fill="FFFFFF"/>
            <w:hideMark/>
          </w:tcPr>
          <w:p w14:paraId="13948587"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0.5515</w:t>
            </w:r>
          </w:p>
        </w:tc>
      </w:tr>
      <w:tr w:rsidR="00665221" w:rsidRPr="00665221" w14:paraId="26B2E465" w14:textId="77777777" w:rsidTr="00936E92">
        <w:trPr>
          <w:trHeight w:val="270"/>
        </w:trPr>
        <w:tc>
          <w:tcPr>
            <w:tcW w:w="2268" w:type="dxa"/>
            <w:tcBorders>
              <w:top w:val="nil"/>
              <w:bottom w:val="nil"/>
              <w:right w:val="single" w:sz="4" w:space="0" w:color="auto"/>
            </w:tcBorders>
            <w:shd w:val="clear" w:color="auto" w:fill="F2F2F2"/>
            <w:vAlign w:val="bottom"/>
            <w:hideMark/>
          </w:tcPr>
          <w:p w14:paraId="1E43746F"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Atrial Fibrillation </w:t>
            </w:r>
          </w:p>
        </w:tc>
        <w:tc>
          <w:tcPr>
            <w:tcW w:w="1346" w:type="dxa"/>
            <w:tcBorders>
              <w:top w:val="nil"/>
              <w:left w:val="single" w:sz="4" w:space="0" w:color="auto"/>
              <w:bottom w:val="nil"/>
              <w:right w:val="single" w:sz="4" w:space="0" w:color="auto"/>
            </w:tcBorders>
            <w:shd w:val="clear" w:color="auto" w:fill="FFFFFF"/>
          </w:tcPr>
          <w:p w14:paraId="1CD685F1"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14.3</w:t>
            </w:r>
          </w:p>
        </w:tc>
        <w:tc>
          <w:tcPr>
            <w:tcW w:w="1347" w:type="dxa"/>
            <w:tcBorders>
              <w:top w:val="nil"/>
              <w:left w:val="single" w:sz="4" w:space="0" w:color="auto"/>
              <w:bottom w:val="nil"/>
              <w:right w:val="single" w:sz="4" w:space="0" w:color="auto"/>
            </w:tcBorders>
            <w:shd w:val="clear" w:color="auto" w:fill="FFFFFF"/>
          </w:tcPr>
          <w:p w14:paraId="6CDD2A31"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15.0</w:t>
            </w:r>
          </w:p>
        </w:tc>
        <w:tc>
          <w:tcPr>
            <w:tcW w:w="1347" w:type="dxa"/>
            <w:tcBorders>
              <w:top w:val="nil"/>
              <w:left w:val="single" w:sz="4" w:space="0" w:color="auto"/>
              <w:bottom w:val="nil"/>
              <w:right w:val="single" w:sz="4" w:space="0" w:color="auto"/>
            </w:tcBorders>
            <w:shd w:val="clear" w:color="auto" w:fill="FFFFFF"/>
          </w:tcPr>
          <w:p w14:paraId="7BA88A1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bottom w:val="nil"/>
              <w:right w:val="single" w:sz="4" w:space="0" w:color="auto"/>
            </w:tcBorders>
            <w:shd w:val="clear" w:color="auto" w:fill="FFFFFF"/>
          </w:tcPr>
          <w:p w14:paraId="0BC7858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992" w:type="dxa"/>
            <w:tcBorders>
              <w:top w:val="nil"/>
              <w:left w:val="single" w:sz="4" w:space="0" w:color="auto"/>
              <w:bottom w:val="nil"/>
            </w:tcBorders>
            <w:shd w:val="clear" w:color="auto" w:fill="FFFFFF"/>
            <w:hideMark/>
          </w:tcPr>
          <w:p w14:paraId="005A63CA"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0.5072</w:t>
            </w:r>
          </w:p>
        </w:tc>
      </w:tr>
      <w:tr w:rsidR="00665221" w:rsidRPr="00665221" w14:paraId="358646E8" w14:textId="77777777" w:rsidTr="00936E92">
        <w:trPr>
          <w:trHeight w:val="270"/>
        </w:trPr>
        <w:tc>
          <w:tcPr>
            <w:tcW w:w="2268" w:type="dxa"/>
            <w:tcBorders>
              <w:top w:val="nil"/>
              <w:bottom w:val="nil"/>
              <w:right w:val="single" w:sz="4" w:space="0" w:color="auto"/>
            </w:tcBorders>
            <w:shd w:val="clear" w:color="auto" w:fill="F2F2F2"/>
            <w:vAlign w:val="bottom"/>
            <w:hideMark/>
          </w:tcPr>
          <w:p w14:paraId="37F0D062"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Heart Failure </w:t>
            </w:r>
          </w:p>
        </w:tc>
        <w:tc>
          <w:tcPr>
            <w:tcW w:w="1346" w:type="dxa"/>
            <w:tcBorders>
              <w:top w:val="nil"/>
              <w:left w:val="single" w:sz="4" w:space="0" w:color="auto"/>
              <w:bottom w:val="nil"/>
              <w:right w:val="single" w:sz="4" w:space="0" w:color="auto"/>
            </w:tcBorders>
            <w:shd w:val="clear" w:color="auto" w:fill="FFFFFF"/>
          </w:tcPr>
          <w:p w14:paraId="2C7711B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14.3</w:t>
            </w:r>
          </w:p>
        </w:tc>
        <w:tc>
          <w:tcPr>
            <w:tcW w:w="1347" w:type="dxa"/>
            <w:tcBorders>
              <w:top w:val="nil"/>
              <w:left w:val="single" w:sz="4" w:space="0" w:color="auto"/>
              <w:bottom w:val="nil"/>
              <w:right w:val="single" w:sz="4" w:space="0" w:color="auto"/>
            </w:tcBorders>
            <w:shd w:val="clear" w:color="auto" w:fill="FFFFFF"/>
          </w:tcPr>
          <w:p w14:paraId="6EEFC30A"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10.0</w:t>
            </w:r>
          </w:p>
        </w:tc>
        <w:tc>
          <w:tcPr>
            <w:tcW w:w="1347" w:type="dxa"/>
            <w:tcBorders>
              <w:top w:val="nil"/>
              <w:left w:val="single" w:sz="4" w:space="0" w:color="auto"/>
              <w:bottom w:val="nil"/>
              <w:right w:val="single" w:sz="4" w:space="0" w:color="auto"/>
            </w:tcBorders>
            <w:shd w:val="clear" w:color="auto" w:fill="FFFFFF"/>
          </w:tcPr>
          <w:p w14:paraId="7F1A58D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14.3</w:t>
            </w:r>
          </w:p>
        </w:tc>
        <w:tc>
          <w:tcPr>
            <w:tcW w:w="1347" w:type="dxa"/>
            <w:tcBorders>
              <w:top w:val="nil"/>
              <w:left w:val="single" w:sz="4" w:space="0" w:color="auto"/>
              <w:bottom w:val="nil"/>
              <w:right w:val="single" w:sz="4" w:space="0" w:color="auto"/>
            </w:tcBorders>
            <w:shd w:val="clear" w:color="auto" w:fill="FFFFFF"/>
          </w:tcPr>
          <w:p w14:paraId="30CFBE1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992" w:type="dxa"/>
            <w:tcBorders>
              <w:top w:val="nil"/>
              <w:left w:val="single" w:sz="4" w:space="0" w:color="auto"/>
              <w:bottom w:val="nil"/>
            </w:tcBorders>
            <w:shd w:val="clear" w:color="auto" w:fill="FFFFFF"/>
            <w:hideMark/>
          </w:tcPr>
          <w:p w14:paraId="2CBBA3C3"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0.7213</w:t>
            </w:r>
          </w:p>
        </w:tc>
      </w:tr>
      <w:tr w:rsidR="00665221" w:rsidRPr="00665221" w14:paraId="0DB93CBB" w14:textId="77777777" w:rsidTr="00936E92">
        <w:trPr>
          <w:trHeight w:val="270"/>
        </w:trPr>
        <w:tc>
          <w:tcPr>
            <w:tcW w:w="2268" w:type="dxa"/>
            <w:tcBorders>
              <w:top w:val="nil"/>
              <w:bottom w:val="nil"/>
              <w:right w:val="single" w:sz="4" w:space="0" w:color="auto"/>
            </w:tcBorders>
            <w:shd w:val="clear" w:color="auto" w:fill="F2F2F2"/>
            <w:vAlign w:val="bottom"/>
            <w:hideMark/>
          </w:tcPr>
          <w:p w14:paraId="7B5B0EAA"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Cerebrovascular Disease </w:t>
            </w:r>
          </w:p>
        </w:tc>
        <w:tc>
          <w:tcPr>
            <w:tcW w:w="1346" w:type="dxa"/>
            <w:tcBorders>
              <w:top w:val="nil"/>
              <w:left w:val="single" w:sz="4" w:space="0" w:color="auto"/>
              <w:bottom w:val="nil"/>
              <w:right w:val="single" w:sz="4" w:space="0" w:color="auto"/>
            </w:tcBorders>
            <w:shd w:val="clear" w:color="auto" w:fill="FFFFFF"/>
          </w:tcPr>
          <w:p w14:paraId="6F4E8E8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33BF047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421C572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5449276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992" w:type="dxa"/>
            <w:tcBorders>
              <w:top w:val="nil"/>
              <w:left w:val="single" w:sz="4" w:space="0" w:color="auto"/>
              <w:bottom w:val="nil"/>
            </w:tcBorders>
            <w:shd w:val="clear" w:color="auto" w:fill="FFFFFF"/>
            <w:hideMark/>
          </w:tcPr>
          <w:p w14:paraId="157A3E6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NA</w:t>
            </w:r>
          </w:p>
        </w:tc>
      </w:tr>
      <w:tr w:rsidR="00665221" w:rsidRPr="00665221" w14:paraId="15846C7A" w14:textId="77777777" w:rsidTr="00936E92">
        <w:trPr>
          <w:trHeight w:val="270"/>
        </w:trPr>
        <w:tc>
          <w:tcPr>
            <w:tcW w:w="2268" w:type="dxa"/>
            <w:tcBorders>
              <w:top w:val="nil"/>
              <w:bottom w:val="nil"/>
              <w:right w:val="single" w:sz="4" w:space="0" w:color="auto"/>
            </w:tcBorders>
            <w:shd w:val="clear" w:color="auto" w:fill="F2F2F2"/>
            <w:vAlign w:val="bottom"/>
            <w:hideMark/>
          </w:tcPr>
          <w:p w14:paraId="165B8BB5"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Pulmonary Fibrosis </w:t>
            </w:r>
          </w:p>
        </w:tc>
        <w:tc>
          <w:tcPr>
            <w:tcW w:w="1346" w:type="dxa"/>
            <w:tcBorders>
              <w:top w:val="nil"/>
              <w:left w:val="single" w:sz="4" w:space="0" w:color="auto"/>
              <w:bottom w:val="nil"/>
              <w:right w:val="single" w:sz="4" w:space="0" w:color="auto"/>
            </w:tcBorders>
            <w:shd w:val="clear" w:color="auto" w:fill="FFFFFF"/>
          </w:tcPr>
          <w:p w14:paraId="510B53F4"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3AA09022"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3CC62FA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1A20236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992" w:type="dxa"/>
            <w:tcBorders>
              <w:top w:val="nil"/>
              <w:left w:val="single" w:sz="4" w:space="0" w:color="auto"/>
              <w:bottom w:val="nil"/>
            </w:tcBorders>
            <w:shd w:val="clear" w:color="auto" w:fill="FFFFFF"/>
            <w:hideMark/>
          </w:tcPr>
          <w:p w14:paraId="5DFB875A"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NA</w:t>
            </w:r>
          </w:p>
        </w:tc>
      </w:tr>
      <w:tr w:rsidR="00665221" w:rsidRPr="00665221" w14:paraId="7C56136A" w14:textId="77777777" w:rsidTr="00936E92">
        <w:trPr>
          <w:trHeight w:val="270"/>
        </w:trPr>
        <w:tc>
          <w:tcPr>
            <w:tcW w:w="2268" w:type="dxa"/>
            <w:tcBorders>
              <w:top w:val="nil"/>
              <w:bottom w:val="nil"/>
              <w:right w:val="single" w:sz="4" w:space="0" w:color="auto"/>
            </w:tcBorders>
            <w:shd w:val="clear" w:color="auto" w:fill="F2F2F2"/>
            <w:vAlign w:val="bottom"/>
            <w:hideMark/>
          </w:tcPr>
          <w:p w14:paraId="14424390"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Pulmonary Hypertension </w:t>
            </w:r>
          </w:p>
        </w:tc>
        <w:tc>
          <w:tcPr>
            <w:tcW w:w="1346" w:type="dxa"/>
            <w:tcBorders>
              <w:top w:val="nil"/>
              <w:left w:val="single" w:sz="4" w:space="0" w:color="auto"/>
              <w:bottom w:val="nil"/>
              <w:right w:val="single" w:sz="4" w:space="0" w:color="auto"/>
            </w:tcBorders>
            <w:shd w:val="clear" w:color="auto" w:fill="FFFFFF"/>
          </w:tcPr>
          <w:p w14:paraId="4D26AA7A"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bottom w:val="nil"/>
              <w:right w:val="single" w:sz="4" w:space="0" w:color="auto"/>
            </w:tcBorders>
            <w:shd w:val="clear" w:color="auto" w:fill="FFFFFF"/>
          </w:tcPr>
          <w:p w14:paraId="5F66E8E1"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0A00E26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5EFB052D"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992" w:type="dxa"/>
            <w:tcBorders>
              <w:top w:val="nil"/>
              <w:left w:val="single" w:sz="4" w:space="0" w:color="auto"/>
              <w:bottom w:val="nil"/>
            </w:tcBorders>
            <w:shd w:val="clear" w:color="auto" w:fill="FFFFFF"/>
            <w:hideMark/>
          </w:tcPr>
          <w:p w14:paraId="5F02752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0.3934</w:t>
            </w:r>
          </w:p>
        </w:tc>
      </w:tr>
      <w:tr w:rsidR="00665221" w:rsidRPr="00665221" w14:paraId="1B7B0DEA" w14:textId="77777777" w:rsidTr="00936E92">
        <w:trPr>
          <w:trHeight w:val="270"/>
        </w:trPr>
        <w:tc>
          <w:tcPr>
            <w:tcW w:w="2268" w:type="dxa"/>
            <w:tcBorders>
              <w:top w:val="nil"/>
              <w:bottom w:val="nil"/>
              <w:right w:val="single" w:sz="4" w:space="0" w:color="auto"/>
            </w:tcBorders>
            <w:shd w:val="clear" w:color="auto" w:fill="F2F2F2"/>
            <w:vAlign w:val="bottom"/>
            <w:hideMark/>
          </w:tcPr>
          <w:p w14:paraId="0D33C212"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Previous Pneumothorax </w:t>
            </w:r>
          </w:p>
        </w:tc>
        <w:tc>
          <w:tcPr>
            <w:tcW w:w="1346" w:type="dxa"/>
            <w:tcBorders>
              <w:top w:val="nil"/>
              <w:left w:val="single" w:sz="4" w:space="0" w:color="auto"/>
              <w:bottom w:val="nil"/>
              <w:right w:val="single" w:sz="4" w:space="0" w:color="auto"/>
            </w:tcBorders>
            <w:shd w:val="clear" w:color="auto" w:fill="FFFFFF"/>
          </w:tcPr>
          <w:p w14:paraId="15A8EA0F"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bottom w:val="nil"/>
              <w:right w:val="single" w:sz="4" w:space="0" w:color="auto"/>
            </w:tcBorders>
            <w:shd w:val="clear" w:color="auto" w:fill="FFFFFF"/>
          </w:tcPr>
          <w:p w14:paraId="0C27F9C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74A6D15C"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bottom w:val="nil"/>
              <w:right w:val="single" w:sz="4" w:space="0" w:color="auto"/>
            </w:tcBorders>
            <w:shd w:val="clear" w:color="auto" w:fill="FFFFFF"/>
          </w:tcPr>
          <w:p w14:paraId="3EBAB6D9"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992" w:type="dxa"/>
            <w:tcBorders>
              <w:top w:val="nil"/>
              <w:left w:val="single" w:sz="4" w:space="0" w:color="auto"/>
              <w:bottom w:val="nil"/>
            </w:tcBorders>
            <w:shd w:val="clear" w:color="auto" w:fill="FFFFFF"/>
            <w:hideMark/>
          </w:tcPr>
          <w:p w14:paraId="1C058990"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0.5723</w:t>
            </w:r>
          </w:p>
        </w:tc>
      </w:tr>
      <w:tr w:rsidR="00665221" w:rsidRPr="00665221" w14:paraId="38E5B1D3" w14:textId="77777777" w:rsidTr="00936E92">
        <w:trPr>
          <w:trHeight w:val="270"/>
        </w:trPr>
        <w:tc>
          <w:tcPr>
            <w:tcW w:w="2268" w:type="dxa"/>
            <w:tcBorders>
              <w:top w:val="nil"/>
              <w:bottom w:val="nil"/>
              <w:right w:val="single" w:sz="4" w:space="0" w:color="auto"/>
            </w:tcBorders>
            <w:shd w:val="clear" w:color="auto" w:fill="F2F2F2"/>
            <w:vAlign w:val="bottom"/>
            <w:hideMark/>
          </w:tcPr>
          <w:p w14:paraId="5AD1911D"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Deep Vein Thrombosis or pulmonary Thromboembolism </w:t>
            </w:r>
          </w:p>
        </w:tc>
        <w:tc>
          <w:tcPr>
            <w:tcW w:w="1346" w:type="dxa"/>
            <w:tcBorders>
              <w:top w:val="nil"/>
              <w:left w:val="single" w:sz="4" w:space="0" w:color="auto"/>
              <w:bottom w:val="nil"/>
              <w:right w:val="single" w:sz="4" w:space="0" w:color="auto"/>
            </w:tcBorders>
            <w:shd w:val="clear" w:color="auto" w:fill="FFFFFF"/>
          </w:tcPr>
          <w:p w14:paraId="34B8EDD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9.5</w:t>
            </w:r>
          </w:p>
        </w:tc>
        <w:tc>
          <w:tcPr>
            <w:tcW w:w="1347" w:type="dxa"/>
            <w:tcBorders>
              <w:top w:val="nil"/>
              <w:left w:val="single" w:sz="4" w:space="0" w:color="auto"/>
              <w:bottom w:val="nil"/>
              <w:right w:val="single" w:sz="4" w:space="0" w:color="auto"/>
            </w:tcBorders>
            <w:shd w:val="clear" w:color="auto" w:fill="FFFFFF"/>
          </w:tcPr>
          <w:p w14:paraId="3588FE97"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5.0</w:t>
            </w:r>
          </w:p>
        </w:tc>
        <w:tc>
          <w:tcPr>
            <w:tcW w:w="1347" w:type="dxa"/>
            <w:tcBorders>
              <w:top w:val="nil"/>
              <w:left w:val="single" w:sz="4" w:space="0" w:color="auto"/>
              <w:bottom w:val="nil"/>
              <w:right w:val="single" w:sz="4" w:space="0" w:color="auto"/>
            </w:tcBorders>
            <w:shd w:val="clear" w:color="auto" w:fill="FFFFFF"/>
          </w:tcPr>
          <w:p w14:paraId="639BA425"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bottom w:val="nil"/>
              <w:right w:val="single" w:sz="4" w:space="0" w:color="auto"/>
            </w:tcBorders>
            <w:shd w:val="clear" w:color="auto" w:fill="FFFFFF"/>
          </w:tcPr>
          <w:p w14:paraId="64F50F9B"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992" w:type="dxa"/>
            <w:tcBorders>
              <w:top w:val="nil"/>
              <w:left w:val="single" w:sz="4" w:space="0" w:color="auto"/>
              <w:bottom w:val="nil"/>
            </w:tcBorders>
            <w:shd w:val="clear" w:color="auto" w:fill="FFFFFF"/>
            <w:hideMark/>
          </w:tcPr>
          <w:p w14:paraId="2864AA4A"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0.285</w:t>
            </w:r>
          </w:p>
        </w:tc>
      </w:tr>
      <w:tr w:rsidR="00665221" w:rsidRPr="00665221" w14:paraId="5FB2D281" w14:textId="77777777" w:rsidTr="00936E92">
        <w:trPr>
          <w:trHeight w:val="270"/>
        </w:trPr>
        <w:tc>
          <w:tcPr>
            <w:tcW w:w="2268" w:type="dxa"/>
            <w:tcBorders>
              <w:top w:val="nil"/>
              <w:right w:val="single" w:sz="4" w:space="0" w:color="auto"/>
            </w:tcBorders>
            <w:shd w:val="clear" w:color="auto" w:fill="F2F2F2"/>
            <w:vAlign w:val="bottom"/>
            <w:hideMark/>
          </w:tcPr>
          <w:p w14:paraId="5EE3B66E" w14:textId="77777777" w:rsidR="00665221" w:rsidRPr="00936E92" w:rsidRDefault="00665221" w:rsidP="00665221">
            <w:pPr>
              <w:spacing w:line="240" w:lineRule="auto"/>
              <w:rPr>
                <w:rFonts w:cs="Arial"/>
                <w:b/>
                <w:bCs/>
                <w:color w:val="000000"/>
                <w:sz w:val="20"/>
                <w:szCs w:val="20"/>
              </w:rPr>
            </w:pPr>
            <w:r w:rsidRPr="00936E92">
              <w:rPr>
                <w:rFonts w:cs="Arial"/>
                <w:b/>
                <w:bCs/>
                <w:color w:val="000000"/>
                <w:sz w:val="20"/>
                <w:szCs w:val="20"/>
                <w:lang w:val="en-GB"/>
              </w:rPr>
              <w:t xml:space="preserve">Lung Cancer </w:t>
            </w:r>
          </w:p>
        </w:tc>
        <w:tc>
          <w:tcPr>
            <w:tcW w:w="1346" w:type="dxa"/>
            <w:tcBorders>
              <w:top w:val="nil"/>
              <w:left w:val="single" w:sz="4" w:space="0" w:color="auto"/>
              <w:right w:val="single" w:sz="4" w:space="0" w:color="auto"/>
            </w:tcBorders>
            <w:shd w:val="clear" w:color="auto" w:fill="FFFFFF"/>
          </w:tcPr>
          <w:p w14:paraId="60DA7E70"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4.8</w:t>
            </w:r>
          </w:p>
        </w:tc>
        <w:tc>
          <w:tcPr>
            <w:tcW w:w="1347" w:type="dxa"/>
            <w:tcBorders>
              <w:top w:val="nil"/>
              <w:left w:val="single" w:sz="4" w:space="0" w:color="auto"/>
              <w:right w:val="single" w:sz="4" w:space="0" w:color="auto"/>
            </w:tcBorders>
            <w:shd w:val="clear" w:color="auto" w:fill="FFFFFF"/>
          </w:tcPr>
          <w:p w14:paraId="39317EC8"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right w:val="single" w:sz="4" w:space="0" w:color="auto"/>
            </w:tcBorders>
            <w:shd w:val="clear" w:color="auto" w:fill="FFFFFF"/>
          </w:tcPr>
          <w:p w14:paraId="3AD98E4E"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1347" w:type="dxa"/>
            <w:tcBorders>
              <w:top w:val="nil"/>
              <w:left w:val="single" w:sz="4" w:space="0" w:color="auto"/>
              <w:right w:val="single" w:sz="4" w:space="0" w:color="auto"/>
            </w:tcBorders>
            <w:shd w:val="clear" w:color="auto" w:fill="FFFFFF"/>
          </w:tcPr>
          <w:p w14:paraId="47352366"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rPr>
              <w:t>0.0</w:t>
            </w:r>
          </w:p>
        </w:tc>
        <w:tc>
          <w:tcPr>
            <w:tcW w:w="992" w:type="dxa"/>
            <w:tcBorders>
              <w:top w:val="nil"/>
              <w:left w:val="single" w:sz="4" w:space="0" w:color="auto"/>
            </w:tcBorders>
            <w:shd w:val="clear" w:color="auto" w:fill="FFFFFF"/>
            <w:hideMark/>
          </w:tcPr>
          <w:p w14:paraId="5C9BCA75" w14:textId="77777777" w:rsidR="00665221" w:rsidRPr="00936E92" w:rsidRDefault="00665221" w:rsidP="00665221">
            <w:pPr>
              <w:spacing w:line="240" w:lineRule="auto"/>
              <w:jc w:val="center"/>
              <w:rPr>
                <w:rFonts w:cs="Arial"/>
                <w:color w:val="000000"/>
                <w:sz w:val="20"/>
                <w:szCs w:val="20"/>
              </w:rPr>
            </w:pPr>
            <w:r w:rsidRPr="00936E92">
              <w:rPr>
                <w:rFonts w:cs="Arial"/>
                <w:color w:val="000000"/>
                <w:sz w:val="20"/>
                <w:szCs w:val="20"/>
                <w:lang w:val="en-GB"/>
              </w:rPr>
              <w:t>0.3934</w:t>
            </w:r>
          </w:p>
        </w:tc>
      </w:tr>
    </w:tbl>
    <w:p w14:paraId="19D10551" w14:textId="0872C659" w:rsidR="0077728C" w:rsidRDefault="0077728C" w:rsidP="0077728C">
      <w:r>
        <w:rPr>
          <w:b/>
          <w:bCs/>
        </w:rPr>
        <w:t>Notes:</w:t>
      </w:r>
      <w:r>
        <w:t xml:space="preserve"> </w:t>
      </w:r>
      <w:r w:rsidR="008501E0" w:rsidRPr="0077728C">
        <w:t>Utilization is defined as the mean number of entries completed in the previous seven-days at each possible point over the first year of follow-up</w:t>
      </w:r>
      <w:r w:rsidR="008501E0">
        <w:t xml:space="preserve">. </w:t>
      </w:r>
      <w:r w:rsidRPr="0077728C">
        <w:t xml:space="preserve">The p-value from statistical analysis to determine the significance of the difference </w:t>
      </w:r>
      <w:r w:rsidR="009F4132">
        <w:t xml:space="preserve">in each characteristic </w:t>
      </w:r>
      <w:r w:rsidRPr="0077728C">
        <w:t>between quartiles is also shown (Kruskal-Wallis</w:t>
      </w:r>
      <w:r>
        <w:t xml:space="preserve"> test</w:t>
      </w:r>
      <w:r w:rsidRPr="0077728C">
        <w:t xml:space="preserve"> or Chi-square test as appropriate). NA is shown when no incidences of a binary feature were observed.</w:t>
      </w:r>
    </w:p>
    <w:p w14:paraId="4205A654" w14:textId="77777777" w:rsidR="0077728C" w:rsidRPr="0077728C" w:rsidRDefault="0077728C" w:rsidP="00665221">
      <w:pPr>
        <w:spacing w:after="160" w:line="259" w:lineRule="auto"/>
        <w:rPr>
          <w:rFonts w:eastAsia="Calibri" w:cs="Arial"/>
          <w:sz w:val="22"/>
          <w:szCs w:val="22"/>
        </w:rPr>
      </w:pPr>
    </w:p>
    <w:p w14:paraId="78902DBE" w14:textId="77777777" w:rsidR="008F193E" w:rsidRDefault="008F193E" w:rsidP="00EE0017">
      <w:pPr>
        <w:rPr>
          <w:b/>
          <w:bCs/>
        </w:rPr>
      </w:pPr>
    </w:p>
    <w:p w14:paraId="13825DF1" w14:textId="77777777" w:rsidR="008F193E" w:rsidRDefault="008F193E" w:rsidP="00EE0017">
      <w:pPr>
        <w:rPr>
          <w:b/>
          <w:bCs/>
        </w:rPr>
      </w:pPr>
    </w:p>
    <w:p w14:paraId="59386179" w14:textId="77777777" w:rsidR="008F193E" w:rsidRDefault="008F193E" w:rsidP="00EE0017">
      <w:pPr>
        <w:rPr>
          <w:b/>
          <w:bCs/>
        </w:rPr>
      </w:pPr>
    </w:p>
    <w:p w14:paraId="60A0ED1E" w14:textId="77777777" w:rsidR="008F193E" w:rsidRDefault="008F193E" w:rsidP="00EE0017">
      <w:pPr>
        <w:rPr>
          <w:b/>
          <w:bCs/>
        </w:rPr>
      </w:pPr>
    </w:p>
    <w:p w14:paraId="59D9B621" w14:textId="4D12CAAE" w:rsidR="00654D90" w:rsidRDefault="00802A97" w:rsidP="00EE0017">
      <w:r w:rsidRPr="00802A97">
        <w:rPr>
          <w:b/>
          <w:bCs/>
        </w:rPr>
        <w:lastRenderedPageBreak/>
        <w:t>Supplementary Table 4</w:t>
      </w:r>
      <w:r w:rsidRPr="00802A97">
        <w:t xml:space="preserve"> Table showing the COPD or respiratory-related admission and occupied bed day count over the first year of follow-up for RECEIVER participants in each of the four utilization quartiles</w:t>
      </w:r>
    </w:p>
    <w:tbl>
      <w:tblPr>
        <w:tblStyle w:val="TableGrid"/>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68"/>
        <w:gridCol w:w="1346"/>
        <w:gridCol w:w="1347"/>
        <w:gridCol w:w="1347"/>
        <w:gridCol w:w="1347"/>
        <w:gridCol w:w="992"/>
      </w:tblGrid>
      <w:tr w:rsidR="00654D90" w:rsidRPr="00FE449E" w14:paraId="32BAE827" w14:textId="77777777" w:rsidTr="009F4132">
        <w:trPr>
          <w:trHeight w:val="1266"/>
        </w:trPr>
        <w:tc>
          <w:tcPr>
            <w:tcW w:w="2268" w:type="dxa"/>
            <w:shd w:val="clear" w:color="auto" w:fill="F2F2F2" w:themeFill="background1" w:themeFillShade="F2"/>
            <w:vAlign w:val="bottom"/>
            <w:hideMark/>
          </w:tcPr>
          <w:p w14:paraId="229B043F" w14:textId="77777777" w:rsidR="00654D90" w:rsidRPr="00FE449E" w:rsidRDefault="00654D90" w:rsidP="001D044D">
            <w:pPr>
              <w:rPr>
                <w:rFonts w:cs="Arial"/>
                <w:color w:val="0D0D0D" w:themeColor="text1" w:themeTint="F2"/>
              </w:rPr>
            </w:pPr>
          </w:p>
        </w:tc>
        <w:tc>
          <w:tcPr>
            <w:tcW w:w="1346" w:type="dxa"/>
            <w:shd w:val="clear" w:color="auto" w:fill="F2F2F2" w:themeFill="background1" w:themeFillShade="F2"/>
          </w:tcPr>
          <w:p w14:paraId="2FFEB85C" w14:textId="3DDEB9D3" w:rsidR="00654D90" w:rsidRPr="009F4132" w:rsidRDefault="009F4132" w:rsidP="009F4132">
            <w:pPr>
              <w:spacing w:after="160" w:line="259" w:lineRule="auto"/>
              <w:jc w:val="center"/>
              <w:rPr>
                <w:rFonts w:eastAsiaTheme="minorHAnsi" w:cs="Arial"/>
                <w:sz w:val="20"/>
                <w:szCs w:val="20"/>
              </w:rPr>
            </w:pPr>
            <w:r w:rsidRPr="009F4132">
              <w:rPr>
                <w:rFonts w:eastAsiaTheme="minorHAnsi" w:cs="Arial"/>
                <w:b/>
                <w:bCs/>
                <w:color w:val="0D0D0D" w:themeColor="text1" w:themeTint="F2"/>
                <w:sz w:val="20"/>
                <w:szCs w:val="20"/>
              </w:rPr>
              <w:t>Very regular users (Quartile 4), n = 20</w:t>
            </w:r>
          </w:p>
        </w:tc>
        <w:tc>
          <w:tcPr>
            <w:tcW w:w="1347" w:type="dxa"/>
            <w:shd w:val="clear" w:color="auto" w:fill="F2F2F2" w:themeFill="background1" w:themeFillShade="F2"/>
          </w:tcPr>
          <w:p w14:paraId="59F3623C" w14:textId="1DAAAA31" w:rsidR="00654D90" w:rsidRPr="009F4132" w:rsidRDefault="009F4132" w:rsidP="009F4132">
            <w:pPr>
              <w:spacing w:after="160" w:line="259" w:lineRule="auto"/>
              <w:jc w:val="center"/>
              <w:rPr>
                <w:rFonts w:eastAsiaTheme="minorHAnsi" w:cs="Arial"/>
                <w:b/>
                <w:bCs/>
                <w:sz w:val="20"/>
                <w:szCs w:val="20"/>
              </w:rPr>
            </w:pPr>
            <w:r w:rsidRPr="009F4132">
              <w:rPr>
                <w:rFonts w:eastAsiaTheme="minorHAnsi" w:cs="Arial"/>
                <w:b/>
                <w:bCs/>
                <w:sz w:val="20"/>
                <w:szCs w:val="20"/>
              </w:rPr>
              <w:t>Regular users (Quartile 3), n = 16</w:t>
            </w:r>
          </w:p>
        </w:tc>
        <w:tc>
          <w:tcPr>
            <w:tcW w:w="1347" w:type="dxa"/>
            <w:shd w:val="clear" w:color="auto" w:fill="F2F2F2" w:themeFill="background1" w:themeFillShade="F2"/>
          </w:tcPr>
          <w:p w14:paraId="690C7634" w14:textId="702CF0D3" w:rsidR="00654D90" w:rsidRPr="009F4132" w:rsidRDefault="009F4132" w:rsidP="009F4132">
            <w:pPr>
              <w:spacing w:after="160" w:line="259" w:lineRule="auto"/>
              <w:jc w:val="center"/>
              <w:rPr>
                <w:rFonts w:eastAsiaTheme="minorHAnsi" w:cs="Arial"/>
                <w:b/>
                <w:bCs/>
                <w:sz w:val="20"/>
                <w:szCs w:val="20"/>
              </w:rPr>
            </w:pPr>
            <w:r w:rsidRPr="009F4132">
              <w:rPr>
                <w:rFonts w:eastAsiaTheme="minorHAnsi" w:cs="Arial"/>
                <w:b/>
                <w:bCs/>
                <w:sz w:val="20"/>
                <w:szCs w:val="20"/>
              </w:rPr>
              <w:t>Intermittent users (Quartile 2), n = 16</w:t>
            </w:r>
          </w:p>
        </w:tc>
        <w:tc>
          <w:tcPr>
            <w:tcW w:w="1347" w:type="dxa"/>
            <w:shd w:val="clear" w:color="auto" w:fill="F2F2F2" w:themeFill="background1" w:themeFillShade="F2"/>
          </w:tcPr>
          <w:p w14:paraId="1E1FA400" w14:textId="67A35815" w:rsidR="00654D90" w:rsidRPr="009F4132" w:rsidRDefault="009F4132" w:rsidP="009F4132">
            <w:pPr>
              <w:spacing w:after="160" w:line="259" w:lineRule="auto"/>
              <w:jc w:val="center"/>
              <w:rPr>
                <w:rFonts w:eastAsiaTheme="minorHAnsi" w:cs="Arial"/>
                <w:b/>
                <w:bCs/>
                <w:sz w:val="20"/>
                <w:szCs w:val="20"/>
              </w:rPr>
            </w:pPr>
            <w:r w:rsidRPr="009F4132">
              <w:rPr>
                <w:rFonts w:eastAsiaTheme="minorHAnsi" w:cs="Arial"/>
                <w:b/>
                <w:bCs/>
                <w:sz w:val="20"/>
                <w:szCs w:val="20"/>
              </w:rPr>
              <w:t>Infrequent or non-users (Quartile 1), n = 17</w:t>
            </w:r>
          </w:p>
        </w:tc>
        <w:tc>
          <w:tcPr>
            <w:tcW w:w="992" w:type="dxa"/>
            <w:shd w:val="clear" w:color="auto" w:fill="F2F2F2" w:themeFill="background1" w:themeFillShade="F2"/>
            <w:hideMark/>
          </w:tcPr>
          <w:p w14:paraId="3EE3582F" w14:textId="77777777" w:rsidR="00654D90" w:rsidRPr="009F4132" w:rsidRDefault="00654D90" w:rsidP="001D044D">
            <w:pPr>
              <w:jc w:val="center"/>
              <w:rPr>
                <w:rFonts w:cs="Arial"/>
                <w:color w:val="0D0D0D" w:themeColor="text1" w:themeTint="F2"/>
                <w:sz w:val="20"/>
                <w:szCs w:val="20"/>
              </w:rPr>
            </w:pPr>
            <w:r w:rsidRPr="009F4132">
              <w:rPr>
                <w:rFonts w:cs="Arial"/>
                <w:b/>
                <w:bCs/>
                <w:color w:val="0D0D0D" w:themeColor="text1" w:themeTint="F2"/>
                <w:sz w:val="20"/>
                <w:szCs w:val="20"/>
                <w:lang w:val="en-GB"/>
              </w:rPr>
              <w:t>p-value</w:t>
            </w:r>
          </w:p>
        </w:tc>
      </w:tr>
      <w:tr w:rsidR="00654D90" w:rsidRPr="00FE449E" w14:paraId="30DEF23F" w14:textId="77777777" w:rsidTr="009F4132">
        <w:trPr>
          <w:trHeight w:val="1168"/>
        </w:trPr>
        <w:tc>
          <w:tcPr>
            <w:tcW w:w="2268" w:type="dxa"/>
            <w:shd w:val="clear" w:color="auto" w:fill="F2F2F2" w:themeFill="background1" w:themeFillShade="F2"/>
            <w:vAlign w:val="bottom"/>
            <w:hideMark/>
          </w:tcPr>
          <w:p w14:paraId="112ABBA8" w14:textId="77777777" w:rsidR="009F4132" w:rsidRPr="009F4132" w:rsidRDefault="009F4132" w:rsidP="009F4132">
            <w:pPr>
              <w:spacing w:after="160" w:line="259" w:lineRule="auto"/>
              <w:rPr>
                <w:rFonts w:eastAsiaTheme="minorHAnsi" w:cs="Arial"/>
                <w:b/>
                <w:bCs/>
                <w:szCs w:val="20"/>
              </w:rPr>
            </w:pPr>
            <w:r w:rsidRPr="009F4132">
              <w:rPr>
                <w:rFonts w:eastAsiaTheme="minorHAnsi" w:cs="Arial"/>
                <w:b/>
                <w:bCs/>
                <w:szCs w:val="20"/>
              </w:rPr>
              <w:t>COPD or respiratory-related admission events over first year of follow-up, mean</w:t>
            </w:r>
          </w:p>
          <w:p w14:paraId="4BFF5A96" w14:textId="77777777" w:rsidR="00654D90" w:rsidRPr="009F4132" w:rsidRDefault="00654D90" w:rsidP="009F4132">
            <w:pPr>
              <w:rPr>
                <w:rFonts w:cs="Arial"/>
                <w:b/>
                <w:bCs/>
                <w:color w:val="000000" w:themeColor="text1"/>
                <w:sz w:val="20"/>
                <w:szCs w:val="20"/>
              </w:rPr>
            </w:pPr>
          </w:p>
        </w:tc>
        <w:tc>
          <w:tcPr>
            <w:tcW w:w="1346" w:type="dxa"/>
            <w:shd w:val="clear" w:color="auto" w:fill="FFFFFF" w:themeFill="background1"/>
          </w:tcPr>
          <w:p w14:paraId="1E430117" w14:textId="77777777" w:rsidR="00654D90" w:rsidRPr="00FE449E" w:rsidRDefault="00654D90" w:rsidP="001D044D">
            <w:pPr>
              <w:jc w:val="center"/>
              <w:rPr>
                <w:rFonts w:cs="Arial"/>
                <w:color w:val="000000" w:themeColor="text1"/>
                <w:sz w:val="20"/>
                <w:szCs w:val="20"/>
              </w:rPr>
            </w:pPr>
            <w:r w:rsidRPr="00FE449E">
              <w:rPr>
                <w:rFonts w:cs="Arial"/>
                <w:color w:val="000000" w:themeColor="text1"/>
                <w:sz w:val="20"/>
                <w:szCs w:val="20"/>
              </w:rPr>
              <w:t>0.</w:t>
            </w:r>
            <w:r>
              <w:rPr>
                <w:rFonts w:cs="Arial"/>
                <w:color w:val="000000" w:themeColor="text1"/>
                <w:sz w:val="20"/>
                <w:szCs w:val="20"/>
              </w:rPr>
              <w:t>8</w:t>
            </w:r>
            <w:r w:rsidRPr="00FE449E">
              <w:rPr>
                <w:rFonts w:cs="Arial"/>
                <w:color w:val="000000" w:themeColor="text1"/>
                <w:sz w:val="20"/>
                <w:szCs w:val="20"/>
              </w:rPr>
              <w:t>5</w:t>
            </w:r>
          </w:p>
        </w:tc>
        <w:tc>
          <w:tcPr>
            <w:tcW w:w="1347" w:type="dxa"/>
            <w:shd w:val="clear" w:color="auto" w:fill="FFFFFF" w:themeFill="background1"/>
          </w:tcPr>
          <w:p w14:paraId="0B8D859B" w14:textId="77777777" w:rsidR="00654D90" w:rsidRPr="00FE449E" w:rsidRDefault="00654D90" w:rsidP="001D044D">
            <w:pPr>
              <w:jc w:val="center"/>
              <w:rPr>
                <w:rFonts w:cs="Arial"/>
                <w:color w:val="000000" w:themeColor="text1"/>
                <w:sz w:val="20"/>
                <w:szCs w:val="20"/>
              </w:rPr>
            </w:pPr>
            <w:r w:rsidRPr="00FE449E">
              <w:rPr>
                <w:rFonts w:cs="Arial"/>
                <w:color w:val="000000" w:themeColor="text1"/>
                <w:sz w:val="20"/>
                <w:szCs w:val="20"/>
              </w:rPr>
              <w:t>0.</w:t>
            </w:r>
            <w:r>
              <w:rPr>
                <w:rFonts w:cs="Arial"/>
                <w:color w:val="000000" w:themeColor="text1"/>
                <w:sz w:val="20"/>
                <w:szCs w:val="20"/>
              </w:rPr>
              <w:t>62</w:t>
            </w:r>
            <w:r w:rsidRPr="00FE449E">
              <w:rPr>
                <w:rFonts w:cs="Arial"/>
                <w:color w:val="000000" w:themeColor="text1"/>
                <w:sz w:val="20"/>
                <w:szCs w:val="20"/>
              </w:rPr>
              <w:t>5</w:t>
            </w:r>
          </w:p>
        </w:tc>
        <w:tc>
          <w:tcPr>
            <w:tcW w:w="1347" w:type="dxa"/>
            <w:shd w:val="clear" w:color="auto" w:fill="FFFFFF" w:themeFill="background1"/>
          </w:tcPr>
          <w:p w14:paraId="4F4B5244" w14:textId="77777777" w:rsidR="00654D90" w:rsidRPr="00FE449E" w:rsidRDefault="00654D90" w:rsidP="001D044D">
            <w:pPr>
              <w:jc w:val="center"/>
              <w:rPr>
                <w:rFonts w:cs="Arial"/>
                <w:color w:val="000000" w:themeColor="text1"/>
                <w:sz w:val="20"/>
                <w:szCs w:val="20"/>
              </w:rPr>
            </w:pPr>
            <w:r w:rsidRPr="00FE449E">
              <w:rPr>
                <w:rFonts w:cs="Arial"/>
                <w:color w:val="000000" w:themeColor="text1"/>
                <w:sz w:val="20"/>
                <w:szCs w:val="20"/>
              </w:rPr>
              <w:t>1.</w:t>
            </w:r>
            <w:r>
              <w:rPr>
                <w:rFonts w:cs="Arial"/>
                <w:color w:val="000000" w:themeColor="text1"/>
                <w:sz w:val="20"/>
                <w:szCs w:val="20"/>
              </w:rPr>
              <w:t>3</w:t>
            </w:r>
            <w:r w:rsidRPr="00FE449E">
              <w:rPr>
                <w:rFonts w:cs="Arial"/>
                <w:color w:val="000000" w:themeColor="text1"/>
                <w:sz w:val="20"/>
                <w:szCs w:val="20"/>
              </w:rPr>
              <w:t>1</w:t>
            </w:r>
          </w:p>
        </w:tc>
        <w:tc>
          <w:tcPr>
            <w:tcW w:w="1347" w:type="dxa"/>
            <w:shd w:val="clear" w:color="auto" w:fill="FFFFFF" w:themeFill="background1"/>
          </w:tcPr>
          <w:p w14:paraId="179FD512" w14:textId="77777777" w:rsidR="00654D90" w:rsidRPr="00FE449E" w:rsidRDefault="00654D90" w:rsidP="001D044D">
            <w:pPr>
              <w:jc w:val="center"/>
              <w:rPr>
                <w:rFonts w:cs="Arial"/>
                <w:color w:val="000000" w:themeColor="text1"/>
                <w:sz w:val="20"/>
                <w:szCs w:val="20"/>
              </w:rPr>
            </w:pPr>
            <w:r w:rsidRPr="00FE449E">
              <w:rPr>
                <w:rFonts w:cs="Arial"/>
                <w:color w:val="000000" w:themeColor="text1"/>
                <w:sz w:val="20"/>
                <w:szCs w:val="20"/>
              </w:rPr>
              <w:t>1.</w:t>
            </w:r>
            <w:r>
              <w:rPr>
                <w:rFonts w:cs="Arial"/>
                <w:color w:val="000000" w:themeColor="text1"/>
                <w:sz w:val="20"/>
                <w:szCs w:val="20"/>
              </w:rPr>
              <w:t>18</w:t>
            </w:r>
          </w:p>
        </w:tc>
        <w:tc>
          <w:tcPr>
            <w:tcW w:w="992" w:type="dxa"/>
            <w:shd w:val="clear" w:color="auto" w:fill="FFFFFF" w:themeFill="background1"/>
            <w:hideMark/>
          </w:tcPr>
          <w:p w14:paraId="69BDC943" w14:textId="77777777" w:rsidR="00654D90" w:rsidRPr="00FE449E" w:rsidRDefault="00654D90" w:rsidP="001D044D">
            <w:pPr>
              <w:jc w:val="center"/>
              <w:rPr>
                <w:rFonts w:cs="Arial"/>
                <w:color w:val="000000" w:themeColor="text1"/>
                <w:sz w:val="20"/>
                <w:szCs w:val="20"/>
                <w:vertAlign w:val="subscript"/>
              </w:rPr>
            </w:pPr>
            <w:r w:rsidRPr="00FE449E">
              <w:rPr>
                <w:rFonts w:cs="Arial"/>
                <w:color w:val="000000" w:themeColor="text1"/>
                <w:sz w:val="20"/>
                <w:szCs w:val="20"/>
                <w:lang w:val="en-GB"/>
              </w:rPr>
              <w:t>0.</w:t>
            </w:r>
            <w:r>
              <w:rPr>
                <w:rFonts w:cs="Arial"/>
                <w:color w:val="000000" w:themeColor="text1"/>
                <w:sz w:val="20"/>
                <w:szCs w:val="20"/>
                <w:lang w:val="en-GB"/>
              </w:rPr>
              <w:t>5665</w:t>
            </w:r>
          </w:p>
        </w:tc>
      </w:tr>
      <w:tr w:rsidR="00654D90" w:rsidRPr="00FE449E" w14:paraId="73F0A5F8" w14:textId="77777777" w:rsidTr="00654D90">
        <w:trPr>
          <w:trHeight w:val="270"/>
        </w:trPr>
        <w:tc>
          <w:tcPr>
            <w:tcW w:w="2268" w:type="dxa"/>
            <w:shd w:val="clear" w:color="auto" w:fill="F2F2F2" w:themeFill="background1" w:themeFillShade="F2"/>
            <w:vAlign w:val="bottom"/>
            <w:hideMark/>
          </w:tcPr>
          <w:p w14:paraId="58AFA22F" w14:textId="60804A7D" w:rsidR="00654D90" w:rsidRPr="009F4132" w:rsidRDefault="009F4132" w:rsidP="009F4132">
            <w:pPr>
              <w:spacing w:after="160" w:line="259" w:lineRule="auto"/>
              <w:rPr>
                <w:rFonts w:eastAsiaTheme="minorHAnsi" w:cs="Arial"/>
                <w:b/>
                <w:bCs/>
                <w:sz w:val="20"/>
                <w:szCs w:val="20"/>
              </w:rPr>
            </w:pPr>
            <w:r w:rsidRPr="009F4132">
              <w:rPr>
                <w:rFonts w:eastAsiaTheme="minorHAnsi" w:cs="Arial"/>
                <w:b/>
                <w:bCs/>
                <w:sz w:val="20"/>
                <w:szCs w:val="20"/>
              </w:rPr>
              <w:t>COPD or respiratory-related occupied bed days over first year of follow-up, mean</w:t>
            </w:r>
          </w:p>
        </w:tc>
        <w:tc>
          <w:tcPr>
            <w:tcW w:w="1346" w:type="dxa"/>
            <w:shd w:val="clear" w:color="auto" w:fill="FFFFFF" w:themeFill="background1"/>
          </w:tcPr>
          <w:p w14:paraId="64EDBAA4" w14:textId="77777777" w:rsidR="00654D90" w:rsidRPr="00FE449E" w:rsidRDefault="00654D90" w:rsidP="001D044D">
            <w:pPr>
              <w:jc w:val="center"/>
              <w:rPr>
                <w:rFonts w:cs="Arial"/>
                <w:color w:val="000000" w:themeColor="text1"/>
                <w:sz w:val="20"/>
                <w:szCs w:val="20"/>
              </w:rPr>
            </w:pPr>
            <w:r>
              <w:rPr>
                <w:rFonts w:cs="Arial"/>
                <w:color w:val="000000" w:themeColor="text1"/>
                <w:sz w:val="20"/>
                <w:szCs w:val="20"/>
              </w:rPr>
              <w:t>5.45</w:t>
            </w:r>
          </w:p>
        </w:tc>
        <w:tc>
          <w:tcPr>
            <w:tcW w:w="1347" w:type="dxa"/>
            <w:shd w:val="clear" w:color="auto" w:fill="FFFFFF" w:themeFill="background1"/>
          </w:tcPr>
          <w:p w14:paraId="0F1E100E" w14:textId="77777777" w:rsidR="00654D90" w:rsidRPr="00FE449E" w:rsidRDefault="00654D90" w:rsidP="001D044D">
            <w:pPr>
              <w:jc w:val="center"/>
              <w:rPr>
                <w:rFonts w:cs="Arial"/>
                <w:color w:val="000000" w:themeColor="text1"/>
                <w:sz w:val="20"/>
                <w:szCs w:val="20"/>
              </w:rPr>
            </w:pPr>
            <w:r>
              <w:rPr>
                <w:rFonts w:cs="Arial"/>
                <w:color w:val="000000" w:themeColor="text1"/>
                <w:sz w:val="20"/>
                <w:szCs w:val="20"/>
              </w:rPr>
              <w:t>3.06</w:t>
            </w:r>
          </w:p>
        </w:tc>
        <w:tc>
          <w:tcPr>
            <w:tcW w:w="1347" w:type="dxa"/>
            <w:shd w:val="clear" w:color="auto" w:fill="FFFFFF" w:themeFill="background1"/>
          </w:tcPr>
          <w:p w14:paraId="0F5AA0D6" w14:textId="77777777" w:rsidR="00654D90" w:rsidRPr="00FE449E" w:rsidRDefault="00654D90" w:rsidP="001D044D">
            <w:pPr>
              <w:jc w:val="center"/>
              <w:rPr>
                <w:rFonts w:cs="Arial"/>
                <w:color w:val="000000" w:themeColor="text1"/>
                <w:sz w:val="20"/>
                <w:szCs w:val="20"/>
              </w:rPr>
            </w:pPr>
            <w:r>
              <w:rPr>
                <w:rFonts w:cs="Arial"/>
                <w:color w:val="000000" w:themeColor="text1"/>
                <w:sz w:val="20"/>
                <w:szCs w:val="20"/>
              </w:rPr>
              <w:t>7.62</w:t>
            </w:r>
          </w:p>
        </w:tc>
        <w:tc>
          <w:tcPr>
            <w:tcW w:w="1347" w:type="dxa"/>
            <w:shd w:val="clear" w:color="auto" w:fill="FFFFFF" w:themeFill="background1"/>
          </w:tcPr>
          <w:p w14:paraId="22D8EA9D" w14:textId="77777777" w:rsidR="00654D90" w:rsidRPr="00FE449E" w:rsidRDefault="00654D90" w:rsidP="001D044D">
            <w:pPr>
              <w:jc w:val="center"/>
              <w:rPr>
                <w:rFonts w:cs="Arial"/>
                <w:color w:val="000000" w:themeColor="text1"/>
                <w:sz w:val="20"/>
                <w:szCs w:val="20"/>
              </w:rPr>
            </w:pPr>
            <w:r w:rsidRPr="00FE449E">
              <w:rPr>
                <w:rFonts w:cs="Arial"/>
                <w:color w:val="000000" w:themeColor="text1"/>
                <w:sz w:val="20"/>
                <w:szCs w:val="20"/>
              </w:rPr>
              <w:t>1</w:t>
            </w:r>
            <w:r>
              <w:rPr>
                <w:rFonts w:cs="Arial"/>
                <w:color w:val="000000" w:themeColor="text1"/>
                <w:sz w:val="20"/>
                <w:szCs w:val="20"/>
              </w:rPr>
              <w:t>2.2</w:t>
            </w:r>
          </w:p>
        </w:tc>
        <w:tc>
          <w:tcPr>
            <w:tcW w:w="992" w:type="dxa"/>
            <w:shd w:val="clear" w:color="auto" w:fill="FFFFFF" w:themeFill="background1"/>
            <w:hideMark/>
          </w:tcPr>
          <w:p w14:paraId="76AD5DB3" w14:textId="77777777" w:rsidR="00654D90" w:rsidRPr="00FE449E" w:rsidRDefault="00654D90" w:rsidP="001D044D">
            <w:pPr>
              <w:jc w:val="center"/>
              <w:rPr>
                <w:rFonts w:cs="Arial"/>
                <w:color w:val="000000" w:themeColor="text1"/>
                <w:sz w:val="20"/>
                <w:szCs w:val="20"/>
              </w:rPr>
            </w:pPr>
            <w:r w:rsidRPr="00FE449E">
              <w:rPr>
                <w:rFonts w:cs="Arial"/>
                <w:color w:val="000000" w:themeColor="text1"/>
                <w:sz w:val="20"/>
                <w:szCs w:val="20"/>
                <w:lang w:val="en-GB"/>
              </w:rPr>
              <w:t>0.</w:t>
            </w:r>
            <w:r>
              <w:rPr>
                <w:rFonts w:cs="Arial"/>
                <w:color w:val="000000" w:themeColor="text1"/>
                <w:sz w:val="20"/>
                <w:szCs w:val="20"/>
                <w:lang w:val="en-GB"/>
              </w:rPr>
              <w:t>3262</w:t>
            </w:r>
          </w:p>
        </w:tc>
      </w:tr>
    </w:tbl>
    <w:p w14:paraId="157B5EEA" w14:textId="08718988" w:rsidR="00802A97" w:rsidRDefault="0077728C" w:rsidP="00EE0017">
      <w:r w:rsidRPr="0077728C">
        <w:rPr>
          <w:b/>
          <w:bCs/>
        </w:rPr>
        <w:t>Notes:</w:t>
      </w:r>
      <w:r>
        <w:t xml:space="preserve"> </w:t>
      </w:r>
      <w:r w:rsidRPr="0077728C">
        <w:t>Utilization is defined as the mean number of entries completed in the previous seven-days at each possible point over the first year of follow-up. The p-value from statistical analysis to determine the significance of the difference</w:t>
      </w:r>
      <w:r w:rsidR="008501E0">
        <w:t>s</w:t>
      </w:r>
      <w:r w:rsidRPr="0077728C">
        <w:t xml:space="preserve"> between quartiles is also shown (Kruskal-Wallis test).</w:t>
      </w:r>
      <w:r w:rsidR="00654D90">
        <w:t xml:space="preserve"> </w:t>
      </w:r>
      <w:r w:rsidR="00654D90" w:rsidRPr="004A4BF8">
        <w:t>Data shown is for individuals alive 12-months post-index</w:t>
      </w:r>
      <w:r w:rsidR="008501E0">
        <w:t xml:space="preserve"> date</w:t>
      </w:r>
      <w:r w:rsidR="00654D90">
        <w:t>.</w:t>
      </w:r>
    </w:p>
    <w:p w14:paraId="32B90D1E" w14:textId="77777777" w:rsidR="0077728C" w:rsidRDefault="0077728C" w:rsidP="00EE0017"/>
    <w:p w14:paraId="560E13D6" w14:textId="4D625790" w:rsidR="00802A97" w:rsidRDefault="00802A97" w:rsidP="00EE0017">
      <w:r w:rsidRPr="00802A97">
        <w:rPr>
          <w:b/>
          <w:bCs/>
        </w:rPr>
        <w:t>Supplementary Table 5</w:t>
      </w:r>
      <w:r w:rsidRPr="00802A97">
        <w:t xml:space="preserve"> Table compiling admissions data for all individuals in the RECEIVER and control cohorts, including individuals who died within the first year of follow-up</w:t>
      </w:r>
    </w:p>
    <w:tbl>
      <w:tblPr>
        <w:tblW w:w="8639" w:type="dxa"/>
        <w:tblCellMar>
          <w:left w:w="0" w:type="dxa"/>
          <w:right w:w="0" w:type="dxa"/>
        </w:tblCellMar>
        <w:tblLook w:val="04A0" w:firstRow="1" w:lastRow="0" w:firstColumn="1" w:lastColumn="0" w:noHBand="0" w:noVBand="1"/>
      </w:tblPr>
      <w:tblGrid>
        <w:gridCol w:w="1324"/>
        <w:gridCol w:w="1265"/>
        <w:gridCol w:w="706"/>
        <w:gridCol w:w="1092"/>
        <w:gridCol w:w="1134"/>
        <w:gridCol w:w="1134"/>
        <w:gridCol w:w="1984"/>
      </w:tblGrid>
      <w:tr w:rsidR="00802A97" w:rsidRPr="00802A97" w14:paraId="03E24F3C" w14:textId="77777777" w:rsidTr="00802A97">
        <w:trPr>
          <w:trHeight w:val="285"/>
        </w:trPr>
        <w:tc>
          <w:tcPr>
            <w:tcW w:w="3295" w:type="dxa"/>
            <w:gridSpan w:val="3"/>
            <w:vMerge w:val="restart"/>
            <w:tcBorders>
              <w:top w:val="single" w:sz="6" w:space="0" w:color="auto"/>
              <w:left w:val="single" w:sz="6" w:space="0" w:color="auto"/>
              <w:bottom w:val="single" w:sz="6" w:space="0" w:color="000000"/>
              <w:right w:val="single" w:sz="6" w:space="0" w:color="000000"/>
            </w:tcBorders>
            <w:shd w:val="clear" w:color="auto" w:fill="F2F2F2"/>
            <w:vAlign w:val="center"/>
            <w:hideMark/>
          </w:tcPr>
          <w:p w14:paraId="758EC00D" w14:textId="77777777" w:rsidR="00802A97" w:rsidRPr="00802A97" w:rsidRDefault="00802A97" w:rsidP="00802A97">
            <w:pPr>
              <w:spacing w:line="240" w:lineRule="auto"/>
              <w:jc w:val="center"/>
              <w:textAlignment w:val="baseline"/>
              <w:rPr>
                <w:rFonts w:cs="Arial"/>
                <w:szCs w:val="20"/>
                <w:lang w:eastAsia="en-GB"/>
              </w:rPr>
            </w:pPr>
            <w:r w:rsidRPr="00802A97">
              <w:rPr>
                <w:rFonts w:cs="Arial"/>
                <w:color w:val="000000"/>
                <w:szCs w:val="20"/>
                <w:lang w:eastAsia="en-GB"/>
              </w:rPr>
              <w:t> </w:t>
            </w:r>
          </w:p>
        </w:tc>
        <w:tc>
          <w:tcPr>
            <w:tcW w:w="3360" w:type="dxa"/>
            <w:gridSpan w:val="3"/>
            <w:tcBorders>
              <w:top w:val="single" w:sz="6" w:space="0" w:color="auto"/>
              <w:left w:val="nil"/>
              <w:bottom w:val="single" w:sz="6" w:space="0" w:color="auto"/>
              <w:right w:val="single" w:sz="6" w:space="0" w:color="000000"/>
            </w:tcBorders>
            <w:shd w:val="clear" w:color="auto" w:fill="F2F2F2"/>
            <w:vAlign w:val="center"/>
            <w:hideMark/>
          </w:tcPr>
          <w:p w14:paraId="006AAC7C"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Mean</w:t>
            </w:r>
            <w:r w:rsidRPr="00802A97">
              <w:rPr>
                <w:rFonts w:cs="Arial"/>
                <w:color w:val="000000"/>
                <w:szCs w:val="20"/>
                <w:lang w:eastAsia="en-GB"/>
              </w:rPr>
              <w:t> </w:t>
            </w:r>
          </w:p>
        </w:tc>
        <w:tc>
          <w:tcPr>
            <w:tcW w:w="1984" w:type="dxa"/>
            <w:vMerge w:val="restart"/>
            <w:tcBorders>
              <w:top w:val="single" w:sz="6" w:space="0" w:color="auto"/>
              <w:left w:val="nil"/>
              <w:bottom w:val="single" w:sz="6" w:space="0" w:color="auto"/>
              <w:right w:val="single" w:sz="6" w:space="0" w:color="auto"/>
            </w:tcBorders>
            <w:shd w:val="clear" w:color="auto" w:fill="F2F2F2"/>
            <w:vAlign w:val="center"/>
            <w:hideMark/>
          </w:tcPr>
          <w:p w14:paraId="1767CAF8"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Wilcoxon signed-rank test effect size</w:t>
            </w:r>
          </w:p>
        </w:tc>
      </w:tr>
      <w:tr w:rsidR="00802A97" w:rsidRPr="00802A97" w14:paraId="5BD110DE" w14:textId="77777777" w:rsidTr="00802A97">
        <w:trPr>
          <w:trHeight w:val="570"/>
        </w:trPr>
        <w:tc>
          <w:tcPr>
            <w:tcW w:w="0" w:type="auto"/>
            <w:gridSpan w:val="3"/>
            <w:vMerge/>
            <w:tcBorders>
              <w:top w:val="single" w:sz="6" w:space="0" w:color="auto"/>
              <w:left w:val="single" w:sz="6" w:space="0" w:color="auto"/>
              <w:bottom w:val="single" w:sz="6" w:space="0" w:color="000000"/>
              <w:right w:val="single" w:sz="6" w:space="0" w:color="000000"/>
            </w:tcBorders>
            <w:shd w:val="clear" w:color="auto" w:fill="auto"/>
            <w:vAlign w:val="center"/>
            <w:hideMark/>
          </w:tcPr>
          <w:p w14:paraId="1C066630" w14:textId="77777777" w:rsidR="00802A97" w:rsidRPr="00802A97" w:rsidRDefault="00802A97" w:rsidP="00802A97">
            <w:pPr>
              <w:spacing w:line="240" w:lineRule="auto"/>
              <w:rPr>
                <w:rFonts w:cs="Arial"/>
                <w:szCs w:val="20"/>
                <w:lang w:eastAsia="en-GB"/>
              </w:rPr>
            </w:pPr>
          </w:p>
        </w:tc>
        <w:tc>
          <w:tcPr>
            <w:tcW w:w="1092" w:type="dxa"/>
            <w:tcBorders>
              <w:top w:val="single" w:sz="6" w:space="0" w:color="auto"/>
              <w:left w:val="nil"/>
              <w:bottom w:val="single" w:sz="6" w:space="0" w:color="auto"/>
              <w:right w:val="single" w:sz="6" w:space="0" w:color="000000"/>
            </w:tcBorders>
            <w:shd w:val="clear" w:color="auto" w:fill="F2F2F2"/>
            <w:vAlign w:val="center"/>
            <w:hideMark/>
          </w:tcPr>
          <w:p w14:paraId="3C8AEFCE"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Year before</w:t>
            </w:r>
            <w:r w:rsidRPr="00802A97">
              <w:rPr>
                <w:rFonts w:cs="Arial"/>
                <w:color w:val="000000"/>
                <w:szCs w:val="20"/>
                <w:lang w:eastAsia="en-GB"/>
              </w:rPr>
              <w:t> </w:t>
            </w:r>
          </w:p>
        </w:tc>
        <w:tc>
          <w:tcPr>
            <w:tcW w:w="1134" w:type="dxa"/>
            <w:tcBorders>
              <w:top w:val="nil"/>
              <w:left w:val="single" w:sz="6" w:space="0" w:color="auto"/>
              <w:bottom w:val="single" w:sz="6" w:space="0" w:color="auto"/>
              <w:right w:val="single" w:sz="6" w:space="0" w:color="auto"/>
            </w:tcBorders>
            <w:shd w:val="clear" w:color="auto" w:fill="F2F2F2"/>
            <w:vAlign w:val="center"/>
            <w:hideMark/>
          </w:tcPr>
          <w:p w14:paraId="391E820C"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Year after</w:t>
            </w:r>
            <w:r w:rsidRPr="00802A97">
              <w:rPr>
                <w:rFonts w:cs="Arial"/>
                <w:color w:val="000000"/>
                <w:szCs w:val="20"/>
                <w:lang w:eastAsia="en-GB"/>
              </w:rPr>
              <w:t> </w:t>
            </w:r>
          </w:p>
        </w:tc>
        <w:tc>
          <w:tcPr>
            <w:tcW w:w="1134" w:type="dxa"/>
            <w:tcBorders>
              <w:top w:val="nil"/>
              <w:left w:val="single" w:sz="6" w:space="0" w:color="auto"/>
              <w:bottom w:val="single" w:sz="6" w:space="0" w:color="auto"/>
              <w:right w:val="single" w:sz="6" w:space="0" w:color="000000"/>
            </w:tcBorders>
            <w:shd w:val="clear" w:color="auto" w:fill="F2F2F2"/>
            <w:vAlign w:val="center"/>
            <w:hideMark/>
          </w:tcPr>
          <w:p w14:paraId="626FDE2C"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change</w:t>
            </w:r>
            <w:r w:rsidRPr="00802A97">
              <w:rPr>
                <w:rFonts w:cs="Arial"/>
                <w:color w:val="000000"/>
                <w:szCs w:val="20"/>
                <w:lang w:eastAsia="en-GB"/>
              </w:rPr>
              <w:t> </w:t>
            </w:r>
          </w:p>
        </w:tc>
        <w:tc>
          <w:tcPr>
            <w:tcW w:w="1984" w:type="dxa"/>
            <w:vMerge/>
            <w:tcBorders>
              <w:top w:val="single" w:sz="6" w:space="0" w:color="auto"/>
              <w:left w:val="nil"/>
              <w:bottom w:val="single" w:sz="6" w:space="0" w:color="auto"/>
              <w:right w:val="single" w:sz="6" w:space="0" w:color="auto"/>
            </w:tcBorders>
            <w:shd w:val="clear" w:color="auto" w:fill="auto"/>
            <w:vAlign w:val="center"/>
            <w:hideMark/>
          </w:tcPr>
          <w:p w14:paraId="78AB39B0" w14:textId="77777777" w:rsidR="00802A97" w:rsidRPr="00802A97" w:rsidRDefault="00802A97" w:rsidP="00802A97">
            <w:pPr>
              <w:spacing w:line="240" w:lineRule="auto"/>
              <w:rPr>
                <w:rFonts w:cs="Arial"/>
                <w:szCs w:val="20"/>
                <w:lang w:eastAsia="en-GB"/>
              </w:rPr>
            </w:pPr>
          </w:p>
        </w:tc>
      </w:tr>
      <w:tr w:rsidR="00802A97" w:rsidRPr="00802A97" w14:paraId="06202540" w14:textId="77777777" w:rsidTr="00802A97">
        <w:trPr>
          <w:trHeight w:val="600"/>
        </w:trPr>
        <w:tc>
          <w:tcPr>
            <w:tcW w:w="1324" w:type="dxa"/>
            <w:vMerge w:val="restart"/>
            <w:tcBorders>
              <w:top w:val="nil"/>
              <w:left w:val="single" w:sz="6" w:space="0" w:color="auto"/>
              <w:bottom w:val="single" w:sz="6" w:space="0" w:color="000000"/>
              <w:right w:val="single" w:sz="6" w:space="0" w:color="000000"/>
            </w:tcBorders>
            <w:shd w:val="clear" w:color="auto" w:fill="F2F2F2"/>
            <w:vAlign w:val="center"/>
            <w:hideMark/>
          </w:tcPr>
          <w:p w14:paraId="7E80FF45" w14:textId="77777777" w:rsidR="00802A97" w:rsidRPr="00802A97" w:rsidRDefault="00802A97" w:rsidP="00802A97">
            <w:pPr>
              <w:spacing w:line="240" w:lineRule="auto"/>
              <w:jc w:val="center"/>
              <w:textAlignment w:val="baseline"/>
              <w:rPr>
                <w:rFonts w:cs="Arial"/>
                <w:sz w:val="22"/>
                <w:szCs w:val="22"/>
                <w:lang w:eastAsia="en-GB"/>
              </w:rPr>
            </w:pPr>
            <w:r w:rsidRPr="00802A97">
              <w:rPr>
                <w:rFonts w:cs="Arial"/>
                <w:b/>
                <w:bCs/>
                <w:color w:val="000000"/>
                <w:sz w:val="22"/>
                <w:szCs w:val="22"/>
                <w:lang w:eastAsia="en-GB"/>
              </w:rPr>
              <w:t>Admissions</w:t>
            </w:r>
            <w:r w:rsidRPr="00802A97">
              <w:rPr>
                <w:rFonts w:cs="Arial"/>
                <w:color w:val="000000"/>
                <w:sz w:val="22"/>
                <w:szCs w:val="22"/>
                <w:lang w:eastAsia="en-GB"/>
              </w:rPr>
              <w:t> </w:t>
            </w:r>
          </w:p>
        </w:tc>
        <w:tc>
          <w:tcPr>
            <w:tcW w:w="1265" w:type="dxa"/>
            <w:tcBorders>
              <w:top w:val="nil"/>
              <w:left w:val="single" w:sz="6" w:space="0" w:color="000000"/>
              <w:bottom w:val="single" w:sz="6" w:space="0" w:color="auto"/>
              <w:right w:val="single" w:sz="6" w:space="0" w:color="auto"/>
            </w:tcBorders>
            <w:shd w:val="clear" w:color="auto" w:fill="D9E1F2"/>
            <w:vAlign w:val="center"/>
            <w:hideMark/>
          </w:tcPr>
          <w:p w14:paraId="35CDE61D"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Control</w:t>
            </w:r>
            <w:r w:rsidRPr="00802A97">
              <w:rPr>
                <w:rFonts w:cs="Arial"/>
                <w:color w:val="000000"/>
                <w:szCs w:val="20"/>
                <w:lang w:eastAsia="en-GB"/>
              </w:rPr>
              <w:t> </w:t>
            </w:r>
          </w:p>
        </w:tc>
        <w:tc>
          <w:tcPr>
            <w:tcW w:w="706" w:type="dxa"/>
            <w:tcBorders>
              <w:top w:val="nil"/>
              <w:left w:val="single" w:sz="6" w:space="0" w:color="auto"/>
              <w:bottom w:val="single" w:sz="6" w:space="0" w:color="auto"/>
              <w:right w:val="single" w:sz="6" w:space="0" w:color="000000"/>
            </w:tcBorders>
            <w:shd w:val="clear" w:color="auto" w:fill="D9E1F2"/>
            <w:vAlign w:val="center"/>
            <w:hideMark/>
          </w:tcPr>
          <w:p w14:paraId="3701BDAD" w14:textId="77777777" w:rsidR="00802A97" w:rsidRPr="00802A97" w:rsidRDefault="00802A97" w:rsidP="00802A97">
            <w:pPr>
              <w:spacing w:line="240" w:lineRule="auto"/>
              <w:jc w:val="center"/>
              <w:textAlignment w:val="baseline"/>
              <w:rPr>
                <w:rFonts w:cs="Arial"/>
                <w:szCs w:val="20"/>
                <w:lang w:eastAsia="en-GB"/>
              </w:rPr>
            </w:pPr>
            <w:r w:rsidRPr="00802A97">
              <w:rPr>
                <w:rFonts w:cs="Arial"/>
                <w:color w:val="000000"/>
                <w:szCs w:val="20"/>
                <w:lang w:eastAsia="en-GB"/>
              </w:rPr>
              <w:t>n=415</w:t>
            </w:r>
          </w:p>
        </w:tc>
        <w:tc>
          <w:tcPr>
            <w:tcW w:w="1092" w:type="dxa"/>
            <w:tcBorders>
              <w:top w:val="single" w:sz="6" w:space="0" w:color="auto"/>
              <w:left w:val="single" w:sz="6" w:space="0" w:color="auto"/>
              <w:bottom w:val="single" w:sz="6" w:space="0" w:color="auto"/>
              <w:right w:val="single" w:sz="6" w:space="0" w:color="auto"/>
            </w:tcBorders>
            <w:shd w:val="clear" w:color="auto" w:fill="D9E1F2"/>
            <w:vAlign w:val="center"/>
          </w:tcPr>
          <w:p w14:paraId="58D67934"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2.47</w:t>
            </w:r>
          </w:p>
        </w:tc>
        <w:tc>
          <w:tcPr>
            <w:tcW w:w="1134" w:type="dxa"/>
            <w:tcBorders>
              <w:top w:val="single" w:sz="6" w:space="0" w:color="auto"/>
              <w:left w:val="single" w:sz="6" w:space="0" w:color="auto"/>
              <w:bottom w:val="single" w:sz="6" w:space="0" w:color="auto"/>
              <w:right w:val="single" w:sz="6" w:space="0" w:color="auto"/>
            </w:tcBorders>
            <w:shd w:val="clear" w:color="auto" w:fill="D9E1F2"/>
            <w:vAlign w:val="center"/>
          </w:tcPr>
          <w:p w14:paraId="36F49430"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1.58</w:t>
            </w:r>
          </w:p>
        </w:tc>
        <w:tc>
          <w:tcPr>
            <w:tcW w:w="1134" w:type="dxa"/>
            <w:tcBorders>
              <w:top w:val="single" w:sz="6" w:space="0" w:color="auto"/>
              <w:left w:val="single" w:sz="6" w:space="0" w:color="auto"/>
              <w:bottom w:val="single" w:sz="6" w:space="0" w:color="auto"/>
              <w:right w:val="single" w:sz="6" w:space="0" w:color="auto"/>
            </w:tcBorders>
            <w:shd w:val="clear" w:color="auto" w:fill="D9E1F2"/>
            <w:vAlign w:val="center"/>
          </w:tcPr>
          <w:p w14:paraId="5FE5B62D"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0.89</w:t>
            </w:r>
          </w:p>
        </w:tc>
        <w:tc>
          <w:tcPr>
            <w:tcW w:w="1984" w:type="dxa"/>
            <w:tcBorders>
              <w:top w:val="nil"/>
              <w:left w:val="single" w:sz="6" w:space="0" w:color="auto"/>
              <w:bottom w:val="single" w:sz="6" w:space="0" w:color="auto"/>
              <w:right w:val="single" w:sz="6" w:space="0" w:color="auto"/>
            </w:tcBorders>
            <w:shd w:val="clear" w:color="auto" w:fill="D9E1F2"/>
            <w:vAlign w:val="center"/>
          </w:tcPr>
          <w:p w14:paraId="0A8AB3CB"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0.4979 ***</w:t>
            </w:r>
          </w:p>
        </w:tc>
      </w:tr>
      <w:tr w:rsidR="00802A97" w:rsidRPr="00802A97" w14:paraId="4AE584BC" w14:textId="77777777" w:rsidTr="00802A97">
        <w:trPr>
          <w:trHeight w:val="285"/>
        </w:trPr>
        <w:tc>
          <w:tcPr>
            <w:tcW w:w="1324" w:type="dxa"/>
            <w:vMerge/>
            <w:tcBorders>
              <w:top w:val="nil"/>
              <w:left w:val="single" w:sz="6" w:space="0" w:color="auto"/>
              <w:bottom w:val="single" w:sz="6" w:space="0" w:color="000000"/>
              <w:right w:val="single" w:sz="6" w:space="0" w:color="000000"/>
            </w:tcBorders>
            <w:shd w:val="clear" w:color="auto" w:fill="auto"/>
            <w:vAlign w:val="center"/>
            <w:hideMark/>
          </w:tcPr>
          <w:p w14:paraId="1A41CC10" w14:textId="77777777" w:rsidR="00802A97" w:rsidRPr="00802A97" w:rsidRDefault="00802A97" w:rsidP="00802A97">
            <w:pPr>
              <w:spacing w:line="240" w:lineRule="auto"/>
              <w:rPr>
                <w:rFonts w:cs="Arial"/>
                <w:sz w:val="22"/>
                <w:szCs w:val="22"/>
                <w:lang w:eastAsia="en-GB"/>
              </w:rPr>
            </w:pPr>
          </w:p>
        </w:tc>
        <w:tc>
          <w:tcPr>
            <w:tcW w:w="1265" w:type="dxa"/>
            <w:tcBorders>
              <w:top w:val="single" w:sz="6" w:space="0" w:color="auto"/>
              <w:left w:val="nil"/>
              <w:bottom w:val="single" w:sz="6" w:space="0" w:color="000000"/>
              <w:right w:val="single" w:sz="6" w:space="0" w:color="auto"/>
            </w:tcBorders>
            <w:shd w:val="clear" w:color="auto" w:fill="auto"/>
            <w:vAlign w:val="center"/>
            <w:hideMark/>
          </w:tcPr>
          <w:p w14:paraId="693E440C"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RECEIVER</w:t>
            </w:r>
            <w:r w:rsidRPr="00802A97">
              <w:rPr>
                <w:rFonts w:cs="Arial"/>
                <w:color w:val="000000"/>
                <w:szCs w:val="20"/>
                <w:lang w:eastAsia="en-GB"/>
              </w:rPr>
              <w:t> </w:t>
            </w:r>
          </w:p>
        </w:tc>
        <w:tc>
          <w:tcPr>
            <w:tcW w:w="706" w:type="dxa"/>
            <w:tcBorders>
              <w:top w:val="single" w:sz="6" w:space="0" w:color="auto"/>
              <w:left w:val="single" w:sz="6" w:space="0" w:color="auto"/>
              <w:bottom w:val="single" w:sz="6" w:space="0" w:color="000000"/>
              <w:right w:val="single" w:sz="6" w:space="0" w:color="000000"/>
            </w:tcBorders>
            <w:shd w:val="clear" w:color="auto" w:fill="auto"/>
            <w:vAlign w:val="center"/>
            <w:hideMark/>
          </w:tcPr>
          <w:p w14:paraId="14C57015" w14:textId="77777777" w:rsidR="00802A97" w:rsidRPr="00802A97" w:rsidRDefault="00802A97" w:rsidP="00802A97">
            <w:pPr>
              <w:spacing w:line="240" w:lineRule="auto"/>
              <w:jc w:val="center"/>
              <w:textAlignment w:val="baseline"/>
              <w:rPr>
                <w:rFonts w:cs="Arial"/>
                <w:szCs w:val="20"/>
                <w:lang w:eastAsia="en-GB"/>
              </w:rPr>
            </w:pPr>
            <w:r w:rsidRPr="00802A97">
              <w:rPr>
                <w:rFonts w:cs="Arial"/>
                <w:color w:val="000000"/>
                <w:szCs w:val="20"/>
                <w:lang w:eastAsia="en-GB"/>
              </w:rPr>
              <w:t>n=83</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7569826F"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2.46</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BBDCDFD"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1.17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B9451E0"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1.29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415FF07"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0.5941 ***</w:t>
            </w:r>
          </w:p>
        </w:tc>
      </w:tr>
      <w:tr w:rsidR="00802A97" w:rsidRPr="00802A97" w14:paraId="6EE61376" w14:textId="77777777" w:rsidTr="00802A97">
        <w:trPr>
          <w:trHeight w:val="285"/>
        </w:trPr>
        <w:tc>
          <w:tcPr>
            <w:tcW w:w="1324" w:type="dxa"/>
            <w:vMerge w:val="restart"/>
            <w:tcBorders>
              <w:top w:val="nil"/>
              <w:left w:val="single" w:sz="6" w:space="0" w:color="auto"/>
              <w:bottom w:val="single" w:sz="6" w:space="0" w:color="000000"/>
              <w:right w:val="single" w:sz="6" w:space="0" w:color="000000"/>
            </w:tcBorders>
            <w:shd w:val="clear" w:color="auto" w:fill="F2F2F2"/>
            <w:vAlign w:val="center"/>
            <w:hideMark/>
          </w:tcPr>
          <w:p w14:paraId="62220E4A" w14:textId="77777777" w:rsidR="00802A97" w:rsidRPr="00802A97" w:rsidRDefault="00802A97" w:rsidP="00802A97">
            <w:pPr>
              <w:spacing w:line="240" w:lineRule="auto"/>
              <w:textAlignment w:val="baseline"/>
              <w:rPr>
                <w:rFonts w:cs="Arial"/>
                <w:sz w:val="22"/>
                <w:szCs w:val="22"/>
                <w:lang w:eastAsia="en-GB"/>
              </w:rPr>
            </w:pPr>
            <w:r w:rsidRPr="00802A97">
              <w:rPr>
                <w:rFonts w:cs="Arial"/>
                <w:b/>
                <w:bCs/>
                <w:color w:val="000000"/>
                <w:sz w:val="22"/>
                <w:szCs w:val="22"/>
                <w:lang w:eastAsia="en-GB"/>
              </w:rPr>
              <w:t>Occupied bed days</w:t>
            </w:r>
            <w:r w:rsidRPr="00802A97">
              <w:rPr>
                <w:rFonts w:cs="Arial"/>
                <w:color w:val="000000"/>
                <w:sz w:val="22"/>
                <w:szCs w:val="22"/>
                <w:lang w:eastAsia="en-GB"/>
              </w:rPr>
              <w:t> </w:t>
            </w:r>
          </w:p>
        </w:tc>
        <w:tc>
          <w:tcPr>
            <w:tcW w:w="1265" w:type="dxa"/>
            <w:tcBorders>
              <w:top w:val="single" w:sz="6" w:space="0" w:color="auto"/>
              <w:left w:val="single" w:sz="6" w:space="0" w:color="000000"/>
              <w:bottom w:val="single" w:sz="6" w:space="0" w:color="auto"/>
              <w:right w:val="single" w:sz="6" w:space="0" w:color="auto"/>
            </w:tcBorders>
            <w:shd w:val="clear" w:color="auto" w:fill="D9E1F2"/>
            <w:vAlign w:val="center"/>
            <w:hideMark/>
          </w:tcPr>
          <w:p w14:paraId="4F8B1F99"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Control</w:t>
            </w:r>
            <w:r w:rsidRPr="00802A97">
              <w:rPr>
                <w:rFonts w:cs="Arial"/>
                <w:color w:val="000000"/>
                <w:szCs w:val="20"/>
                <w:lang w:eastAsia="en-GB"/>
              </w:rPr>
              <w:t> </w:t>
            </w:r>
          </w:p>
        </w:tc>
        <w:tc>
          <w:tcPr>
            <w:tcW w:w="706" w:type="dxa"/>
            <w:tcBorders>
              <w:top w:val="single" w:sz="6" w:space="0" w:color="auto"/>
              <w:left w:val="single" w:sz="6" w:space="0" w:color="auto"/>
              <w:bottom w:val="single" w:sz="6" w:space="0" w:color="auto"/>
              <w:right w:val="single" w:sz="6" w:space="0" w:color="auto"/>
            </w:tcBorders>
            <w:shd w:val="clear" w:color="auto" w:fill="D9E1F2"/>
            <w:vAlign w:val="center"/>
            <w:hideMark/>
          </w:tcPr>
          <w:p w14:paraId="27480DF2" w14:textId="77777777" w:rsidR="00802A97" w:rsidRPr="00802A97" w:rsidRDefault="00802A97" w:rsidP="00802A97">
            <w:pPr>
              <w:spacing w:line="240" w:lineRule="auto"/>
              <w:jc w:val="center"/>
              <w:textAlignment w:val="baseline"/>
              <w:rPr>
                <w:rFonts w:cs="Arial"/>
                <w:szCs w:val="20"/>
                <w:lang w:eastAsia="en-GB"/>
              </w:rPr>
            </w:pPr>
            <w:r w:rsidRPr="00802A97">
              <w:rPr>
                <w:rFonts w:cs="Arial"/>
                <w:color w:val="000000"/>
                <w:szCs w:val="20"/>
                <w:lang w:eastAsia="en-GB"/>
              </w:rPr>
              <w:t>n=415</w:t>
            </w:r>
          </w:p>
        </w:tc>
        <w:tc>
          <w:tcPr>
            <w:tcW w:w="1092" w:type="dxa"/>
            <w:tcBorders>
              <w:top w:val="single" w:sz="6" w:space="0" w:color="auto"/>
              <w:left w:val="single" w:sz="6" w:space="0" w:color="auto"/>
              <w:bottom w:val="single" w:sz="6" w:space="0" w:color="auto"/>
              <w:right w:val="single" w:sz="6" w:space="0" w:color="auto"/>
            </w:tcBorders>
            <w:shd w:val="clear" w:color="auto" w:fill="D9E1F2"/>
            <w:vAlign w:val="center"/>
          </w:tcPr>
          <w:p w14:paraId="124BBCD5"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19.18</w:t>
            </w:r>
          </w:p>
        </w:tc>
        <w:tc>
          <w:tcPr>
            <w:tcW w:w="1134" w:type="dxa"/>
            <w:tcBorders>
              <w:top w:val="single" w:sz="6" w:space="0" w:color="auto"/>
              <w:left w:val="single" w:sz="6" w:space="0" w:color="auto"/>
              <w:bottom w:val="single" w:sz="6" w:space="0" w:color="auto"/>
              <w:right w:val="single" w:sz="6" w:space="0" w:color="auto"/>
            </w:tcBorders>
            <w:shd w:val="clear" w:color="auto" w:fill="D9E1F2"/>
            <w:vAlign w:val="center"/>
          </w:tcPr>
          <w:p w14:paraId="7E97E887"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12.20</w:t>
            </w:r>
          </w:p>
        </w:tc>
        <w:tc>
          <w:tcPr>
            <w:tcW w:w="1134" w:type="dxa"/>
            <w:tcBorders>
              <w:top w:val="single" w:sz="6" w:space="0" w:color="auto"/>
              <w:left w:val="single" w:sz="6" w:space="0" w:color="auto"/>
              <w:bottom w:val="single" w:sz="6" w:space="0" w:color="auto"/>
              <w:right w:val="single" w:sz="6" w:space="0" w:color="auto"/>
            </w:tcBorders>
            <w:shd w:val="clear" w:color="auto" w:fill="D9E1F2"/>
            <w:vAlign w:val="center"/>
          </w:tcPr>
          <w:p w14:paraId="24C0893E"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6.98</w:t>
            </w:r>
          </w:p>
        </w:tc>
        <w:tc>
          <w:tcPr>
            <w:tcW w:w="1984" w:type="dxa"/>
            <w:tcBorders>
              <w:top w:val="single" w:sz="6" w:space="0" w:color="auto"/>
              <w:left w:val="single" w:sz="6" w:space="0" w:color="auto"/>
              <w:bottom w:val="single" w:sz="6" w:space="0" w:color="auto"/>
              <w:right w:val="single" w:sz="6" w:space="0" w:color="auto"/>
            </w:tcBorders>
            <w:shd w:val="clear" w:color="auto" w:fill="D9E1F2"/>
            <w:vAlign w:val="center"/>
          </w:tcPr>
          <w:p w14:paraId="095DCF4B"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0.3684 ***</w:t>
            </w:r>
          </w:p>
        </w:tc>
      </w:tr>
      <w:tr w:rsidR="00802A97" w:rsidRPr="00802A97" w14:paraId="019529AC" w14:textId="77777777" w:rsidTr="00802A97">
        <w:trPr>
          <w:trHeight w:val="300"/>
        </w:trPr>
        <w:tc>
          <w:tcPr>
            <w:tcW w:w="1324" w:type="dxa"/>
            <w:vMerge/>
            <w:tcBorders>
              <w:top w:val="nil"/>
              <w:left w:val="single" w:sz="6" w:space="0" w:color="auto"/>
              <w:bottom w:val="single" w:sz="6" w:space="0" w:color="000000"/>
              <w:right w:val="single" w:sz="6" w:space="0" w:color="000000"/>
            </w:tcBorders>
            <w:shd w:val="clear" w:color="auto" w:fill="auto"/>
            <w:vAlign w:val="center"/>
            <w:hideMark/>
          </w:tcPr>
          <w:p w14:paraId="0B857DF2" w14:textId="77777777" w:rsidR="00802A97" w:rsidRPr="00802A97" w:rsidRDefault="00802A97" w:rsidP="00802A97">
            <w:pPr>
              <w:spacing w:line="240" w:lineRule="auto"/>
              <w:rPr>
                <w:rFonts w:cs="Arial"/>
                <w:szCs w:val="20"/>
                <w:lang w:eastAsia="en-GB"/>
              </w:rPr>
            </w:pPr>
          </w:p>
        </w:tc>
        <w:tc>
          <w:tcPr>
            <w:tcW w:w="1265" w:type="dxa"/>
            <w:tcBorders>
              <w:top w:val="single" w:sz="6" w:space="0" w:color="auto"/>
              <w:left w:val="nil"/>
              <w:bottom w:val="single" w:sz="6" w:space="0" w:color="auto"/>
              <w:right w:val="single" w:sz="6" w:space="0" w:color="auto"/>
            </w:tcBorders>
            <w:shd w:val="clear" w:color="auto" w:fill="auto"/>
            <w:vAlign w:val="center"/>
            <w:hideMark/>
          </w:tcPr>
          <w:p w14:paraId="1B3D6BEE" w14:textId="77777777" w:rsidR="00802A97" w:rsidRPr="00802A97" w:rsidRDefault="00802A97" w:rsidP="00802A97">
            <w:pPr>
              <w:spacing w:line="240" w:lineRule="auto"/>
              <w:jc w:val="center"/>
              <w:textAlignment w:val="baseline"/>
              <w:rPr>
                <w:rFonts w:cs="Arial"/>
                <w:szCs w:val="20"/>
                <w:lang w:eastAsia="en-GB"/>
              </w:rPr>
            </w:pPr>
            <w:r w:rsidRPr="00802A97">
              <w:rPr>
                <w:rFonts w:cs="Arial"/>
                <w:b/>
                <w:bCs/>
                <w:color w:val="000000"/>
                <w:szCs w:val="20"/>
                <w:lang w:eastAsia="en-GB"/>
              </w:rPr>
              <w:t>RECEIVER</w:t>
            </w:r>
            <w:r w:rsidRPr="00802A97">
              <w:rPr>
                <w:rFonts w:cs="Arial"/>
                <w:color w:val="000000"/>
                <w:szCs w:val="20"/>
                <w:lang w:eastAsia="en-GB"/>
              </w:rPr>
              <w:t> </w:t>
            </w:r>
          </w:p>
        </w:tc>
        <w:tc>
          <w:tcPr>
            <w:tcW w:w="7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625A16" w14:textId="77777777" w:rsidR="00802A97" w:rsidRPr="00802A97" w:rsidRDefault="00802A97" w:rsidP="00802A97">
            <w:pPr>
              <w:spacing w:line="240" w:lineRule="auto"/>
              <w:jc w:val="center"/>
              <w:textAlignment w:val="baseline"/>
              <w:rPr>
                <w:rFonts w:cs="Arial"/>
                <w:szCs w:val="20"/>
                <w:lang w:eastAsia="en-GB"/>
              </w:rPr>
            </w:pPr>
            <w:r w:rsidRPr="00802A97">
              <w:rPr>
                <w:rFonts w:cs="Arial"/>
                <w:color w:val="000000"/>
                <w:szCs w:val="20"/>
                <w:lang w:eastAsia="en-GB"/>
              </w:rPr>
              <w:t>n=83</w:t>
            </w:r>
          </w:p>
        </w:tc>
        <w:tc>
          <w:tcPr>
            <w:tcW w:w="1092" w:type="dxa"/>
            <w:tcBorders>
              <w:top w:val="single" w:sz="6" w:space="0" w:color="auto"/>
              <w:left w:val="single" w:sz="6" w:space="0" w:color="auto"/>
              <w:bottom w:val="single" w:sz="6" w:space="0" w:color="auto"/>
              <w:right w:val="single" w:sz="6" w:space="0" w:color="auto"/>
            </w:tcBorders>
            <w:shd w:val="clear" w:color="auto" w:fill="auto"/>
            <w:vAlign w:val="center"/>
          </w:tcPr>
          <w:p w14:paraId="3E26C28D"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19.18</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0027CC7"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9.95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A79CB2A"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9.23</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1D73E141" w14:textId="77777777" w:rsidR="00802A97" w:rsidRPr="00802A97" w:rsidRDefault="00802A97" w:rsidP="00802A97">
            <w:pPr>
              <w:spacing w:line="240" w:lineRule="auto"/>
              <w:jc w:val="center"/>
              <w:textAlignment w:val="baseline"/>
              <w:rPr>
                <w:rFonts w:cs="Arial"/>
                <w:szCs w:val="20"/>
                <w:lang w:eastAsia="en-GB"/>
              </w:rPr>
            </w:pPr>
            <w:r w:rsidRPr="00802A97">
              <w:rPr>
                <w:rFonts w:cs="Arial"/>
                <w:szCs w:val="20"/>
                <w:lang w:eastAsia="en-GB"/>
              </w:rPr>
              <w:t>0.4913 ***</w:t>
            </w:r>
          </w:p>
        </w:tc>
      </w:tr>
    </w:tbl>
    <w:p w14:paraId="50C62027" w14:textId="498F1126" w:rsidR="00802A97" w:rsidRDefault="0077728C" w:rsidP="00EE0017">
      <w:r w:rsidRPr="0077728C">
        <w:rPr>
          <w:b/>
          <w:bCs/>
        </w:rPr>
        <w:t>Notes</w:t>
      </w:r>
      <w:r>
        <w:t xml:space="preserve">: </w:t>
      </w:r>
      <w:r w:rsidRPr="0077728C">
        <w:t>Mean admission and occupied bed day counts in the year before and year after study index date are shown. The mean change</w:t>
      </w:r>
      <w:r w:rsidR="008501E0">
        <w:t xml:space="preserve">s </w:t>
      </w:r>
      <w:r w:rsidRPr="0077728C">
        <w:t>for each cohort and the effect sizes of these changes (Wilcoxon signed-rank tests) are also displayed. *** p &lt; 0.001, Wilcoxon signed-rank test</w:t>
      </w:r>
    </w:p>
    <w:p w14:paraId="234DDDB4" w14:textId="73E418A7" w:rsidR="00802A97" w:rsidRDefault="00802A97" w:rsidP="008F193E">
      <w:pPr>
        <w:pStyle w:val="Heading1"/>
      </w:pPr>
      <w:r>
        <w:lastRenderedPageBreak/>
        <w:t>Supplementary Figures</w:t>
      </w:r>
    </w:p>
    <w:p w14:paraId="6F2B2B8E" w14:textId="77777777" w:rsidR="008F193E" w:rsidRPr="008F193E" w:rsidRDefault="008F193E" w:rsidP="008F193E"/>
    <w:p w14:paraId="53616677" w14:textId="1800BCD7" w:rsidR="00802A97" w:rsidRDefault="00F967A4" w:rsidP="35AC2F02">
      <w:pPr>
        <w:rPr>
          <w:rFonts w:eastAsia="Arial" w:cs="Arial"/>
          <w:szCs w:val="20"/>
        </w:rPr>
      </w:pPr>
      <w:r>
        <w:rPr>
          <w:noProof/>
        </w:rPr>
        <w:drawing>
          <wp:inline distT="0" distB="0" distL="0" distR="0" wp14:anchorId="3836A6D2" wp14:editId="7109B7E0">
            <wp:extent cx="5486400" cy="3153410"/>
            <wp:effectExtent l="0" t="0" r="0" b="8890"/>
            <wp:docPr id="1298787644" name="Picture 1298787644" descr="A picture containing text, screenshot, diagram, electric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787644"/>
                    <pic:cNvPicPr/>
                  </pic:nvPicPr>
                  <pic:blipFill>
                    <a:blip r:embed="rId9">
                      <a:extLst>
                        <a:ext uri="{28A0092B-C50C-407E-A947-70E740481C1C}">
                          <a14:useLocalDpi xmlns:a14="http://schemas.microsoft.com/office/drawing/2010/main" val="0"/>
                        </a:ext>
                      </a:extLst>
                    </a:blip>
                    <a:stretch>
                      <a:fillRect/>
                    </a:stretch>
                  </pic:blipFill>
                  <pic:spPr>
                    <a:xfrm>
                      <a:off x="0" y="0"/>
                      <a:ext cx="5486400" cy="3153410"/>
                    </a:xfrm>
                    <a:prstGeom prst="rect">
                      <a:avLst/>
                    </a:prstGeom>
                  </pic:spPr>
                </pic:pic>
              </a:graphicData>
            </a:graphic>
          </wp:inline>
        </w:drawing>
      </w:r>
      <w:r w:rsidR="00802A97" w:rsidRPr="0090677A">
        <w:rPr>
          <w:b/>
          <w:bCs/>
        </w:rPr>
        <w:t>Supplementary Figure 1</w:t>
      </w:r>
      <w:r w:rsidR="00802A97" w:rsidRPr="0090677A">
        <w:t xml:space="preserve"> Violin boxplots showing the distribution of CAT entry, MRC </w:t>
      </w:r>
      <w:proofErr w:type="spellStart"/>
      <w:r w:rsidR="00802A97" w:rsidRPr="0090677A">
        <w:t>Dyspnoea</w:t>
      </w:r>
      <w:proofErr w:type="spellEnd"/>
      <w:r w:rsidR="00802A97" w:rsidRPr="0090677A">
        <w:t xml:space="preserve"> Scale, and EQ-5D entry completions amongst the RECEIVER cohort across the length of follow-up. </w:t>
      </w:r>
      <w:r w:rsidR="518A0356" w:rsidRPr="0090677A">
        <w:rPr>
          <w:rFonts w:eastAsia="Arial" w:cs="Arial"/>
          <w:color w:val="1D1C1D"/>
          <w:szCs w:val="20"/>
        </w:rPr>
        <w:t xml:space="preserve">Violin-box plots are selected to ensure complete data provision. For their interpretation: standard boxplots illustrate the variation of </w:t>
      </w:r>
      <w:r w:rsidR="5F7B3945" w:rsidRPr="0090677A">
        <w:rPr>
          <w:rFonts w:eastAsia="Arial" w:cs="Arial"/>
          <w:color w:val="1D1C1D"/>
          <w:szCs w:val="20"/>
        </w:rPr>
        <w:t>values</w:t>
      </w:r>
      <w:r w:rsidR="518A0356" w:rsidRPr="0090677A">
        <w:rPr>
          <w:rFonts w:eastAsia="Arial" w:cs="Arial"/>
          <w:color w:val="1D1C1D"/>
          <w:szCs w:val="20"/>
        </w:rPr>
        <w:t xml:space="preserve"> (median and IQR), the relative frequency of individual data points is illustrated by the width of the violin plot at each point on the y-axis, and mean </w:t>
      </w:r>
      <w:r w:rsidR="429F8D0D" w:rsidRPr="0090677A">
        <w:rPr>
          <w:rFonts w:eastAsia="Arial" w:cs="Arial"/>
          <w:color w:val="1D1C1D"/>
          <w:szCs w:val="20"/>
        </w:rPr>
        <w:t>values</w:t>
      </w:r>
      <w:r w:rsidR="518A0356" w:rsidRPr="0090677A">
        <w:rPr>
          <w:rFonts w:eastAsia="Arial" w:cs="Arial"/>
          <w:color w:val="1D1C1D"/>
          <w:szCs w:val="20"/>
        </w:rPr>
        <w:t xml:space="preserve"> are shown by red dots</w:t>
      </w:r>
      <w:r w:rsidR="1FA411D3" w:rsidRPr="0090677A">
        <w:rPr>
          <w:rFonts w:eastAsia="Arial" w:cs="Arial"/>
          <w:color w:val="1D1C1D"/>
          <w:szCs w:val="20"/>
        </w:rPr>
        <w:t>.</w:t>
      </w:r>
    </w:p>
    <w:p w14:paraId="513FF5F5" w14:textId="77777777" w:rsidR="00F967A4" w:rsidRDefault="00F967A4" w:rsidP="00EE0017"/>
    <w:p w14:paraId="0F42BE62" w14:textId="68398609" w:rsidR="00802A97" w:rsidRDefault="00802A97" w:rsidP="00EE0017"/>
    <w:p w14:paraId="01D7F1F9" w14:textId="500BFFAA" w:rsidR="00802A97" w:rsidRDefault="00F967A4" w:rsidP="00EE0017">
      <w:r>
        <w:rPr>
          <w:noProof/>
        </w:rPr>
        <w:lastRenderedPageBreak/>
        <w:drawing>
          <wp:inline distT="0" distB="0" distL="0" distR="0" wp14:anchorId="775BEC41" wp14:editId="2898589C">
            <wp:extent cx="5486400" cy="3151505"/>
            <wp:effectExtent l="0" t="0" r="0" b="0"/>
            <wp:docPr id="1409903840" name="Picture 140990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03840" name="Picture 14099038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3151505"/>
                    </a:xfrm>
                    <a:prstGeom prst="rect">
                      <a:avLst/>
                    </a:prstGeom>
                  </pic:spPr>
                </pic:pic>
              </a:graphicData>
            </a:graphic>
          </wp:inline>
        </w:drawing>
      </w:r>
    </w:p>
    <w:p w14:paraId="261BD4FC" w14:textId="4C477BA3" w:rsidR="00802A97" w:rsidRDefault="00802A97" w:rsidP="35AC2F02">
      <w:pPr>
        <w:rPr>
          <w:rFonts w:eastAsia="Arial" w:cs="Arial"/>
          <w:szCs w:val="20"/>
        </w:rPr>
      </w:pPr>
      <w:r w:rsidRPr="009C14D9">
        <w:rPr>
          <w:b/>
          <w:bCs/>
        </w:rPr>
        <w:t>Supplementary Figure 2</w:t>
      </w:r>
      <w:r w:rsidRPr="009C14D9">
        <w:t xml:space="preserve"> Violin boxplots </w:t>
      </w:r>
      <w:r w:rsidR="005C332E" w:rsidRPr="009C14D9">
        <w:t xml:space="preserve">showing </w:t>
      </w:r>
      <w:r w:rsidRPr="009C14D9">
        <w:t>the distribution of community-managed exacerbation counts within the RECEIVER cohort during the first year of follow-up.</w:t>
      </w:r>
      <w:r w:rsidR="002902C4" w:rsidRPr="009C14D9">
        <w:t xml:space="preserve"> The cohort is stratified into four utilization quartiles based on mean CAT entry count in the previous 7-days at each point over the first year of follow-up. </w:t>
      </w:r>
      <w:r w:rsidR="65E1CFA9" w:rsidRPr="009C14D9">
        <w:rPr>
          <w:rFonts w:eastAsia="Arial" w:cs="Arial"/>
          <w:color w:val="1D1C1D"/>
          <w:szCs w:val="20"/>
        </w:rPr>
        <w:t>Violin-box plots are selected to ensure complete data provision. For their interpretation: standard boxplots illustrate the variation of values (median and IQR), the relative frequency of individual data points is illustrated by the width of the violin plot at each point on the y-axis, and mean values are shown by red dots.</w:t>
      </w:r>
    </w:p>
    <w:p w14:paraId="0BA86A16" w14:textId="17A03FF3" w:rsidR="00222B73" w:rsidRDefault="00222B73" w:rsidP="00EE0017"/>
    <w:p w14:paraId="79C212A8" w14:textId="428D875F" w:rsidR="00222B73" w:rsidRDefault="00F90FFF" w:rsidP="00EE0017">
      <w:r w:rsidRPr="00F90FFF">
        <w:rPr>
          <w:noProof/>
        </w:rPr>
        <w:lastRenderedPageBreak/>
        <w:t xml:space="preserve"> </w:t>
      </w:r>
      <w:r w:rsidR="00892F21">
        <w:rPr>
          <w:noProof/>
        </w:rPr>
        <w:drawing>
          <wp:inline distT="0" distB="0" distL="0" distR="0" wp14:anchorId="4A8F264C" wp14:editId="10FD91C1">
            <wp:extent cx="5444653" cy="3848100"/>
            <wp:effectExtent l="0" t="0" r="3810" b="0"/>
            <wp:docPr id="104980941" name="Picture 10498094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0941" name="Picture 3" descr="A screenshot of a computer&#10;&#10;Description automatically generated with low confidence"/>
                    <pic:cNvPicPr/>
                  </pic:nvPicPr>
                  <pic:blipFill rotWithShape="1">
                    <a:blip r:embed="rId11" cstate="print">
                      <a:extLst>
                        <a:ext uri="{28A0092B-C50C-407E-A947-70E740481C1C}">
                          <a14:useLocalDpi xmlns:a14="http://schemas.microsoft.com/office/drawing/2010/main" val="0"/>
                        </a:ext>
                      </a:extLst>
                    </a:blip>
                    <a:srcRect r="7639" b="53846"/>
                    <a:stretch/>
                  </pic:blipFill>
                  <pic:spPr bwMode="auto">
                    <a:xfrm>
                      <a:off x="0" y="0"/>
                      <a:ext cx="5458680" cy="3858014"/>
                    </a:xfrm>
                    <a:prstGeom prst="rect">
                      <a:avLst/>
                    </a:prstGeom>
                    <a:ln>
                      <a:noFill/>
                    </a:ln>
                    <a:extLst>
                      <a:ext uri="{53640926-AAD7-44D8-BBD7-CCE9431645EC}">
                        <a14:shadowObscured xmlns:a14="http://schemas.microsoft.com/office/drawing/2010/main"/>
                      </a:ext>
                    </a:extLst>
                  </pic:spPr>
                </pic:pic>
              </a:graphicData>
            </a:graphic>
          </wp:inline>
        </w:drawing>
      </w:r>
    </w:p>
    <w:p w14:paraId="4B0BC9CF" w14:textId="6B101A2B" w:rsidR="009F28A8" w:rsidRPr="00EE0017" w:rsidRDefault="004C6AED" w:rsidP="004C6AED">
      <w:r w:rsidRPr="009C14D9">
        <w:rPr>
          <w:b/>
          <w:bCs/>
        </w:rPr>
        <w:t>Supplementary Figure 3</w:t>
      </w:r>
      <w:r w:rsidRPr="009C14D9">
        <w:t xml:space="preserve"> Additional plain</w:t>
      </w:r>
      <w:r w:rsidRPr="00111A3E">
        <w:t xml:space="preserve"> language resources summarizing the trial result</w:t>
      </w:r>
      <w:r w:rsidR="009E227B" w:rsidRPr="00111A3E">
        <w:t>s</w:t>
      </w:r>
    </w:p>
    <w:sectPr w:rsidR="009F28A8" w:rsidRPr="00EE0017" w:rsidSect="00C94612">
      <w:footerReference w:type="even" r:id="rId12"/>
      <w:footerReference w:type="default" r:id="rId13"/>
      <w:footerReference w:type="first" r:id="rId14"/>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2D2B" w14:textId="77777777" w:rsidR="00064361" w:rsidRDefault="00064361">
      <w:r>
        <w:separator/>
      </w:r>
    </w:p>
  </w:endnote>
  <w:endnote w:type="continuationSeparator" w:id="0">
    <w:p w14:paraId="3BB89617" w14:textId="77777777" w:rsidR="00064361" w:rsidRDefault="00064361">
      <w:r>
        <w:continuationSeparator/>
      </w:r>
    </w:p>
  </w:endnote>
  <w:endnote w:type="continuationNotice" w:id="1">
    <w:p w14:paraId="718BDF78" w14:textId="77777777" w:rsidR="00064361" w:rsidRDefault="00064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04A1477B" w:rsidR="006C5368" w:rsidRDefault="00993A76"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8240" behindDoc="0" locked="0" layoutInCell="0" allowOverlap="1" wp14:anchorId="7AB8E50F" wp14:editId="6F6EB1A0">
              <wp:simplePos x="0" y="0"/>
              <wp:positionH relativeFrom="page">
                <wp:posOffset>0</wp:posOffset>
              </wp:positionH>
              <wp:positionV relativeFrom="page">
                <wp:posOffset>9603740</wp:posOffset>
              </wp:positionV>
              <wp:extent cx="7772400" cy="264160"/>
              <wp:effectExtent l="0" t="2540" r="0" b="0"/>
              <wp:wrapNone/>
              <wp:docPr id="2" name="Text Box 2"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v:shapetype id="_x0000_t202" coordsize="21600,21600" o:spt="202" path="m,l,21600r21600,l21600,xe" w14:anchorId="7AB8E50F">
              <v:stroke joinstyle="miter"/>
              <v:path gradientshapeok="t" o:connecttype="rect"/>
            </v:shapetype>
            <v:shape id="MSIPCM8ef54de2a7a4d03c423a990a"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8403003,&quot;Height&quot;:792.0,&quot;Width&quot;:612.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v:textbox inset="20pt,0,,0">
                <w:txbxContent>
                  <w:p w:rsidRPr="00740F67" w:rsidR="00740F67" w:rsidP="00740F67" w:rsidRDefault="00740F67" w14:paraId="5CBE7705" w14:textId="11E8F27B">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200E417D" w:rsidR="00740F67" w:rsidRDefault="00993A76">
    <w:pPr>
      <w:pStyle w:val="Footer"/>
    </w:pPr>
    <w:r>
      <w:rPr>
        <w:noProof/>
      </w:rPr>
      <mc:AlternateContent>
        <mc:Choice Requires="wps">
          <w:drawing>
            <wp:anchor distT="0" distB="0" distL="114300" distR="114300" simplePos="0" relativeHeight="251658241" behindDoc="0" locked="0" layoutInCell="0" allowOverlap="1" wp14:anchorId="2D742D44" wp14:editId="00F70883">
              <wp:simplePos x="0" y="0"/>
              <wp:positionH relativeFrom="page">
                <wp:posOffset>0</wp:posOffset>
              </wp:positionH>
              <wp:positionV relativeFrom="page">
                <wp:posOffset>9603740</wp:posOffset>
              </wp:positionV>
              <wp:extent cx="7772400" cy="264160"/>
              <wp:effectExtent l="0" t="2540" r="0" b="0"/>
              <wp:wrapNone/>
              <wp:docPr id="1" name="Text Box 1"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v:shapetype id="_x0000_t202" coordsize="21600,21600" o:spt="202" path="m,l,21600r21600,l21600,xe" w14:anchorId="2D742D44">
              <v:stroke joinstyle="miter"/>
              <v:path gradientshapeok="t" o:connecttype="rect"/>
            </v:shapetype>
            <v:shape id="MSIPCM71df4afb82ef22201046dfa6"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8403003,&quot;Height&quot;:792.0,&quot;Width&quot;:612.0,&quot;Placement&quot;:&quot;Footer&quot;,&quot;Index&quot;:&quot;FirstPage&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v:textbox inset="20pt,0,,0">
                <w:txbxContent>
                  <w:p w:rsidRPr="00740F67" w:rsidR="00740F67" w:rsidP="00740F67" w:rsidRDefault="00740F67" w14:paraId="640858B6" w14:textId="2F40394D">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A816" w14:textId="77777777" w:rsidR="00064361" w:rsidRDefault="00064361">
      <w:r>
        <w:separator/>
      </w:r>
    </w:p>
  </w:footnote>
  <w:footnote w:type="continuationSeparator" w:id="0">
    <w:p w14:paraId="085D0DAA" w14:textId="77777777" w:rsidR="00064361" w:rsidRDefault="00064361">
      <w:r>
        <w:continuationSeparator/>
      </w:r>
    </w:p>
  </w:footnote>
  <w:footnote w:type="continuationNotice" w:id="1">
    <w:p w14:paraId="1A52D193" w14:textId="77777777" w:rsidR="00064361" w:rsidRDefault="0006436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4516800">
    <w:abstractNumId w:val="1"/>
  </w:num>
  <w:num w:numId="2" w16cid:durableId="1802923001">
    <w:abstractNumId w:val="2"/>
  </w:num>
  <w:num w:numId="3" w16cid:durableId="56557753">
    <w:abstractNumId w:val="5"/>
  </w:num>
  <w:num w:numId="4" w16cid:durableId="663169696">
    <w:abstractNumId w:val="3"/>
  </w:num>
  <w:num w:numId="5" w16cid:durableId="923493819">
    <w:abstractNumId w:val="0"/>
  </w:num>
  <w:num w:numId="6" w16cid:durableId="1480609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3695"/>
    <w:rsid w:val="000342A0"/>
    <w:rsid w:val="00035CCC"/>
    <w:rsid w:val="00043C1E"/>
    <w:rsid w:val="0005257A"/>
    <w:rsid w:val="00054361"/>
    <w:rsid w:val="00062025"/>
    <w:rsid w:val="00064361"/>
    <w:rsid w:val="000666AF"/>
    <w:rsid w:val="0007252D"/>
    <w:rsid w:val="0008401B"/>
    <w:rsid w:val="00087F9B"/>
    <w:rsid w:val="000A4388"/>
    <w:rsid w:val="000B2BC9"/>
    <w:rsid w:val="000C59ED"/>
    <w:rsid w:val="000D3E37"/>
    <w:rsid w:val="000E6B48"/>
    <w:rsid w:val="000E7758"/>
    <w:rsid w:val="000F0451"/>
    <w:rsid w:val="000F3348"/>
    <w:rsid w:val="00111A3E"/>
    <w:rsid w:val="00117777"/>
    <w:rsid w:val="00127CD5"/>
    <w:rsid w:val="00133131"/>
    <w:rsid w:val="0017004E"/>
    <w:rsid w:val="00170F20"/>
    <w:rsid w:val="00173279"/>
    <w:rsid w:val="00191F49"/>
    <w:rsid w:val="001D044D"/>
    <w:rsid w:val="001E7479"/>
    <w:rsid w:val="00203209"/>
    <w:rsid w:val="00217D65"/>
    <w:rsid w:val="00222B73"/>
    <w:rsid w:val="0022632E"/>
    <w:rsid w:val="00240E76"/>
    <w:rsid w:val="00242B46"/>
    <w:rsid w:val="00246A32"/>
    <w:rsid w:val="00270A96"/>
    <w:rsid w:val="00272487"/>
    <w:rsid w:val="00281EEC"/>
    <w:rsid w:val="00285503"/>
    <w:rsid w:val="00286E82"/>
    <w:rsid w:val="002902C4"/>
    <w:rsid w:val="00294CB0"/>
    <w:rsid w:val="002A2D9E"/>
    <w:rsid w:val="002B36EF"/>
    <w:rsid w:val="002C0943"/>
    <w:rsid w:val="002D1A3E"/>
    <w:rsid w:val="002F4012"/>
    <w:rsid w:val="003155A1"/>
    <w:rsid w:val="00320521"/>
    <w:rsid w:val="00324666"/>
    <w:rsid w:val="003271FD"/>
    <w:rsid w:val="0037212B"/>
    <w:rsid w:val="0038573C"/>
    <w:rsid w:val="0038598C"/>
    <w:rsid w:val="0039041E"/>
    <w:rsid w:val="003948EC"/>
    <w:rsid w:val="003A6F39"/>
    <w:rsid w:val="003B4083"/>
    <w:rsid w:val="003D69BD"/>
    <w:rsid w:val="00410570"/>
    <w:rsid w:val="00411796"/>
    <w:rsid w:val="00431388"/>
    <w:rsid w:val="00473BF1"/>
    <w:rsid w:val="004754C9"/>
    <w:rsid w:val="004842BE"/>
    <w:rsid w:val="004B443F"/>
    <w:rsid w:val="004B52C5"/>
    <w:rsid w:val="004C5313"/>
    <w:rsid w:val="004C5DB2"/>
    <w:rsid w:val="004C6AED"/>
    <w:rsid w:val="004C727D"/>
    <w:rsid w:val="004E0368"/>
    <w:rsid w:val="004E2F6D"/>
    <w:rsid w:val="004E782D"/>
    <w:rsid w:val="00511DB2"/>
    <w:rsid w:val="00523036"/>
    <w:rsid w:val="00553800"/>
    <w:rsid w:val="00556F09"/>
    <w:rsid w:val="00565970"/>
    <w:rsid w:val="005A6431"/>
    <w:rsid w:val="005C332E"/>
    <w:rsid w:val="005E1ECB"/>
    <w:rsid w:val="00600B5C"/>
    <w:rsid w:val="0060400B"/>
    <w:rsid w:val="00611C5F"/>
    <w:rsid w:val="00616A5D"/>
    <w:rsid w:val="0062140C"/>
    <w:rsid w:val="006300F4"/>
    <w:rsid w:val="00646CF0"/>
    <w:rsid w:val="00654D90"/>
    <w:rsid w:val="00661C2D"/>
    <w:rsid w:val="00662E52"/>
    <w:rsid w:val="00664525"/>
    <w:rsid w:val="00665221"/>
    <w:rsid w:val="00667BDF"/>
    <w:rsid w:val="00680193"/>
    <w:rsid w:val="00682F31"/>
    <w:rsid w:val="006B74D2"/>
    <w:rsid w:val="006C5368"/>
    <w:rsid w:val="006C58F2"/>
    <w:rsid w:val="006C6E88"/>
    <w:rsid w:val="006D0474"/>
    <w:rsid w:val="006D142F"/>
    <w:rsid w:val="006D4AC5"/>
    <w:rsid w:val="006E7713"/>
    <w:rsid w:val="0070481B"/>
    <w:rsid w:val="00711171"/>
    <w:rsid w:val="00712D1A"/>
    <w:rsid w:val="00723455"/>
    <w:rsid w:val="007265D3"/>
    <w:rsid w:val="00740F67"/>
    <w:rsid w:val="00745C2A"/>
    <w:rsid w:val="007505B2"/>
    <w:rsid w:val="00753E6B"/>
    <w:rsid w:val="00776A7C"/>
    <w:rsid w:val="0077728C"/>
    <w:rsid w:val="00780A29"/>
    <w:rsid w:val="007900DA"/>
    <w:rsid w:val="007A1BDB"/>
    <w:rsid w:val="007A2AB8"/>
    <w:rsid w:val="007A3BEE"/>
    <w:rsid w:val="007C30BC"/>
    <w:rsid w:val="007E39E1"/>
    <w:rsid w:val="007E5D6F"/>
    <w:rsid w:val="007F32DA"/>
    <w:rsid w:val="007F3E8B"/>
    <w:rsid w:val="00802A97"/>
    <w:rsid w:val="00827FC5"/>
    <w:rsid w:val="008501E0"/>
    <w:rsid w:val="0085083F"/>
    <w:rsid w:val="00852799"/>
    <w:rsid w:val="00862D02"/>
    <w:rsid w:val="0088598F"/>
    <w:rsid w:val="00887016"/>
    <w:rsid w:val="00892F21"/>
    <w:rsid w:val="008A08C0"/>
    <w:rsid w:val="008A4036"/>
    <w:rsid w:val="008A52A5"/>
    <w:rsid w:val="008B697C"/>
    <w:rsid w:val="008B7AD5"/>
    <w:rsid w:val="008C361E"/>
    <w:rsid w:val="008E3EA8"/>
    <w:rsid w:val="008F193E"/>
    <w:rsid w:val="00900663"/>
    <w:rsid w:val="00901244"/>
    <w:rsid w:val="0090677A"/>
    <w:rsid w:val="0091401F"/>
    <w:rsid w:val="009147B3"/>
    <w:rsid w:val="00927DE6"/>
    <w:rsid w:val="009345FC"/>
    <w:rsid w:val="00936E92"/>
    <w:rsid w:val="00937F3D"/>
    <w:rsid w:val="009403C0"/>
    <w:rsid w:val="009404EB"/>
    <w:rsid w:val="0094412D"/>
    <w:rsid w:val="00946800"/>
    <w:rsid w:val="00953ECC"/>
    <w:rsid w:val="009563F4"/>
    <w:rsid w:val="00956C4D"/>
    <w:rsid w:val="009828D3"/>
    <w:rsid w:val="00992CB9"/>
    <w:rsid w:val="00993A76"/>
    <w:rsid w:val="009A1F5A"/>
    <w:rsid w:val="009B1D49"/>
    <w:rsid w:val="009B5FCC"/>
    <w:rsid w:val="009C14D9"/>
    <w:rsid w:val="009D3AD0"/>
    <w:rsid w:val="009E227B"/>
    <w:rsid w:val="009F28A8"/>
    <w:rsid w:val="009F4132"/>
    <w:rsid w:val="00A10913"/>
    <w:rsid w:val="00A20FFB"/>
    <w:rsid w:val="00A3756A"/>
    <w:rsid w:val="00A445D7"/>
    <w:rsid w:val="00A6170F"/>
    <w:rsid w:val="00A63CD7"/>
    <w:rsid w:val="00A70251"/>
    <w:rsid w:val="00A768D8"/>
    <w:rsid w:val="00AB389E"/>
    <w:rsid w:val="00AB47E4"/>
    <w:rsid w:val="00AC1F93"/>
    <w:rsid w:val="00AC5480"/>
    <w:rsid w:val="00AD5F34"/>
    <w:rsid w:val="00AD76B0"/>
    <w:rsid w:val="00AE5062"/>
    <w:rsid w:val="00B26A6E"/>
    <w:rsid w:val="00B30BC3"/>
    <w:rsid w:val="00B33CE1"/>
    <w:rsid w:val="00B7570E"/>
    <w:rsid w:val="00B82724"/>
    <w:rsid w:val="00B86FEB"/>
    <w:rsid w:val="00B96017"/>
    <w:rsid w:val="00BB027B"/>
    <w:rsid w:val="00C01AAA"/>
    <w:rsid w:val="00C43B3D"/>
    <w:rsid w:val="00C548FC"/>
    <w:rsid w:val="00C576F1"/>
    <w:rsid w:val="00C6765C"/>
    <w:rsid w:val="00C701F9"/>
    <w:rsid w:val="00C94612"/>
    <w:rsid w:val="00CB0023"/>
    <w:rsid w:val="00CC1ADF"/>
    <w:rsid w:val="00CC27DB"/>
    <w:rsid w:val="00CD758F"/>
    <w:rsid w:val="00CE79D7"/>
    <w:rsid w:val="00CE7DDC"/>
    <w:rsid w:val="00D00B4B"/>
    <w:rsid w:val="00D10823"/>
    <w:rsid w:val="00D20F53"/>
    <w:rsid w:val="00D50641"/>
    <w:rsid w:val="00D51863"/>
    <w:rsid w:val="00D578A6"/>
    <w:rsid w:val="00D700C3"/>
    <w:rsid w:val="00D7204D"/>
    <w:rsid w:val="00D81B3E"/>
    <w:rsid w:val="00D94F22"/>
    <w:rsid w:val="00DB0A0D"/>
    <w:rsid w:val="00DC2482"/>
    <w:rsid w:val="00DE5F42"/>
    <w:rsid w:val="00DF042B"/>
    <w:rsid w:val="00DF4C7F"/>
    <w:rsid w:val="00DF6A1F"/>
    <w:rsid w:val="00E031E1"/>
    <w:rsid w:val="00E1216B"/>
    <w:rsid w:val="00E45ED2"/>
    <w:rsid w:val="00E77827"/>
    <w:rsid w:val="00E96D45"/>
    <w:rsid w:val="00EC0D75"/>
    <w:rsid w:val="00ED4D96"/>
    <w:rsid w:val="00EE0017"/>
    <w:rsid w:val="00EE2FBA"/>
    <w:rsid w:val="00F03012"/>
    <w:rsid w:val="00F05A9C"/>
    <w:rsid w:val="00F05E46"/>
    <w:rsid w:val="00F111DE"/>
    <w:rsid w:val="00F16121"/>
    <w:rsid w:val="00F210A1"/>
    <w:rsid w:val="00F24210"/>
    <w:rsid w:val="00F41860"/>
    <w:rsid w:val="00F424C5"/>
    <w:rsid w:val="00F56A5E"/>
    <w:rsid w:val="00F67733"/>
    <w:rsid w:val="00F749A2"/>
    <w:rsid w:val="00F826FC"/>
    <w:rsid w:val="00F82795"/>
    <w:rsid w:val="00F90FFF"/>
    <w:rsid w:val="00F91124"/>
    <w:rsid w:val="00F91312"/>
    <w:rsid w:val="00F9503E"/>
    <w:rsid w:val="00F967A4"/>
    <w:rsid w:val="00FA2EA1"/>
    <w:rsid w:val="00FB5A89"/>
    <w:rsid w:val="00FC05F2"/>
    <w:rsid w:val="00FD4807"/>
    <w:rsid w:val="00FF2660"/>
    <w:rsid w:val="00FF6EA8"/>
    <w:rsid w:val="03AAB96D"/>
    <w:rsid w:val="09B61A29"/>
    <w:rsid w:val="0EB559DE"/>
    <w:rsid w:val="0EBAEDCF"/>
    <w:rsid w:val="0F54E8BB"/>
    <w:rsid w:val="11E47C0F"/>
    <w:rsid w:val="12495384"/>
    <w:rsid w:val="13322D51"/>
    <w:rsid w:val="177EDF07"/>
    <w:rsid w:val="1EC2FF17"/>
    <w:rsid w:val="1FA411D3"/>
    <w:rsid w:val="228903C5"/>
    <w:rsid w:val="250B9C0D"/>
    <w:rsid w:val="2B7E43CF"/>
    <w:rsid w:val="2FE97B23"/>
    <w:rsid w:val="35AC2F02"/>
    <w:rsid w:val="429F8D0D"/>
    <w:rsid w:val="43D7E942"/>
    <w:rsid w:val="4413A4C7"/>
    <w:rsid w:val="4609C1F1"/>
    <w:rsid w:val="46CFF55C"/>
    <w:rsid w:val="4C1D981C"/>
    <w:rsid w:val="4EB49012"/>
    <w:rsid w:val="4EE2F4C7"/>
    <w:rsid w:val="518A0356"/>
    <w:rsid w:val="5C9424DF"/>
    <w:rsid w:val="5DDA2E5A"/>
    <w:rsid w:val="5F7B3945"/>
    <w:rsid w:val="625B58F5"/>
    <w:rsid w:val="62C48203"/>
    <w:rsid w:val="6338607A"/>
    <w:rsid w:val="6490218A"/>
    <w:rsid w:val="6592F9B7"/>
    <w:rsid w:val="65E1CFA9"/>
    <w:rsid w:val="672ECA18"/>
    <w:rsid w:val="6C30623B"/>
    <w:rsid w:val="6F43BC4F"/>
    <w:rsid w:val="78BA19B5"/>
    <w:rsid w:val="79D48136"/>
    <w:rsid w:val="7AF9819E"/>
    <w:rsid w:val="7DBC1C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7BFD9A6E-42C6-4A4C-8ECC-37A8CE78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132"/>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character" w:styleId="UnresolvedMention">
    <w:name w:val="Unresolved Mention"/>
    <w:basedOn w:val="DefaultParagraphFont"/>
    <w:uiPriority w:val="99"/>
    <w:semiHidden/>
    <w:unhideWhenUsed/>
    <w:rsid w:val="004C727D"/>
    <w:rPr>
      <w:color w:val="605E5C"/>
      <w:shd w:val="clear" w:color="auto" w:fill="E1DFDD"/>
    </w:rPr>
  </w:style>
  <w:style w:type="character" w:customStyle="1" w:styleId="Heading2Char">
    <w:name w:val="Heading 2 Char"/>
    <w:link w:val="Heading2"/>
    <w:rsid w:val="004C727D"/>
    <w:rPr>
      <w:rFonts w:ascii="Arial" w:hAnsi="Arial" w:cs="Arial"/>
      <w:b/>
      <w:bCs/>
      <w:i/>
      <w:iCs/>
      <w:sz w:val="28"/>
      <w:szCs w:val="28"/>
    </w:rPr>
  </w:style>
  <w:style w:type="table" w:styleId="TableGrid">
    <w:name w:val="Table Grid"/>
    <w:basedOn w:val="TableNormal"/>
    <w:uiPriority w:val="59"/>
    <w:rsid w:val="00953ECC"/>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665221"/>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02A97"/>
    <w:rPr>
      <w:rFonts w:asciiTheme="minorHAnsi" w:eastAsiaTheme="minorHAnsi" w:hAnsiTheme="minorHAnsi" w:cstheme="minorBidi"/>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0481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dscotland.org/products-and-services/scottish-atlas-of-variation/view-the-atlas/respiratory.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upport.nhscopd.scot/managing-my-cop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Andrew Cushing</cp:lastModifiedBy>
  <cp:revision>6</cp:revision>
  <cp:lastPrinted>2009-01-07T21:57:00Z</cp:lastPrinted>
  <dcterms:created xsi:type="dcterms:W3CDTF">2023-05-25T14:38:00Z</dcterms:created>
  <dcterms:modified xsi:type="dcterms:W3CDTF">2023-05-26T08:25:00Z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ies>
</file>