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5238B" w14:textId="6AF9ECD1" w:rsidR="008D1186" w:rsidRPr="00E001CF" w:rsidRDefault="00D73B88" w:rsidP="00220463">
      <w:pP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SUPPLEMENTARY MATERIALS</w:t>
      </w:r>
      <w:r w:rsidR="00C22624">
        <w:rPr>
          <w:rFonts w:ascii="Arial" w:hAnsi="Arial" w:cs="Arial"/>
          <w:b/>
          <w:caps/>
        </w:rPr>
        <w:t xml:space="preserve">: </w:t>
      </w:r>
      <w:r w:rsidR="00220463" w:rsidRPr="00E001CF">
        <w:rPr>
          <w:rFonts w:ascii="Arial" w:hAnsi="Arial" w:cs="Arial"/>
          <w:b/>
          <w:caps/>
        </w:rPr>
        <w:t>Inclusion</w:t>
      </w:r>
      <w:r w:rsidR="00070F9F" w:rsidRPr="00E001CF">
        <w:rPr>
          <w:rFonts w:ascii="Arial" w:hAnsi="Arial" w:cs="Arial"/>
          <w:b/>
          <w:caps/>
        </w:rPr>
        <w:t xml:space="preserve"> and </w:t>
      </w:r>
      <w:r w:rsidR="00220463" w:rsidRPr="00E001CF">
        <w:rPr>
          <w:rFonts w:ascii="Arial" w:hAnsi="Arial" w:cs="Arial"/>
          <w:b/>
          <w:caps/>
        </w:rPr>
        <w:t>Exclusion Criteria</w:t>
      </w:r>
    </w:p>
    <w:p w14:paraId="586F1276" w14:textId="77777777" w:rsidR="007C320A" w:rsidRPr="00E001CF" w:rsidRDefault="007C320A" w:rsidP="007C320A">
      <w:pPr>
        <w:rPr>
          <w:rFonts w:ascii="Arial" w:hAnsi="Arial" w:cs="Arial"/>
          <w:b/>
        </w:rPr>
      </w:pPr>
      <w:r w:rsidRPr="00E001CF">
        <w:rPr>
          <w:rFonts w:ascii="Arial" w:hAnsi="Arial" w:cs="Arial"/>
          <w:b/>
        </w:rPr>
        <w:t>General Inclusion Criteria</w:t>
      </w:r>
    </w:p>
    <w:p w14:paraId="345097CB" w14:textId="77777777" w:rsidR="00550239" w:rsidRPr="00E001CF" w:rsidDel="006D4970" w:rsidRDefault="00550239" w:rsidP="00550239">
      <w:pPr>
        <w:pStyle w:val="Bulletlisting"/>
        <w:numPr>
          <w:ilvl w:val="0"/>
          <w:numId w:val="7"/>
        </w:numPr>
        <w:tabs>
          <w:tab w:val="left" w:pos="900"/>
        </w:tabs>
        <w:spacing w:after="120" w:line="240" w:lineRule="auto"/>
        <w:rPr>
          <w:rFonts w:cs="Arial"/>
          <w:szCs w:val="22"/>
        </w:rPr>
      </w:pPr>
      <w:r w:rsidRPr="00E001CF" w:rsidDel="006D4970">
        <w:rPr>
          <w:rFonts w:cs="Arial"/>
          <w:szCs w:val="22"/>
        </w:rPr>
        <w:t xml:space="preserve">Provides a signed and dated informed consent </w:t>
      </w:r>
      <w:proofErr w:type="gramStart"/>
      <w:r w:rsidRPr="00E001CF" w:rsidDel="006D4970">
        <w:rPr>
          <w:rFonts w:cs="Arial"/>
          <w:szCs w:val="22"/>
        </w:rPr>
        <w:t>form</w:t>
      </w:r>
      <w:proofErr w:type="gramEnd"/>
    </w:p>
    <w:p w14:paraId="12DC10B4" w14:textId="77777777" w:rsidR="00550239" w:rsidRPr="00E001CF" w:rsidDel="006D4970" w:rsidRDefault="00550239" w:rsidP="00550239">
      <w:pPr>
        <w:pStyle w:val="Bulletlisting"/>
        <w:numPr>
          <w:ilvl w:val="0"/>
          <w:numId w:val="7"/>
        </w:numPr>
        <w:tabs>
          <w:tab w:val="left" w:pos="900"/>
        </w:tabs>
        <w:spacing w:after="120" w:line="240" w:lineRule="auto"/>
        <w:rPr>
          <w:rFonts w:cs="Arial"/>
          <w:szCs w:val="22"/>
        </w:rPr>
      </w:pPr>
      <w:r w:rsidRPr="00E001CF">
        <w:rPr>
          <w:rFonts w:cs="Arial"/>
          <w:szCs w:val="22"/>
        </w:rPr>
        <w:t>Is between 18 and 64</w:t>
      </w:r>
      <w:r w:rsidRPr="00E001CF" w:rsidDel="006D4970">
        <w:rPr>
          <w:rFonts w:cs="Arial"/>
          <w:szCs w:val="22"/>
        </w:rPr>
        <w:t xml:space="preserve"> years of age (inclusive; male or female and any race or ethnicity)</w:t>
      </w:r>
    </w:p>
    <w:p w14:paraId="1F798795" w14:textId="77777777" w:rsidR="00550239" w:rsidRPr="00E001CF" w:rsidRDefault="00550239" w:rsidP="00550239">
      <w:pPr>
        <w:pStyle w:val="Bulletlisting"/>
        <w:numPr>
          <w:ilvl w:val="0"/>
          <w:numId w:val="7"/>
        </w:numPr>
        <w:tabs>
          <w:tab w:val="left" w:pos="900"/>
        </w:tabs>
        <w:spacing w:after="120" w:line="240" w:lineRule="auto"/>
        <w:rPr>
          <w:rFonts w:cs="Arial"/>
          <w:szCs w:val="22"/>
        </w:rPr>
      </w:pPr>
      <w:r w:rsidRPr="00E001CF">
        <w:rPr>
          <w:rFonts w:cs="Arial"/>
          <w:szCs w:val="22"/>
        </w:rPr>
        <w:t xml:space="preserve">If taking a prescription or over-the-counter pain medication (including migraine-specific medications, such as triptans and ergots), agrees to discontinue its use for 3 days prior to the study </w:t>
      </w:r>
      <w:proofErr w:type="gramStart"/>
      <w:r w:rsidRPr="00E001CF">
        <w:rPr>
          <w:rFonts w:cs="Arial"/>
          <w:szCs w:val="22"/>
        </w:rPr>
        <w:t>visit</w:t>
      </w:r>
      <w:proofErr w:type="gramEnd"/>
    </w:p>
    <w:p w14:paraId="14532FD4" w14:textId="77777777" w:rsidR="00550239" w:rsidRPr="00E001CF" w:rsidRDefault="00550239" w:rsidP="00550239">
      <w:pPr>
        <w:pStyle w:val="Bulletlisting"/>
        <w:numPr>
          <w:ilvl w:val="0"/>
          <w:numId w:val="7"/>
        </w:numPr>
        <w:tabs>
          <w:tab w:val="left" w:pos="900"/>
        </w:tabs>
        <w:spacing w:after="120" w:line="240" w:lineRule="auto"/>
        <w:rPr>
          <w:rFonts w:cs="Arial"/>
          <w:szCs w:val="22"/>
        </w:rPr>
      </w:pPr>
      <w:r w:rsidRPr="00E001CF">
        <w:rPr>
          <w:rFonts w:cs="Arial"/>
          <w:szCs w:val="22"/>
        </w:rPr>
        <w:t xml:space="preserve">Willing and able to understand and comply with all study </w:t>
      </w:r>
      <w:proofErr w:type="gramStart"/>
      <w:r w:rsidRPr="00E001CF">
        <w:rPr>
          <w:rFonts w:cs="Arial"/>
          <w:szCs w:val="22"/>
        </w:rPr>
        <w:t>procedures</w:t>
      </w:r>
      <w:proofErr w:type="gramEnd"/>
    </w:p>
    <w:p w14:paraId="5B10F9DF" w14:textId="77777777" w:rsidR="007C320A" w:rsidRPr="00E001CF" w:rsidRDefault="007C320A" w:rsidP="007C320A">
      <w:pPr>
        <w:rPr>
          <w:rFonts w:ascii="Arial" w:hAnsi="Arial" w:cs="Arial"/>
          <w:b/>
        </w:rPr>
      </w:pPr>
      <w:r w:rsidRPr="00E001CF">
        <w:rPr>
          <w:rFonts w:ascii="Arial" w:hAnsi="Arial" w:cs="Arial"/>
          <w:b/>
        </w:rPr>
        <w:t>General Exclusion Criteria</w:t>
      </w:r>
      <w:r w:rsidRPr="00E001CF" w:rsidDel="006D4970">
        <w:rPr>
          <w:rFonts w:ascii="Arial" w:hAnsi="Arial" w:cs="Arial"/>
        </w:rPr>
        <w:t xml:space="preserve"> </w:t>
      </w:r>
    </w:p>
    <w:p w14:paraId="14540F30" w14:textId="4CE923E1" w:rsidR="00105730" w:rsidRPr="00E001CF" w:rsidRDefault="00105730" w:rsidP="00105730">
      <w:pPr>
        <w:pStyle w:val="Bulletlisting"/>
        <w:numPr>
          <w:ilvl w:val="0"/>
          <w:numId w:val="8"/>
        </w:numPr>
        <w:tabs>
          <w:tab w:val="left" w:pos="810"/>
        </w:tabs>
        <w:spacing w:after="120" w:line="240" w:lineRule="auto"/>
        <w:rPr>
          <w:rFonts w:cs="Arial"/>
          <w:szCs w:val="22"/>
        </w:rPr>
      </w:pPr>
      <w:r w:rsidRPr="00E001CF" w:rsidDel="006D4970">
        <w:rPr>
          <w:rFonts w:cs="Arial"/>
          <w:szCs w:val="22"/>
        </w:rPr>
        <w:t>Participants</w:t>
      </w:r>
      <w:r w:rsidRPr="00E001CF" w:rsidDel="006D4970">
        <w:rPr>
          <w:rFonts w:cs="Arial"/>
          <w:spacing w:val="-8"/>
          <w:szCs w:val="22"/>
        </w:rPr>
        <w:t xml:space="preserve"> </w:t>
      </w:r>
      <w:r w:rsidRPr="00E001CF" w:rsidDel="006D4970">
        <w:rPr>
          <w:rFonts w:cs="Arial"/>
          <w:szCs w:val="22"/>
        </w:rPr>
        <w:t>with</w:t>
      </w:r>
      <w:r w:rsidRPr="00E001CF" w:rsidDel="006D4970">
        <w:rPr>
          <w:rFonts w:cs="Arial"/>
          <w:spacing w:val="-4"/>
          <w:szCs w:val="22"/>
        </w:rPr>
        <w:t xml:space="preserve"> </w:t>
      </w:r>
      <w:r w:rsidRPr="00E001CF" w:rsidDel="006D4970">
        <w:rPr>
          <w:rFonts w:cs="Arial"/>
          <w:szCs w:val="22"/>
        </w:rPr>
        <w:t>severe</w:t>
      </w:r>
      <w:r w:rsidRPr="00E001CF" w:rsidDel="006D4970">
        <w:rPr>
          <w:rFonts w:cs="Arial"/>
          <w:spacing w:val="-7"/>
          <w:szCs w:val="22"/>
        </w:rPr>
        <w:t xml:space="preserve"> </w:t>
      </w:r>
      <w:r w:rsidRPr="00E001CF" w:rsidDel="006D4970">
        <w:rPr>
          <w:rFonts w:cs="Arial"/>
          <w:szCs w:val="22"/>
        </w:rPr>
        <w:t>hepatic,</w:t>
      </w:r>
      <w:r w:rsidRPr="00E001CF" w:rsidDel="006D4970">
        <w:rPr>
          <w:rFonts w:cs="Arial"/>
          <w:spacing w:val="-8"/>
          <w:szCs w:val="22"/>
        </w:rPr>
        <w:t xml:space="preserve"> </w:t>
      </w:r>
      <w:r w:rsidRPr="00E001CF" w:rsidDel="006D4970">
        <w:rPr>
          <w:rFonts w:cs="Arial"/>
          <w:szCs w:val="22"/>
        </w:rPr>
        <w:t>respirator</w:t>
      </w:r>
      <w:r w:rsidRPr="00E001CF" w:rsidDel="006D4970">
        <w:rPr>
          <w:rFonts w:cs="Arial"/>
          <w:spacing w:val="-7"/>
          <w:szCs w:val="22"/>
        </w:rPr>
        <w:t>y</w:t>
      </w:r>
      <w:r w:rsidRPr="00E001CF" w:rsidDel="006D4970">
        <w:rPr>
          <w:rFonts w:cs="Arial"/>
          <w:szCs w:val="22"/>
        </w:rPr>
        <w:t>,</w:t>
      </w:r>
      <w:r w:rsidRPr="00E001CF" w:rsidDel="006D4970">
        <w:rPr>
          <w:rFonts w:cs="Arial"/>
          <w:spacing w:val="-11"/>
          <w:szCs w:val="22"/>
        </w:rPr>
        <w:t xml:space="preserve"> </w:t>
      </w:r>
      <w:r w:rsidRPr="00E001CF" w:rsidDel="006D4970">
        <w:rPr>
          <w:rFonts w:cs="Arial"/>
          <w:szCs w:val="22"/>
        </w:rPr>
        <w:t>hematolo</w:t>
      </w:r>
      <w:r w:rsidRPr="00E001CF" w:rsidDel="006D4970">
        <w:rPr>
          <w:rFonts w:cs="Arial"/>
          <w:spacing w:val="-2"/>
          <w:szCs w:val="22"/>
        </w:rPr>
        <w:t>g</w:t>
      </w:r>
      <w:r w:rsidRPr="00E001CF" w:rsidDel="006D4970">
        <w:rPr>
          <w:rFonts w:cs="Arial"/>
          <w:spacing w:val="1"/>
          <w:szCs w:val="22"/>
        </w:rPr>
        <w:t>i</w:t>
      </w:r>
      <w:r w:rsidRPr="00E001CF" w:rsidDel="006D4970">
        <w:rPr>
          <w:rFonts w:cs="Arial"/>
          <w:szCs w:val="22"/>
        </w:rPr>
        <w:t>c</w:t>
      </w:r>
      <w:r w:rsidR="00DF5BF0" w:rsidRPr="00E001CF">
        <w:rPr>
          <w:rFonts w:cs="Arial"/>
          <w:szCs w:val="22"/>
        </w:rPr>
        <w:t>,</w:t>
      </w:r>
      <w:r w:rsidRPr="00E001CF" w:rsidDel="006D4970">
        <w:rPr>
          <w:rFonts w:cs="Arial"/>
          <w:spacing w:val="-12"/>
          <w:szCs w:val="22"/>
        </w:rPr>
        <w:t xml:space="preserve"> </w:t>
      </w:r>
      <w:r w:rsidRPr="00E001CF" w:rsidDel="006D4970">
        <w:rPr>
          <w:rFonts w:cs="Arial"/>
          <w:szCs w:val="22"/>
        </w:rPr>
        <w:t>or</w:t>
      </w:r>
      <w:r w:rsidRPr="00E001CF" w:rsidDel="006D4970">
        <w:rPr>
          <w:rFonts w:cs="Arial"/>
          <w:spacing w:val="-2"/>
          <w:szCs w:val="22"/>
        </w:rPr>
        <w:t xml:space="preserve"> </w:t>
      </w:r>
      <w:r w:rsidRPr="00E001CF" w:rsidDel="006D4970">
        <w:rPr>
          <w:rFonts w:cs="Arial"/>
          <w:szCs w:val="22"/>
        </w:rPr>
        <w:t>immunolo</w:t>
      </w:r>
      <w:r w:rsidRPr="00E001CF" w:rsidDel="006D4970">
        <w:rPr>
          <w:rFonts w:cs="Arial"/>
          <w:spacing w:val="-2"/>
          <w:szCs w:val="22"/>
        </w:rPr>
        <w:t>g</w:t>
      </w:r>
      <w:r w:rsidRPr="00E001CF" w:rsidDel="006D4970">
        <w:rPr>
          <w:rFonts w:cs="Arial"/>
          <w:szCs w:val="22"/>
        </w:rPr>
        <w:t>ic</w:t>
      </w:r>
      <w:r w:rsidRPr="00E001CF" w:rsidDel="006D4970">
        <w:rPr>
          <w:rFonts w:cs="Arial"/>
          <w:spacing w:val="-13"/>
          <w:szCs w:val="22"/>
        </w:rPr>
        <w:t xml:space="preserve"> </w:t>
      </w:r>
      <w:r w:rsidRPr="00E001CF" w:rsidDel="006D4970">
        <w:rPr>
          <w:rFonts w:cs="Arial"/>
          <w:szCs w:val="22"/>
        </w:rPr>
        <w:t>illnesses,</w:t>
      </w:r>
      <w:r w:rsidRPr="00E001CF" w:rsidDel="006D4970">
        <w:rPr>
          <w:rFonts w:cs="Arial"/>
          <w:spacing w:val="-9"/>
          <w:szCs w:val="22"/>
        </w:rPr>
        <w:t xml:space="preserve"> </w:t>
      </w:r>
      <w:r w:rsidRPr="00E001CF" w:rsidDel="006D4970">
        <w:rPr>
          <w:rFonts w:cs="Arial"/>
          <w:szCs w:val="22"/>
        </w:rPr>
        <w:t>unstable cardiovascular</w:t>
      </w:r>
      <w:r w:rsidRPr="00E001CF" w:rsidDel="006D4970">
        <w:rPr>
          <w:rFonts w:cs="Arial"/>
          <w:spacing w:val="-14"/>
          <w:szCs w:val="22"/>
        </w:rPr>
        <w:t xml:space="preserve"> </w:t>
      </w:r>
      <w:r w:rsidRPr="00E001CF" w:rsidDel="006D4970">
        <w:rPr>
          <w:rFonts w:cs="Arial"/>
          <w:szCs w:val="22"/>
        </w:rPr>
        <w:t>disease,</w:t>
      </w:r>
      <w:r w:rsidRPr="00E001CF" w:rsidDel="006D4970">
        <w:rPr>
          <w:rFonts w:cs="Arial"/>
          <w:spacing w:val="-8"/>
          <w:szCs w:val="22"/>
        </w:rPr>
        <w:t xml:space="preserve"> </w:t>
      </w:r>
      <w:r w:rsidRPr="00E001CF">
        <w:rPr>
          <w:rFonts w:cs="Arial"/>
          <w:spacing w:val="-8"/>
          <w:szCs w:val="22"/>
        </w:rPr>
        <w:t xml:space="preserve">or </w:t>
      </w:r>
      <w:r w:rsidRPr="00E001CF" w:rsidDel="006D4970">
        <w:rPr>
          <w:rFonts w:cs="Arial"/>
          <w:szCs w:val="22"/>
        </w:rPr>
        <w:t>other</w:t>
      </w:r>
      <w:r w:rsidRPr="00E001CF" w:rsidDel="006D4970">
        <w:rPr>
          <w:rFonts w:cs="Arial"/>
          <w:spacing w:val="-5"/>
          <w:szCs w:val="22"/>
        </w:rPr>
        <w:t xml:space="preserve"> </w:t>
      </w:r>
      <w:r w:rsidRPr="00E001CF" w:rsidDel="006D4970">
        <w:rPr>
          <w:rFonts w:cs="Arial"/>
          <w:szCs w:val="22"/>
        </w:rPr>
        <w:t>severe</w:t>
      </w:r>
      <w:r w:rsidRPr="00E001CF" w:rsidDel="006D4970">
        <w:rPr>
          <w:rFonts w:cs="Arial"/>
          <w:spacing w:val="-6"/>
          <w:szCs w:val="22"/>
        </w:rPr>
        <w:t xml:space="preserve"> </w:t>
      </w:r>
      <w:r w:rsidRPr="00E001CF" w:rsidDel="006D4970">
        <w:rPr>
          <w:rFonts w:cs="Arial"/>
          <w:szCs w:val="22"/>
        </w:rPr>
        <w:t>acute</w:t>
      </w:r>
      <w:r w:rsidRPr="00E001CF" w:rsidDel="006D4970">
        <w:rPr>
          <w:rFonts w:cs="Arial"/>
          <w:spacing w:val="-5"/>
          <w:szCs w:val="22"/>
        </w:rPr>
        <w:t xml:space="preserve"> </w:t>
      </w:r>
      <w:r w:rsidRPr="00E001CF" w:rsidDel="006D4970">
        <w:rPr>
          <w:rFonts w:cs="Arial"/>
          <w:szCs w:val="22"/>
        </w:rPr>
        <w:t>or</w:t>
      </w:r>
      <w:r w:rsidRPr="00E001CF" w:rsidDel="006D4970">
        <w:rPr>
          <w:rFonts w:cs="Arial"/>
          <w:spacing w:val="-2"/>
          <w:szCs w:val="22"/>
        </w:rPr>
        <w:t xml:space="preserve"> </w:t>
      </w:r>
      <w:r w:rsidRPr="00E001CF" w:rsidDel="006D4970">
        <w:rPr>
          <w:rFonts w:cs="Arial"/>
          <w:szCs w:val="22"/>
        </w:rPr>
        <w:t>chronic</w:t>
      </w:r>
      <w:r w:rsidRPr="00E001CF" w:rsidDel="006D4970">
        <w:rPr>
          <w:rFonts w:cs="Arial"/>
          <w:spacing w:val="-7"/>
          <w:szCs w:val="22"/>
        </w:rPr>
        <w:t xml:space="preserve"> </w:t>
      </w:r>
      <w:r w:rsidRPr="00E001CF" w:rsidDel="006D4970">
        <w:rPr>
          <w:rFonts w:cs="Arial"/>
          <w:szCs w:val="22"/>
        </w:rPr>
        <w:t>medical</w:t>
      </w:r>
      <w:r w:rsidRPr="00E001CF" w:rsidDel="006D4970">
        <w:rPr>
          <w:rFonts w:cs="Arial"/>
          <w:spacing w:val="-8"/>
          <w:szCs w:val="22"/>
        </w:rPr>
        <w:t xml:space="preserve"> </w:t>
      </w:r>
      <w:r w:rsidRPr="00E001CF" w:rsidDel="006D4970">
        <w:rPr>
          <w:rFonts w:cs="Arial"/>
          <w:szCs w:val="22"/>
        </w:rPr>
        <w:t>or</w:t>
      </w:r>
      <w:r w:rsidRPr="00E001CF" w:rsidDel="006D4970">
        <w:rPr>
          <w:rFonts w:cs="Arial"/>
          <w:spacing w:val="-2"/>
          <w:szCs w:val="22"/>
        </w:rPr>
        <w:t xml:space="preserve"> </w:t>
      </w:r>
      <w:r w:rsidRPr="00E001CF" w:rsidDel="006D4970">
        <w:rPr>
          <w:rFonts w:cs="Arial"/>
          <w:szCs w:val="22"/>
        </w:rPr>
        <w:t>ps</w:t>
      </w:r>
      <w:r w:rsidRPr="00E001CF" w:rsidDel="006D4970">
        <w:rPr>
          <w:rFonts w:cs="Arial"/>
          <w:spacing w:val="-7"/>
          <w:szCs w:val="22"/>
        </w:rPr>
        <w:t>y</w:t>
      </w:r>
      <w:r w:rsidRPr="00E001CF" w:rsidDel="006D4970">
        <w:rPr>
          <w:rFonts w:cs="Arial"/>
          <w:spacing w:val="-1"/>
          <w:szCs w:val="22"/>
        </w:rPr>
        <w:t>c</w:t>
      </w:r>
      <w:r w:rsidRPr="00E001CF" w:rsidDel="006D4970">
        <w:rPr>
          <w:rFonts w:cs="Arial"/>
          <w:szCs w:val="22"/>
        </w:rPr>
        <w:t>hiatric</w:t>
      </w:r>
      <w:r w:rsidRPr="00E001CF" w:rsidDel="006D4970">
        <w:rPr>
          <w:rFonts w:cs="Arial"/>
          <w:spacing w:val="-11"/>
          <w:szCs w:val="22"/>
        </w:rPr>
        <w:t xml:space="preserve"> </w:t>
      </w:r>
      <w:r w:rsidRPr="00E001CF" w:rsidDel="006D4970">
        <w:rPr>
          <w:rFonts w:cs="Arial"/>
          <w:szCs w:val="22"/>
        </w:rPr>
        <w:t>disease</w:t>
      </w:r>
    </w:p>
    <w:p w14:paraId="77D76E17" w14:textId="3B132E33" w:rsidR="00105730" w:rsidRPr="00E001CF" w:rsidDel="006D4970" w:rsidRDefault="00105730" w:rsidP="00105730">
      <w:pPr>
        <w:pStyle w:val="Bulletlisting"/>
        <w:numPr>
          <w:ilvl w:val="0"/>
          <w:numId w:val="8"/>
        </w:numPr>
        <w:tabs>
          <w:tab w:val="left" w:pos="810"/>
        </w:tabs>
        <w:spacing w:after="120" w:line="240" w:lineRule="auto"/>
        <w:rPr>
          <w:rFonts w:cs="Arial"/>
          <w:szCs w:val="22"/>
        </w:rPr>
      </w:pPr>
      <w:r w:rsidRPr="00E001CF">
        <w:rPr>
          <w:rFonts w:cs="Arial"/>
          <w:szCs w:val="22"/>
        </w:rPr>
        <w:t xml:space="preserve">Participants with chronic widespread pain, classified according to the American College of Rheumatology (ACR) 2016 fibromyalgia diagnostic </w:t>
      </w:r>
      <w:proofErr w:type="gramStart"/>
      <w:r w:rsidRPr="00E001CF">
        <w:rPr>
          <w:rFonts w:cs="Arial"/>
          <w:szCs w:val="22"/>
        </w:rPr>
        <w:t>criteria</w:t>
      </w:r>
      <w:proofErr w:type="gramEnd"/>
    </w:p>
    <w:p w14:paraId="1EA75767" w14:textId="77777777" w:rsidR="00105730" w:rsidRPr="00E001CF" w:rsidRDefault="00105730" w:rsidP="00105730">
      <w:pPr>
        <w:pStyle w:val="Bulletlisting"/>
        <w:numPr>
          <w:ilvl w:val="0"/>
          <w:numId w:val="8"/>
        </w:numPr>
        <w:tabs>
          <w:tab w:val="left" w:pos="810"/>
        </w:tabs>
        <w:spacing w:after="120" w:line="240" w:lineRule="auto"/>
        <w:rPr>
          <w:rFonts w:cs="Arial"/>
          <w:szCs w:val="22"/>
        </w:rPr>
      </w:pPr>
      <w:r w:rsidRPr="00E001CF">
        <w:rPr>
          <w:rFonts w:cs="Arial"/>
          <w:szCs w:val="22"/>
        </w:rPr>
        <w:t>Participants with trigeminal autonomic cephalalgias or painful cranial neuropathies within 3 months prior to the study visit</w:t>
      </w:r>
    </w:p>
    <w:p w14:paraId="14D0C564" w14:textId="77777777" w:rsidR="00105730" w:rsidRPr="00E001CF" w:rsidRDefault="00105730" w:rsidP="00105730">
      <w:pPr>
        <w:pStyle w:val="Bulletlisting"/>
        <w:numPr>
          <w:ilvl w:val="0"/>
          <w:numId w:val="8"/>
        </w:numPr>
        <w:tabs>
          <w:tab w:val="left" w:pos="810"/>
        </w:tabs>
        <w:spacing w:after="120" w:line="240" w:lineRule="auto"/>
        <w:rPr>
          <w:rFonts w:cs="Arial"/>
          <w:szCs w:val="22"/>
        </w:rPr>
      </w:pPr>
      <w:r w:rsidRPr="00E001CF">
        <w:rPr>
          <w:rFonts w:cs="Arial"/>
          <w:szCs w:val="22"/>
        </w:rPr>
        <w:t>Participants with odontogenic pain within 30 days prior to the study visit</w:t>
      </w:r>
    </w:p>
    <w:p w14:paraId="28313EEF" w14:textId="77777777" w:rsidR="00105730" w:rsidRPr="00E001CF" w:rsidRDefault="00105730" w:rsidP="00105730">
      <w:pPr>
        <w:pStyle w:val="Bulletlisting"/>
        <w:numPr>
          <w:ilvl w:val="0"/>
          <w:numId w:val="8"/>
        </w:numPr>
        <w:tabs>
          <w:tab w:val="left" w:pos="810"/>
        </w:tabs>
        <w:spacing w:after="120" w:line="240" w:lineRule="auto"/>
        <w:rPr>
          <w:rFonts w:cs="Arial"/>
          <w:szCs w:val="22"/>
        </w:rPr>
      </w:pPr>
      <w:r w:rsidRPr="00E001CF">
        <w:rPr>
          <w:rFonts w:cs="Arial"/>
          <w:szCs w:val="22"/>
        </w:rPr>
        <w:t>History of head trauma or surgery within 6 weeks prior to the study visit</w:t>
      </w:r>
    </w:p>
    <w:p w14:paraId="044813BF" w14:textId="77777777" w:rsidR="00105730" w:rsidRPr="00E001CF" w:rsidRDefault="00105730" w:rsidP="00105730">
      <w:pPr>
        <w:pStyle w:val="Bulletlisting"/>
        <w:numPr>
          <w:ilvl w:val="0"/>
          <w:numId w:val="8"/>
        </w:numPr>
        <w:tabs>
          <w:tab w:val="left" w:pos="810"/>
        </w:tabs>
        <w:spacing w:after="120" w:line="240" w:lineRule="auto"/>
        <w:rPr>
          <w:rFonts w:cs="Arial"/>
          <w:szCs w:val="22"/>
        </w:rPr>
      </w:pPr>
      <w:r w:rsidRPr="00E001CF">
        <w:rPr>
          <w:rFonts w:cs="Arial"/>
          <w:szCs w:val="22"/>
        </w:rPr>
        <w:t>History of major depression or other psychiatric disorders requiring hospitalization within 6 months prior to the study visit</w:t>
      </w:r>
    </w:p>
    <w:p w14:paraId="5C2A2D59" w14:textId="77777777" w:rsidR="00105730" w:rsidRPr="00E001CF" w:rsidRDefault="00105730" w:rsidP="00105730">
      <w:pPr>
        <w:pStyle w:val="Bulletlisting"/>
        <w:numPr>
          <w:ilvl w:val="0"/>
          <w:numId w:val="8"/>
        </w:numPr>
        <w:tabs>
          <w:tab w:val="left" w:pos="810"/>
        </w:tabs>
        <w:spacing w:after="120" w:line="240" w:lineRule="auto"/>
        <w:rPr>
          <w:rFonts w:cs="Arial"/>
          <w:szCs w:val="22"/>
        </w:rPr>
      </w:pPr>
      <w:r w:rsidRPr="00E001CF">
        <w:rPr>
          <w:rFonts w:cs="Arial"/>
          <w:szCs w:val="22"/>
        </w:rPr>
        <w:t xml:space="preserve">History of treatment for drug or alcohol abuse within 1 year prior to the study visit </w:t>
      </w:r>
    </w:p>
    <w:p w14:paraId="591A9A8E" w14:textId="77777777" w:rsidR="00105730" w:rsidRPr="00E001CF" w:rsidRDefault="00105730" w:rsidP="00105730">
      <w:pPr>
        <w:pStyle w:val="Bulletlisting"/>
        <w:numPr>
          <w:ilvl w:val="0"/>
          <w:numId w:val="8"/>
        </w:numPr>
        <w:tabs>
          <w:tab w:val="left" w:pos="810"/>
        </w:tabs>
        <w:spacing w:after="120" w:line="240" w:lineRule="auto"/>
        <w:rPr>
          <w:rFonts w:cs="Arial"/>
          <w:szCs w:val="22"/>
        </w:rPr>
      </w:pPr>
      <w:r w:rsidRPr="00E001CF">
        <w:rPr>
          <w:rFonts w:cs="Arial"/>
          <w:szCs w:val="22"/>
        </w:rPr>
        <w:t>History of chemotherapy or radiation therapy within 30 days prior to the study visit</w:t>
      </w:r>
    </w:p>
    <w:p w14:paraId="6CA810A6" w14:textId="38D28F33" w:rsidR="00105730" w:rsidRPr="00E001CF" w:rsidRDefault="00105730" w:rsidP="00105730">
      <w:pPr>
        <w:pStyle w:val="Bulletlisting"/>
        <w:numPr>
          <w:ilvl w:val="0"/>
          <w:numId w:val="8"/>
        </w:numPr>
        <w:tabs>
          <w:tab w:val="left" w:pos="810"/>
        </w:tabs>
        <w:spacing w:after="120" w:line="240" w:lineRule="auto"/>
        <w:rPr>
          <w:rFonts w:cs="Arial"/>
          <w:szCs w:val="22"/>
        </w:rPr>
      </w:pPr>
      <w:r w:rsidRPr="00E001CF">
        <w:rPr>
          <w:rFonts w:cs="Arial"/>
          <w:szCs w:val="22"/>
        </w:rPr>
        <w:t>Used botulinum toxin injection</w:t>
      </w:r>
      <w:r w:rsidR="00413965" w:rsidRPr="00E001CF">
        <w:rPr>
          <w:rFonts w:cs="Arial"/>
          <w:szCs w:val="22"/>
        </w:rPr>
        <w:t>s</w:t>
      </w:r>
      <w:r w:rsidRPr="00E001CF">
        <w:rPr>
          <w:rFonts w:cs="Arial"/>
          <w:szCs w:val="22"/>
        </w:rPr>
        <w:t xml:space="preserve"> in the head, neck or shoulder region </w:t>
      </w:r>
      <w:r w:rsidR="00CC1721" w:rsidRPr="00E001CF">
        <w:rPr>
          <w:rFonts w:cs="Arial"/>
          <w:szCs w:val="22"/>
        </w:rPr>
        <w:t xml:space="preserve">or </w:t>
      </w:r>
      <w:r w:rsidR="007A4270" w:rsidRPr="00E001CF">
        <w:rPr>
          <w:rFonts w:cs="Arial"/>
          <w:szCs w:val="22"/>
        </w:rPr>
        <w:t xml:space="preserve">anti-CGRP </w:t>
      </w:r>
      <w:r w:rsidR="00203D96" w:rsidRPr="00E001CF">
        <w:rPr>
          <w:rFonts w:cs="Arial"/>
          <w:szCs w:val="22"/>
        </w:rPr>
        <w:t>monoclonal antibod</w:t>
      </w:r>
      <w:r w:rsidR="00F05506" w:rsidRPr="00E001CF">
        <w:rPr>
          <w:rFonts w:cs="Arial"/>
          <w:szCs w:val="22"/>
        </w:rPr>
        <w:t>y</w:t>
      </w:r>
      <w:r w:rsidR="00203D96" w:rsidRPr="00E001CF">
        <w:rPr>
          <w:rFonts w:cs="Arial"/>
          <w:szCs w:val="22"/>
        </w:rPr>
        <w:t xml:space="preserve"> </w:t>
      </w:r>
      <w:r w:rsidR="00F05506" w:rsidRPr="00E001CF">
        <w:rPr>
          <w:rFonts w:cs="Arial"/>
          <w:szCs w:val="22"/>
        </w:rPr>
        <w:t xml:space="preserve">injections </w:t>
      </w:r>
      <w:r w:rsidRPr="00E001CF">
        <w:rPr>
          <w:rFonts w:cs="Arial"/>
          <w:szCs w:val="22"/>
        </w:rPr>
        <w:t xml:space="preserve">within 4 months prior to the study </w:t>
      </w:r>
      <w:proofErr w:type="gramStart"/>
      <w:r w:rsidRPr="00E001CF">
        <w:rPr>
          <w:rFonts w:cs="Arial"/>
          <w:szCs w:val="22"/>
        </w:rPr>
        <w:t>visit</w:t>
      </w:r>
      <w:proofErr w:type="gramEnd"/>
      <w:r w:rsidRPr="00E001CF">
        <w:rPr>
          <w:rFonts w:cs="Arial"/>
          <w:szCs w:val="22"/>
        </w:rPr>
        <w:t xml:space="preserve">  </w:t>
      </w:r>
    </w:p>
    <w:p w14:paraId="0693B30F" w14:textId="77777777" w:rsidR="00105730" w:rsidRPr="00E001CF" w:rsidRDefault="00105730" w:rsidP="00105730">
      <w:pPr>
        <w:pStyle w:val="Bulletlisting"/>
        <w:numPr>
          <w:ilvl w:val="0"/>
          <w:numId w:val="8"/>
        </w:numPr>
        <w:tabs>
          <w:tab w:val="left" w:pos="810"/>
        </w:tabs>
        <w:spacing w:after="120" w:line="240" w:lineRule="auto"/>
        <w:rPr>
          <w:rFonts w:cs="Arial"/>
          <w:szCs w:val="22"/>
        </w:rPr>
      </w:pPr>
      <w:r w:rsidRPr="00E001CF">
        <w:rPr>
          <w:rFonts w:cs="Arial"/>
          <w:szCs w:val="22"/>
        </w:rPr>
        <w:t xml:space="preserve">Used opioid or barbiturate medications for more than 4 days within 30 days prior to the study </w:t>
      </w:r>
      <w:proofErr w:type="gramStart"/>
      <w:r w:rsidRPr="00E001CF">
        <w:rPr>
          <w:rFonts w:cs="Arial"/>
          <w:szCs w:val="22"/>
        </w:rPr>
        <w:t>visit</w:t>
      </w:r>
      <w:proofErr w:type="gramEnd"/>
    </w:p>
    <w:p w14:paraId="6B48F893" w14:textId="487E12D0" w:rsidR="00105730" w:rsidRPr="00E001CF" w:rsidRDefault="00105730" w:rsidP="00105730">
      <w:pPr>
        <w:pStyle w:val="Bulletlisting"/>
        <w:numPr>
          <w:ilvl w:val="0"/>
          <w:numId w:val="8"/>
        </w:numPr>
        <w:tabs>
          <w:tab w:val="left" w:pos="810"/>
        </w:tabs>
        <w:spacing w:after="120" w:line="240" w:lineRule="auto"/>
        <w:rPr>
          <w:rFonts w:cs="Arial"/>
          <w:szCs w:val="22"/>
        </w:rPr>
      </w:pPr>
      <w:r w:rsidRPr="00E001CF">
        <w:rPr>
          <w:rFonts w:cs="Arial"/>
          <w:szCs w:val="22"/>
        </w:rPr>
        <w:t>Used daily preventive medications</w:t>
      </w:r>
      <w:r w:rsidR="00A41498" w:rsidRPr="00E001CF">
        <w:rPr>
          <w:rFonts w:cs="Arial"/>
          <w:szCs w:val="22"/>
        </w:rPr>
        <w:t>,</w:t>
      </w:r>
      <w:r w:rsidRPr="00E001CF">
        <w:rPr>
          <w:rFonts w:cs="Arial"/>
          <w:szCs w:val="22"/>
        </w:rPr>
        <w:t xml:space="preserve"> such as </w:t>
      </w:r>
      <w:proofErr w:type="spellStart"/>
      <w:r w:rsidRPr="00E001CF">
        <w:rPr>
          <w:rFonts w:cs="Arial"/>
          <w:szCs w:val="22"/>
        </w:rPr>
        <w:t>gabapentinoids</w:t>
      </w:r>
      <w:proofErr w:type="spellEnd"/>
      <w:r w:rsidRPr="00E001CF">
        <w:rPr>
          <w:rFonts w:cs="Arial"/>
          <w:szCs w:val="22"/>
        </w:rPr>
        <w:t xml:space="preserve">, tricyclic antidepressants (TCAs), selective serotonin-norepinephrine reuptake inhibitors (SNRIs), beta-blockers, lithium, verapamil, </w:t>
      </w:r>
      <w:r w:rsidR="001B374F" w:rsidRPr="00E001CF">
        <w:rPr>
          <w:rFonts w:cs="Arial"/>
          <w:szCs w:val="22"/>
        </w:rPr>
        <w:t xml:space="preserve">and </w:t>
      </w:r>
      <w:r w:rsidRPr="00E001CF">
        <w:rPr>
          <w:rFonts w:cs="Arial"/>
          <w:szCs w:val="22"/>
        </w:rPr>
        <w:t>anti-epileptic drugs</w:t>
      </w:r>
      <w:r w:rsidR="001B374F" w:rsidRPr="00E001CF">
        <w:rPr>
          <w:rFonts w:cs="Arial"/>
          <w:szCs w:val="22"/>
        </w:rPr>
        <w:t>,</w:t>
      </w:r>
      <w:r w:rsidRPr="00E001CF">
        <w:rPr>
          <w:rFonts w:cs="Arial"/>
          <w:szCs w:val="22"/>
        </w:rPr>
        <w:t xml:space="preserve"> for a chronic pain condition within 2 months prior to the study </w:t>
      </w:r>
      <w:proofErr w:type="gramStart"/>
      <w:r w:rsidRPr="00E001CF">
        <w:rPr>
          <w:rFonts w:cs="Arial"/>
          <w:szCs w:val="22"/>
        </w:rPr>
        <w:t>visit</w:t>
      </w:r>
      <w:proofErr w:type="gramEnd"/>
      <w:r w:rsidRPr="00E001CF">
        <w:rPr>
          <w:rFonts w:cs="Arial"/>
          <w:szCs w:val="22"/>
        </w:rPr>
        <w:t xml:space="preserve"> </w:t>
      </w:r>
    </w:p>
    <w:p w14:paraId="69750D18" w14:textId="77777777" w:rsidR="00105730" w:rsidRPr="00E001CF" w:rsidRDefault="00105730" w:rsidP="00105730">
      <w:pPr>
        <w:pStyle w:val="Bulletlisting"/>
        <w:numPr>
          <w:ilvl w:val="0"/>
          <w:numId w:val="8"/>
        </w:numPr>
        <w:tabs>
          <w:tab w:val="left" w:pos="810"/>
        </w:tabs>
        <w:spacing w:after="120" w:line="240" w:lineRule="auto"/>
        <w:rPr>
          <w:rFonts w:cs="Arial"/>
          <w:szCs w:val="22"/>
        </w:rPr>
      </w:pPr>
      <w:r w:rsidRPr="00E001CF">
        <w:rPr>
          <w:rFonts w:cs="Arial"/>
          <w:szCs w:val="22"/>
        </w:rPr>
        <w:t>History of investigational drug (or procedures) for pain management within 30 days prior to the study visit</w:t>
      </w:r>
    </w:p>
    <w:p w14:paraId="4A844EEC" w14:textId="77777777" w:rsidR="00105730" w:rsidRPr="00E001CF" w:rsidRDefault="00105730" w:rsidP="00105730">
      <w:pPr>
        <w:pStyle w:val="Bulletlisting"/>
        <w:numPr>
          <w:ilvl w:val="0"/>
          <w:numId w:val="8"/>
        </w:numPr>
        <w:tabs>
          <w:tab w:val="left" w:pos="810"/>
        </w:tabs>
        <w:spacing w:after="120" w:line="240" w:lineRule="auto"/>
        <w:rPr>
          <w:rFonts w:cs="Arial"/>
          <w:szCs w:val="22"/>
        </w:rPr>
      </w:pPr>
      <w:r w:rsidRPr="00E001CF">
        <w:rPr>
          <w:rFonts w:cs="Arial"/>
          <w:szCs w:val="22"/>
        </w:rPr>
        <w:t xml:space="preserve">Is pregnant or </w:t>
      </w:r>
      <w:proofErr w:type="gramStart"/>
      <w:r w:rsidRPr="00E001CF">
        <w:rPr>
          <w:rFonts w:cs="Arial"/>
          <w:szCs w:val="22"/>
        </w:rPr>
        <w:t>breastfeeding</w:t>
      </w:r>
      <w:proofErr w:type="gramEnd"/>
    </w:p>
    <w:p w14:paraId="50D4A194" w14:textId="77777777" w:rsidR="00105730" w:rsidRPr="00E001CF" w:rsidRDefault="00105730" w:rsidP="00105730">
      <w:pPr>
        <w:pStyle w:val="Bulletlisting"/>
        <w:numPr>
          <w:ilvl w:val="0"/>
          <w:numId w:val="8"/>
        </w:numPr>
        <w:tabs>
          <w:tab w:val="left" w:pos="270"/>
          <w:tab w:val="left" w:pos="900"/>
        </w:tabs>
        <w:spacing w:after="120" w:line="240" w:lineRule="auto"/>
        <w:rPr>
          <w:rFonts w:cs="Arial"/>
          <w:szCs w:val="22"/>
        </w:rPr>
      </w:pPr>
      <w:r w:rsidRPr="00E001CF">
        <w:rPr>
          <w:rFonts w:cs="Arial"/>
          <w:szCs w:val="22"/>
        </w:rPr>
        <w:t xml:space="preserve">Anything that, in the opinion of the investigator, would place the participant at increased risk or preclude the participant’s full compliance with the </w:t>
      </w:r>
      <w:proofErr w:type="gramStart"/>
      <w:r w:rsidRPr="00E001CF">
        <w:rPr>
          <w:rFonts w:cs="Arial"/>
          <w:szCs w:val="22"/>
        </w:rPr>
        <w:t>study</w:t>
      </w:r>
      <w:proofErr w:type="gramEnd"/>
    </w:p>
    <w:p w14:paraId="3D8796EF" w14:textId="77777777" w:rsidR="00A577F6" w:rsidRDefault="00105730" w:rsidP="00A577F6">
      <w:pPr>
        <w:rPr>
          <w:rFonts w:ascii="Arial" w:hAnsi="Arial" w:cs="Arial"/>
          <w:b/>
        </w:rPr>
      </w:pPr>
      <w:r w:rsidRPr="00E001CF">
        <w:rPr>
          <w:rFonts w:ascii="Arial" w:hAnsi="Arial" w:cs="Arial"/>
          <w:b/>
        </w:rPr>
        <w:t>TMD Inclusion Criteria</w:t>
      </w:r>
    </w:p>
    <w:p w14:paraId="47285842" w14:textId="557D2880" w:rsidR="00CF4E6E" w:rsidRPr="00E001CF" w:rsidRDefault="007B255A" w:rsidP="00A577F6">
      <w:pPr>
        <w:rPr>
          <w:rFonts w:ascii="Arial" w:hAnsi="Arial" w:cs="Arial"/>
        </w:rPr>
      </w:pPr>
      <w:r w:rsidRPr="00E001CF">
        <w:rPr>
          <w:rFonts w:ascii="Arial" w:hAnsi="Arial" w:cs="Arial"/>
        </w:rPr>
        <w:t>T</w:t>
      </w:r>
      <w:r w:rsidR="00CF4E6E" w:rsidRPr="00E001CF">
        <w:rPr>
          <w:rFonts w:ascii="Arial" w:hAnsi="Arial" w:cs="Arial"/>
        </w:rPr>
        <w:t>o be eligible to participate in this study as a TMD participant, an individual must meet all the following criteria:</w:t>
      </w:r>
    </w:p>
    <w:p w14:paraId="71CEBD9B" w14:textId="77777777" w:rsidR="00CF4E6E" w:rsidRPr="00E001CF" w:rsidRDefault="00CF4E6E" w:rsidP="00CF4E6E">
      <w:pPr>
        <w:pStyle w:val="Bulletlisting"/>
        <w:numPr>
          <w:ilvl w:val="0"/>
          <w:numId w:val="5"/>
        </w:numPr>
        <w:tabs>
          <w:tab w:val="left" w:pos="900"/>
        </w:tabs>
        <w:spacing w:after="120" w:line="240" w:lineRule="auto"/>
        <w:ind w:left="720"/>
        <w:rPr>
          <w:rFonts w:cs="Arial"/>
          <w:szCs w:val="22"/>
        </w:rPr>
      </w:pPr>
      <w:r w:rsidRPr="00E001CF">
        <w:rPr>
          <w:rFonts w:cs="Arial"/>
          <w:szCs w:val="22"/>
        </w:rPr>
        <w:lastRenderedPageBreak/>
        <w:t>Meets the Diagnostic Criteria for TMD (DC/TMD) with a classification of myalgia and/or arthralgia</w:t>
      </w:r>
      <w:hyperlink w:anchor="_ENREF_2" w:tooltip="Schiffman, 2014 #215" w:history="1">
        <w:r w:rsidRPr="00E001CF">
          <w:rPr>
            <w:rFonts w:cs="Arial"/>
            <w:szCs w:val="22"/>
          </w:rPr>
          <w:fldChar w:fldCharType="begin">
            <w:fldData xml:space="preserve">PEVuZE5vdGU+PENpdGU+PEF1dGhvcj5TY2hpZmZtYW48L0F1dGhvcj48WWVhcj4yMDE0PC9ZZWFy
PjxSZWNOdW0+MTwvUmVjTnVtPjxEaXNwbGF5VGV4dD48c3R5bGUgZmFjZT0ic3VwZXJzY3JpcHQi
PjI8L3N0eWxlPjwvRGlzcGxheVRleHQ+PHJlY29yZD48cmVjLW51bWJlcj4xPC9yZWMtbnVtYmVy
Pjxmb3JlaWduLWtleXM+PGtleSBhcHA9IkVOIiBkYi1pZD0iMnNmdGVzc3Y3MDAwZDZleHplbDU1
dDBmd3dmMDlzZWV3YXY1Ij4xPC9rZXk+PC9mb3JlaWduLWtleXM+PHJlZi10eXBlIG5hbWU9Ikpv
dXJuYWwgQXJ0aWNsZSI+MTc8L3JlZi10eXBlPjxjb250cmlidXRvcnM+PGF1dGhvcnM+PGF1dGhv
cj5TY2hpZmZtYW4sIEUuPC9hdXRob3I+PGF1dGhvcj5PaHJiYWNoLCBSLjwvYXV0aG9yPjxhdXRo
b3I+VHJ1ZWxvdmUsIEUuPC9hdXRob3I+PGF1dGhvcj5Mb29rLCBKLjwvYXV0aG9yPjxhdXRob3I+
QW5kZXJzb24sIEcuPC9hdXRob3I+PGF1dGhvcj5Hb3VsZXQsIEouIFAuPC9hdXRob3I+PGF1dGhv
cj5MaXN0LCBULjwvYXV0aG9yPjxhdXRob3I+U3ZlbnNzb24sIFAuPC9hdXRob3I+PGF1dGhvcj5H
b256YWxleiwgWS48L2F1dGhvcj48YXV0aG9yPkxvYmJlem9vLCBGLjwvYXV0aG9yPjxhdXRob3I+
TWljaGVsb3R0aSwgQS48L2F1dGhvcj48YXV0aG9yPkJyb29rcywgUy4gTC48L2F1dGhvcj48YXV0
aG9yPkNldXN0ZXJzLCBXLjwvYXV0aG9yPjxhdXRob3I+RHJhbmdzaG9sdCwgTS48L2F1dGhvcj48
YXV0aG9yPkV0dGxpbiwgRC48L2F1dGhvcj48YXV0aG9yPkdhdWwsIEMuPC9hdXRob3I+PGF1dGhv
cj5Hb2xkYmVyZywgTC4gSi48L2F1dGhvcj48YXV0aG9yPkhheXRob3JudGh3YWl0ZSwgSi4gQS48
L2F1dGhvcj48YXV0aG9yPkhvbGxlbmRlciwgTC48L2F1dGhvcj48YXV0aG9yPkplbnNlbiwgUi48
L2F1dGhvcj48YXV0aG9yPkpvaG4sIE0uIFQuPC9hdXRob3I+PGF1dGhvcj5EZSBMYWF0LCBBLjwv
YXV0aG9yPjxhdXRob3I+ZGUgTGVldXcsIFIuPC9hdXRob3I+PGF1dGhvcj5NYWl4bmVyLCBXLjwv
YXV0aG9yPjxhdXRob3I+dmFuIGRlciBNZXVsZW4sIE0uPC9hdXRob3I+PGF1dGhvcj5NdXJyYXks
IEcuIE0uPC9hdXRob3I+PGF1dGhvcj5OaXhkb3JmLCBELiBSLjwvYXV0aG9yPjxhdXRob3I+UGFs
bGEsIFMuPC9hdXRob3I+PGF1dGhvcj5QZXRlcnNzb24sIEEuPC9hdXRob3I+PGF1dGhvcj5QaW9u
Y2hvbiwgUC48L2F1dGhvcj48YXV0aG9yPlNtaXRoLCBCLjwvYXV0aG9yPjxhdXRob3I+Vmlzc2No
ZXIsIEMuIE0uPC9hdXRob3I+PGF1dGhvcj5aYWtyemV3c2thLCBKLjwvYXV0aG9yPjxhdXRob3I+
RHdvcmtpbiwgUy4gRi48L2F1dGhvcj48L2F1dGhvcnM+PC9jb250cmlidXRvcnM+PHRpdGxlcz48
dGl0bGU+RGlhZ25vc3RpYyBDcml0ZXJpYSBmb3IgVGVtcG9yb21hbmRpYnVsYXIgRGlzb3JkZXJz
IChEQy9UTUQpIGZvciBDbGluaWNhbCBhbmQgUmVzZWFyY2ggQXBwbGljYXRpb25zOiByZWNvbW1l
bmRhdGlvbnMgb2YgdGhlIEludGVybmF0aW9uYWwgUkRDL1RNRCBDb25zb3J0aXVtIE5ldHdvcmsq
IGFuZCBPcm9mYWNpYWwgUGFpbiBTcGVjaWFsIEludGVyZXN0IEdyb3VwZGFnZ2VyPC90aXRsZT48
c2Vjb25kYXJ5LXRpdGxlPkogT3JhbCBGYWNpYWwgUGFpbiBIZWFkYWNoZTwvc2Vjb25kYXJ5LXRp
dGxlPjxhbHQtdGl0bGU+Sm91cm5hbCBvZiBvcmFsICZhbXA7IGZhY2lhbCBwYWluIGFuZCBoZWFk
YWNoZTwvYWx0LXRpdGxlPjwvdGl0bGVzPjxwZXJpb2RpY2FsPjxmdWxsLXRpdGxlPkogT3JhbCBG
YWNpYWwgUGFpbiBIZWFkYWNoZTwvZnVsbC10aXRsZT48YWJici0xPkpvdXJuYWwgb2Ygb3JhbCAm
YW1wOyBmYWNpYWwgcGFpbiBhbmQgaGVhZGFjaGU8L2FiYnItMT48L3BlcmlvZGljYWw+PGFsdC1w
ZXJpb2RpY2FsPjxmdWxsLXRpdGxlPkogT3JhbCBGYWNpYWwgUGFpbiBIZWFkYWNoZTwvZnVsbC10
aXRsZT48YWJici0xPkpvdXJuYWwgb2Ygb3JhbCAmYW1wOyBmYWNpYWwgcGFpbiBhbmQgaGVhZGFj
aGU8L2FiYnItMT48L2FsdC1wZXJpb2RpY2FsPjxwYWdlcz42LTI3PC9wYWdlcz48dm9sdW1lPjI4
PC92b2x1bWU+PG51bWJlcj4xPC9udW1iZXI+PGVkaXRpb24+MjAxNC8wMi8wMTwvZWRpdGlvbj48
a2V5d29yZHM+PGtleXdvcmQ+QXJ0aHJhbGdpYS9kaWFnbm9zaXM8L2tleXdvcmQ+PGtleXdvcmQ+
Q29uc2Vuc3VzPC9rZXl3b3JkPjxrZXl3b3JkPkRpYWdub3NpcywgRGlmZmVyZW50aWFsPC9rZXl3
b3JkPjxrZXl3b3JkPkV2aWRlbmNlLUJhc2VkIERlbnRpc3RyeTwva2V5d29yZD48a2V5d29yZD5G
YWNpYWwgUGFpbi9kaWFnbm9zaXM8L2tleXdvcmQ+PGtleXdvcmQ+SGVhZGFjaGUvZGlhZ25vc2lz
PC9rZXl3b3JkPjxrZXl3b3JkPkh1bWFuczwva2V5d29yZD48a2V5d29yZD5Kb2ludCBEaXNsb2Nh
dGlvbnMvZGlhZ25vc2lzPC9rZXl3b3JkPjxrZXl3b3JkPk1hc3MgU2NyZWVuaW5nL21ldGhvZHM8
L2tleXdvcmQ+PGtleXdvcmQ+TWFzdGljYXRvcnkgTXVzY2xlcy9wYXRob2xvZ3k8L2tleXdvcmQ+
PGtleXdvcmQ+TXlhbGdpYS9kaWFnbm9zaXM8L2tleXdvcmQ+PGtleXdvcmQ+T3N0ZW9hcnRocml0
aXMvZGlhZ25vc2lzPC9rZXl3b3JkPjxrZXl3b3JkPlBhaW4sIFJlZmVycmVkL2RpYWdub3Npczwv
a2V5d29yZD48a2V5d29yZD5SZXByb2R1Y2liaWxpdHkgb2YgUmVzdWx0czwva2V5d29yZD48a2V5
d29yZD5TZW5zaXRpdml0eSBhbmQgU3BlY2lmaWNpdHk8L2tleXdvcmQ+PGtleXdvcmQ+VGVtcG9y
b21hbmRpYnVsYXIgSm9pbnQgRGlzYy9wYXRob2xvZ3k8L2tleXdvcmQ+PGtleXdvcmQ+VGVtcG9y
b21hbmRpYnVsYXIgSm9pbnQgRGlzb3JkZXJzLypkaWFnbm9zaXMvcGh5c2lvcGF0aG9sb2d5L3Bz
eWNob2xvZ3k8L2tleXdvcmQ+PGtleXdvcmQ+VGVtcG9yb21hbmRpYnVsYXIgSm9pbnQgRHlzZnVu
Y3Rpb24gU3luZHJvbWUvZGlhZ25vc2lzPC9rZXl3b3JkPjxrZXl3b3JkPlRlcm1pbm9sb2d5IGFz
IFRvcGljPC9rZXl3b3JkPjwva2V5d29yZHM+PGRhdGVzPjx5ZWFyPjIwMTQ8L3llYXI+PHB1Yi1k
YXRlcz48ZGF0ZT5XaW50ZXI8L2RhdGU+PC9wdWItZGF0ZXM+PC9kYXRlcz48aXNibj4yMzMzLTAz
ODQgKFByaW50KTwvaXNibj48YWNjZXNzaW9uLW51bT4yNDQ4Mjc4NDwvYWNjZXNzaW9uLW51bT48
d29yay10eXBlPlByYWN0aWNlIEd1aWRlbGluZSYjeEQ7UmVzZWFyY2ggU3VwcG9ydCwgTi5JLkgu
LCBFeHRyYW11cmFsJiN4RDtSZXNlYXJjaCBTdXBwb3J0LCBOb24tVS5TLiBHb3YmYXBvczt0PC93
b3JrLXR5cGU+PHVybHM+PHJlbGF0ZWQtdXJscz48dXJsPmh0dHA6Ly93d3cubmNiaS5ubG0ubmlo
Lmdvdi9wdWJtZWQvMjQ0ODI3ODQ8L3VybD48L3JlbGF0ZWQtdXJscz48L3VybHM+PGN1c3RvbTI+
NDQ3ODA4MjwvY3VzdG9tMj48ZWxlY3Ryb25pYy1yZXNvdXJjZS1udW0+MTAuMTE2MDcvam9wLjEx
NTE8L2VsZWN0cm9uaWMtcmVzb3VyY2UtbnVtPjxsYW5ndWFnZT5lbmc8L2xhbmd1YWdlPjwvcmVj
b3JkPjwvQ2l0ZT48L0VuZE5vdGU+
</w:fldData>
          </w:fldChar>
        </w:r>
        <w:r w:rsidRPr="00E001CF">
          <w:rPr>
            <w:rFonts w:cs="Arial"/>
            <w:szCs w:val="22"/>
          </w:rPr>
          <w:instrText xml:space="preserve"> ADDIN EN.CITE </w:instrText>
        </w:r>
        <w:r w:rsidRPr="00E001CF">
          <w:rPr>
            <w:rFonts w:cs="Arial"/>
            <w:szCs w:val="22"/>
          </w:rPr>
          <w:fldChar w:fldCharType="begin">
            <w:fldData xml:space="preserve">PEVuZE5vdGU+PENpdGU+PEF1dGhvcj5TY2hpZmZtYW48L0F1dGhvcj48WWVhcj4yMDE0PC9ZZWFy
PjxSZWNOdW0+MTwvUmVjTnVtPjxEaXNwbGF5VGV4dD48c3R5bGUgZmFjZT0ic3VwZXJzY3JpcHQi
PjI8L3N0eWxlPjwvRGlzcGxheVRleHQ+PHJlY29yZD48cmVjLW51bWJlcj4xPC9yZWMtbnVtYmVy
Pjxmb3JlaWduLWtleXM+PGtleSBhcHA9IkVOIiBkYi1pZD0iMnNmdGVzc3Y3MDAwZDZleHplbDU1
dDBmd3dmMDlzZWV3YXY1Ij4xPC9rZXk+PC9mb3JlaWduLWtleXM+PHJlZi10eXBlIG5hbWU9Ikpv
dXJuYWwgQXJ0aWNsZSI+MTc8L3JlZi10eXBlPjxjb250cmlidXRvcnM+PGF1dGhvcnM+PGF1dGhv
cj5TY2hpZmZtYW4sIEUuPC9hdXRob3I+PGF1dGhvcj5PaHJiYWNoLCBSLjwvYXV0aG9yPjxhdXRo
b3I+VHJ1ZWxvdmUsIEUuPC9hdXRob3I+PGF1dGhvcj5Mb29rLCBKLjwvYXV0aG9yPjxhdXRob3I+
QW5kZXJzb24sIEcuPC9hdXRob3I+PGF1dGhvcj5Hb3VsZXQsIEouIFAuPC9hdXRob3I+PGF1dGhv
cj5MaXN0LCBULjwvYXV0aG9yPjxhdXRob3I+U3ZlbnNzb24sIFAuPC9hdXRob3I+PGF1dGhvcj5H
b256YWxleiwgWS48L2F1dGhvcj48YXV0aG9yPkxvYmJlem9vLCBGLjwvYXV0aG9yPjxhdXRob3I+
TWljaGVsb3R0aSwgQS48L2F1dGhvcj48YXV0aG9yPkJyb29rcywgUy4gTC48L2F1dGhvcj48YXV0
aG9yPkNldXN0ZXJzLCBXLjwvYXV0aG9yPjxhdXRob3I+RHJhbmdzaG9sdCwgTS48L2F1dGhvcj48
YXV0aG9yPkV0dGxpbiwgRC48L2F1dGhvcj48YXV0aG9yPkdhdWwsIEMuPC9hdXRob3I+PGF1dGhv
cj5Hb2xkYmVyZywgTC4gSi48L2F1dGhvcj48YXV0aG9yPkhheXRob3JudGh3YWl0ZSwgSi4gQS48
L2F1dGhvcj48YXV0aG9yPkhvbGxlbmRlciwgTC48L2F1dGhvcj48YXV0aG9yPkplbnNlbiwgUi48
L2F1dGhvcj48YXV0aG9yPkpvaG4sIE0uIFQuPC9hdXRob3I+PGF1dGhvcj5EZSBMYWF0LCBBLjwv
YXV0aG9yPjxhdXRob3I+ZGUgTGVldXcsIFIuPC9hdXRob3I+PGF1dGhvcj5NYWl4bmVyLCBXLjwv
YXV0aG9yPjxhdXRob3I+dmFuIGRlciBNZXVsZW4sIE0uPC9hdXRob3I+PGF1dGhvcj5NdXJyYXks
IEcuIE0uPC9hdXRob3I+PGF1dGhvcj5OaXhkb3JmLCBELiBSLjwvYXV0aG9yPjxhdXRob3I+UGFs
bGEsIFMuPC9hdXRob3I+PGF1dGhvcj5QZXRlcnNzb24sIEEuPC9hdXRob3I+PGF1dGhvcj5QaW9u
Y2hvbiwgUC48L2F1dGhvcj48YXV0aG9yPlNtaXRoLCBCLjwvYXV0aG9yPjxhdXRob3I+Vmlzc2No
ZXIsIEMuIE0uPC9hdXRob3I+PGF1dGhvcj5aYWtyemV3c2thLCBKLjwvYXV0aG9yPjxhdXRob3I+
RHdvcmtpbiwgUy4gRi48L2F1dGhvcj48L2F1dGhvcnM+PC9jb250cmlidXRvcnM+PHRpdGxlcz48
dGl0bGU+RGlhZ25vc3RpYyBDcml0ZXJpYSBmb3IgVGVtcG9yb21hbmRpYnVsYXIgRGlzb3JkZXJz
IChEQy9UTUQpIGZvciBDbGluaWNhbCBhbmQgUmVzZWFyY2ggQXBwbGljYXRpb25zOiByZWNvbW1l
bmRhdGlvbnMgb2YgdGhlIEludGVybmF0aW9uYWwgUkRDL1RNRCBDb25zb3J0aXVtIE5ldHdvcmsq
IGFuZCBPcm9mYWNpYWwgUGFpbiBTcGVjaWFsIEludGVyZXN0IEdyb3VwZGFnZ2VyPC90aXRsZT48
c2Vjb25kYXJ5LXRpdGxlPkogT3JhbCBGYWNpYWwgUGFpbiBIZWFkYWNoZTwvc2Vjb25kYXJ5LXRp
dGxlPjxhbHQtdGl0bGU+Sm91cm5hbCBvZiBvcmFsICZhbXA7IGZhY2lhbCBwYWluIGFuZCBoZWFk
YWNoZTwvYWx0LXRpdGxlPjwvdGl0bGVzPjxwZXJpb2RpY2FsPjxmdWxsLXRpdGxlPkogT3JhbCBG
YWNpYWwgUGFpbiBIZWFkYWNoZTwvZnVsbC10aXRsZT48YWJici0xPkpvdXJuYWwgb2Ygb3JhbCAm
YW1wOyBmYWNpYWwgcGFpbiBhbmQgaGVhZGFjaGU8L2FiYnItMT48L3BlcmlvZGljYWw+PGFsdC1w
ZXJpb2RpY2FsPjxmdWxsLXRpdGxlPkogT3JhbCBGYWNpYWwgUGFpbiBIZWFkYWNoZTwvZnVsbC10
aXRsZT48YWJici0xPkpvdXJuYWwgb2Ygb3JhbCAmYW1wOyBmYWNpYWwgcGFpbiBhbmQgaGVhZGFj
aGU8L2FiYnItMT48L2FsdC1wZXJpb2RpY2FsPjxwYWdlcz42LTI3PC9wYWdlcz48dm9sdW1lPjI4
PC92b2x1bWU+PG51bWJlcj4xPC9udW1iZXI+PGVkaXRpb24+MjAxNC8wMi8wMTwvZWRpdGlvbj48
a2V5d29yZHM+PGtleXdvcmQ+QXJ0aHJhbGdpYS9kaWFnbm9zaXM8L2tleXdvcmQ+PGtleXdvcmQ+
Q29uc2Vuc3VzPC9rZXl3b3JkPjxrZXl3b3JkPkRpYWdub3NpcywgRGlmZmVyZW50aWFsPC9rZXl3
b3JkPjxrZXl3b3JkPkV2aWRlbmNlLUJhc2VkIERlbnRpc3RyeTwva2V5d29yZD48a2V5d29yZD5G
YWNpYWwgUGFpbi9kaWFnbm9zaXM8L2tleXdvcmQ+PGtleXdvcmQ+SGVhZGFjaGUvZGlhZ25vc2lz
PC9rZXl3b3JkPjxrZXl3b3JkPkh1bWFuczwva2V5d29yZD48a2V5d29yZD5Kb2ludCBEaXNsb2Nh
dGlvbnMvZGlhZ25vc2lzPC9rZXl3b3JkPjxrZXl3b3JkPk1hc3MgU2NyZWVuaW5nL21ldGhvZHM8
L2tleXdvcmQ+PGtleXdvcmQ+TWFzdGljYXRvcnkgTXVzY2xlcy9wYXRob2xvZ3k8L2tleXdvcmQ+
PGtleXdvcmQ+TXlhbGdpYS9kaWFnbm9zaXM8L2tleXdvcmQ+PGtleXdvcmQ+T3N0ZW9hcnRocml0
aXMvZGlhZ25vc2lzPC9rZXl3b3JkPjxrZXl3b3JkPlBhaW4sIFJlZmVycmVkL2RpYWdub3Npczwv
a2V5d29yZD48a2V5d29yZD5SZXByb2R1Y2liaWxpdHkgb2YgUmVzdWx0czwva2V5d29yZD48a2V5
d29yZD5TZW5zaXRpdml0eSBhbmQgU3BlY2lmaWNpdHk8L2tleXdvcmQ+PGtleXdvcmQ+VGVtcG9y
b21hbmRpYnVsYXIgSm9pbnQgRGlzYy9wYXRob2xvZ3k8L2tleXdvcmQ+PGtleXdvcmQ+VGVtcG9y
b21hbmRpYnVsYXIgSm9pbnQgRGlzb3JkZXJzLypkaWFnbm9zaXMvcGh5c2lvcGF0aG9sb2d5L3Bz
eWNob2xvZ3k8L2tleXdvcmQ+PGtleXdvcmQ+VGVtcG9yb21hbmRpYnVsYXIgSm9pbnQgRHlzZnVu
Y3Rpb24gU3luZHJvbWUvZGlhZ25vc2lzPC9rZXl3b3JkPjxrZXl3b3JkPlRlcm1pbm9sb2d5IGFz
IFRvcGljPC9rZXl3b3JkPjwva2V5d29yZHM+PGRhdGVzPjx5ZWFyPjIwMTQ8L3llYXI+PHB1Yi1k
YXRlcz48ZGF0ZT5XaW50ZXI8L2RhdGU+PC9wdWItZGF0ZXM+PC9kYXRlcz48aXNibj4yMzMzLTAz
ODQgKFByaW50KTwvaXNibj48YWNjZXNzaW9uLW51bT4yNDQ4Mjc4NDwvYWNjZXNzaW9uLW51bT48
d29yay10eXBlPlByYWN0aWNlIEd1aWRlbGluZSYjeEQ7UmVzZWFyY2ggU3VwcG9ydCwgTi5JLkgu
LCBFeHRyYW11cmFsJiN4RDtSZXNlYXJjaCBTdXBwb3J0LCBOb24tVS5TLiBHb3YmYXBvczt0PC93
b3JrLXR5cGU+PHVybHM+PHJlbGF0ZWQtdXJscz48dXJsPmh0dHA6Ly93d3cubmNiaS5ubG0ubmlo
Lmdvdi9wdWJtZWQvMjQ0ODI3ODQ8L3VybD48L3JlbGF0ZWQtdXJscz48L3VybHM+PGN1c3RvbTI+
NDQ3ODA4MjwvY3VzdG9tMj48ZWxlY3Ryb25pYy1yZXNvdXJjZS1udW0+MTAuMTE2MDcvam9wLjEx
NTE8L2VsZWN0cm9uaWMtcmVzb3VyY2UtbnVtPjxsYW5ndWFnZT5lbmc8L2xhbmd1YWdlPjwvcmVj
b3JkPjwvQ2l0ZT48L0VuZE5vdGU+
</w:fldData>
          </w:fldChar>
        </w:r>
        <w:r w:rsidRPr="00E001CF">
          <w:rPr>
            <w:rFonts w:cs="Arial"/>
            <w:szCs w:val="22"/>
          </w:rPr>
          <w:instrText xml:space="preserve"> ADDIN EN.CITE.DATA </w:instrText>
        </w:r>
        <w:r w:rsidRPr="00E001CF">
          <w:rPr>
            <w:rFonts w:cs="Arial"/>
            <w:szCs w:val="22"/>
          </w:rPr>
        </w:r>
        <w:r w:rsidRPr="00E001CF">
          <w:rPr>
            <w:rFonts w:cs="Arial"/>
            <w:szCs w:val="22"/>
          </w:rPr>
          <w:fldChar w:fldCharType="end"/>
        </w:r>
        <w:r w:rsidRPr="00E001CF">
          <w:rPr>
            <w:rFonts w:cs="Arial"/>
            <w:szCs w:val="22"/>
          </w:rPr>
        </w:r>
        <w:r w:rsidRPr="00E001CF">
          <w:rPr>
            <w:rFonts w:cs="Arial"/>
            <w:szCs w:val="22"/>
          </w:rPr>
          <w:fldChar w:fldCharType="separate"/>
        </w:r>
        <w:r w:rsidRPr="00E001CF">
          <w:rPr>
            <w:rFonts w:cs="Arial"/>
            <w:noProof/>
            <w:szCs w:val="22"/>
            <w:vertAlign w:val="superscript"/>
          </w:rPr>
          <w:t>2</w:t>
        </w:r>
        <w:r w:rsidRPr="00E001CF">
          <w:rPr>
            <w:rFonts w:cs="Arial"/>
            <w:szCs w:val="22"/>
          </w:rPr>
          <w:fldChar w:fldCharType="end"/>
        </w:r>
      </w:hyperlink>
    </w:p>
    <w:p w14:paraId="234CE29D" w14:textId="77777777" w:rsidR="00CF4E6E" w:rsidRPr="00E001CF" w:rsidRDefault="00CF4E6E" w:rsidP="00CF4E6E">
      <w:pPr>
        <w:pStyle w:val="Bulletlisting"/>
        <w:numPr>
          <w:ilvl w:val="0"/>
          <w:numId w:val="5"/>
        </w:numPr>
        <w:tabs>
          <w:tab w:val="left" w:pos="900"/>
        </w:tabs>
        <w:spacing w:after="120" w:line="240" w:lineRule="auto"/>
        <w:ind w:left="720"/>
        <w:rPr>
          <w:rFonts w:cs="Arial"/>
          <w:szCs w:val="22"/>
        </w:rPr>
      </w:pPr>
      <w:r w:rsidRPr="00E001CF">
        <w:rPr>
          <w:rFonts w:cs="Arial"/>
          <w:szCs w:val="22"/>
        </w:rPr>
        <w:t xml:space="preserve">Has experienced facial pain for at least 3 </w:t>
      </w:r>
      <w:proofErr w:type="gramStart"/>
      <w:r w:rsidRPr="00E001CF">
        <w:rPr>
          <w:rFonts w:cs="Arial"/>
          <w:szCs w:val="22"/>
        </w:rPr>
        <w:t>months</w:t>
      </w:r>
      <w:proofErr w:type="gramEnd"/>
    </w:p>
    <w:p w14:paraId="579E6BE3" w14:textId="77777777" w:rsidR="00CF4E6E" w:rsidRPr="00E001CF" w:rsidRDefault="00CF4E6E" w:rsidP="00CF4E6E">
      <w:pPr>
        <w:pStyle w:val="Bulletlisting"/>
        <w:numPr>
          <w:ilvl w:val="0"/>
          <w:numId w:val="5"/>
        </w:numPr>
        <w:tabs>
          <w:tab w:val="left" w:pos="900"/>
        </w:tabs>
        <w:spacing w:after="120" w:line="240" w:lineRule="auto"/>
        <w:ind w:left="720"/>
        <w:rPr>
          <w:rFonts w:cs="Arial"/>
          <w:szCs w:val="22"/>
        </w:rPr>
      </w:pPr>
      <w:r w:rsidRPr="00E001CF">
        <w:rPr>
          <w:rFonts w:cs="Arial"/>
          <w:szCs w:val="22"/>
        </w:rPr>
        <w:t xml:space="preserve">Has experienced facial pain for at least 10 days in the last 30 </w:t>
      </w:r>
      <w:proofErr w:type="gramStart"/>
      <w:r w:rsidRPr="00E001CF">
        <w:rPr>
          <w:rFonts w:cs="Arial"/>
          <w:szCs w:val="22"/>
        </w:rPr>
        <w:t>days</w:t>
      </w:r>
      <w:proofErr w:type="gramEnd"/>
    </w:p>
    <w:p w14:paraId="739DCEE9" w14:textId="77777777" w:rsidR="00CF4E6E" w:rsidRPr="00E001CF" w:rsidRDefault="00CF4E6E" w:rsidP="00CF4E6E">
      <w:pPr>
        <w:pStyle w:val="Bulletlisting"/>
        <w:numPr>
          <w:ilvl w:val="0"/>
          <w:numId w:val="5"/>
        </w:numPr>
        <w:tabs>
          <w:tab w:val="left" w:pos="900"/>
        </w:tabs>
        <w:spacing w:after="120" w:line="240" w:lineRule="auto"/>
        <w:ind w:left="720"/>
        <w:rPr>
          <w:rFonts w:cs="Arial"/>
          <w:szCs w:val="22"/>
        </w:rPr>
      </w:pPr>
      <w:r w:rsidRPr="00E001CF">
        <w:rPr>
          <w:rFonts w:cs="Arial"/>
          <w:szCs w:val="22"/>
        </w:rPr>
        <w:t>Report an average facial pain intensity rating in the past week of ≥ 30 on a numerical rating scale of ‘0’ to ‘100’ (where ‘0’ is no pain and ‘100’ is the worst imaginable pain)</w:t>
      </w:r>
    </w:p>
    <w:p w14:paraId="3D840D8D" w14:textId="77777777" w:rsidR="00105730" w:rsidRPr="00E001CF" w:rsidRDefault="00105730" w:rsidP="00105730">
      <w:pPr>
        <w:pStyle w:val="Bulletlisting"/>
        <w:numPr>
          <w:ilvl w:val="0"/>
          <w:numId w:val="0"/>
        </w:numPr>
        <w:tabs>
          <w:tab w:val="left" w:pos="900"/>
        </w:tabs>
        <w:spacing w:after="120" w:line="240" w:lineRule="auto"/>
        <w:ind w:left="360" w:hanging="360"/>
        <w:rPr>
          <w:rFonts w:cs="Arial"/>
          <w:b/>
          <w:szCs w:val="22"/>
        </w:rPr>
      </w:pPr>
      <w:r w:rsidRPr="00E001CF">
        <w:rPr>
          <w:rFonts w:cs="Arial"/>
          <w:b/>
          <w:szCs w:val="22"/>
        </w:rPr>
        <w:t>TMD Exclusion Criteria</w:t>
      </w:r>
    </w:p>
    <w:p w14:paraId="7CD38E82" w14:textId="77777777" w:rsidR="0098243C" w:rsidRPr="00E001CF" w:rsidRDefault="0098243C" w:rsidP="0098243C">
      <w:pPr>
        <w:pStyle w:val="CROMSText"/>
        <w:rPr>
          <w:rFonts w:cs="Arial"/>
          <w:szCs w:val="22"/>
        </w:rPr>
      </w:pPr>
      <w:r w:rsidRPr="00E001CF">
        <w:rPr>
          <w:rFonts w:cs="Arial"/>
          <w:szCs w:val="22"/>
        </w:rPr>
        <w:t>An individual who meets any of the following criteria will be excluded from participation in this study as a TMD participant:</w:t>
      </w:r>
    </w:p>
    <w:p w14:paraId="5B0F1E64" w14:textId="77777777" w:rsidR="0098243C" w:rsidRPr="00E001CF" w:rsidRDefault="0098243C" w:rsidP="0098243C">
      <w:pPr>
        <w:pStyle w:val="Bulletlisting"/>
        <w:numPr>
          <w:ilvl w:val="0"/>
          <w:numId w:val="6"/>
        </w:numPr>
        <w:tabs>
          <w:tab w:val="left" w:pos="810"/>
        </w:tabs>
        <w:spacing w:after="120" w:line="240" w:lineRule="auto"/>
        <w:ind w:left="720"/>
        <w:rPr>
          <w:rFonts w:cs="Arial"/>
          <w:szCs w:val="22"/>
        </w:rPr>
      </w:pPr>
      <w:r w:rsidRPr="00E001CF">
        <w:rPr>
          <w:rFonts w:cs="Arial"/>
          <w:szCs w:val="22"/>
        </w:rPr>
        <w:t xml:space="preserve">Used injection therapy (such as head and neck muscle or TMJ injections) for TMD pain management within 2 weeks prior to the study </w:t>
      </w:r>
      <w:proofErr w:type="gramStart"/>
      <w:r w:rsidRPr="00E001CF">
        <w:rPr>
          <w:rFonts w:cs="Arial"/>
          <w:szCs w:val="22"/>
        </w:rPr>
        <w:t>visit</w:t>
      </w:r>
      <w:proofErr w:type="gramEnd"/>
    </w:p>
    <w:p w14:paraId="23E16DA7" w14:textId="77777777" w:rsidR="00220463" w:rsidRPr="00E001CF" w:rsidRDefault="00220463">
      <w:pPr>
        <w:rPr>
          <w:rFonts w:ascii="Arial" w:hAnsi="Arial" w:cs="Arial"/>
          <w:b/>
        </w:rPr>
      </w:pPr>
      <w:r w:rsidRPr="00E001CF">
        <w:rPr>
          <w:rFonts w:ascii="Arial" w:hAnsi="Arial" w:cs="Arial"/>
          <w:b/>
        </w:rPr>
        <w:t>Migraine Inclusion Criteria</w:t>
      </w:r>
    </w:p>
    <w:p w14:paraId="4F53B95E" w14:textId="7455238E" w:rsidR="0066520A" w:rsidRPr="00E001CF" w:rsidRDefault="007B255A" w:rsidP="0066520A">
      <w:pPr>
        <w:pStyle w:val="CROMSText"/>
        <w:rPr>
          <w:rFonts w:cs="Arial"/>
          <w:szCs w:val="22"/>
        </w:rPr>
      </w:pPr>
      <w:r w:rsidRPr="00E001CF">
        <w:rPr>
          <w:rFonts w:cs="Arial"/>
          <w:szCs w:val="22"/>
        </w:rPr>
        <w:t>T</w:t>
      </w:r>
      <w:r w:rsidR="0066520A" w:rsidRPr="00E001CF">
        <w:rPr>
          <w:rFonts w:cs="Arial"/>
          <w:szCs w:val="22"/>
        </w:rPr>
        <w:t>o be eligible to participate in this study as a migraine participant, an individual must meet all the following criteria:</w:t>
      </w:r>
    </w:p>
    <w:p w14:paraId="59FB18FF" w14:textId="53D8B135" w:rsidR="0066520A" w:rsidRPr="00E001CF" w:rsidRDefault="0066520A" w:rsidP="0066520A">
      <w:pPr>
        <w:pStyle w:val="Bulletlisting"/>
        <w:numPr>
          <w:ilvl w:val="0"/>
          <w:numId w:val="3"/>
        </w:numPr>
        <w:tabs>
          <w:tab w:val="left" w:pos="900"/>
        </w:tabs>
        <w:spacing w:after="120" w:line="240" w:lineRule="auto"/>
        <w:ind w:left="720"/>
        <w:rPr>
          <w:rFonts w:cs="Arial"/>
          <w:szCs w:val="22"/>
        </w:rPr>
      </w:pPr>
      <w:r w:rsidRPr="00E001CF">
        <w:rPr>
          <w:rFonts w:cs="Arial"/>
          <w:szCs w:val="22"/>
        </w:rPr>
        <w:t xml:space="preserve">Meets ICHD-3 diagnostic criteria for episodic or chronic </w:t>
      </w:r>
      <w:proofErr w:type="gramStart"/>
      <w:r w:rsidRPr="00E001CF">
        <w:rPr>
          <w:rFonts w:cs="Arial"/>
          <w:szCs w:val="22"/>
        </w:rPr>
        <w:t>migraine</w:t>
      </w:r>
      <w:proofErr w:type="gramEnd"/>
    </w:p>
    <w:p w14:paraId="10FAE447" w14:textId="77777777" w:rsidR="0066520A" w:rsidRPr="00E001CF" w:rsidRDefault="0066520A" w:rsidP="0066520A">
      <w:pPr>
        <w:pStyle w:val="Bulletlisting"/>
        <w:numPr>
          <w:ilvl w:val="0"/>
          <w:numId w:val="3"/>
        </w:numPr>
        <w:tabs>
          <w:tab w:val="left" w:pos="900"/>
        </w:tabs>
        <w:spacing w:after="120" w:line="240" w:lineRule="auto"/>
        <w:ind w:left="720"/>
        <w:rPr>
          <w:rFonts w:cs="Arial"/>
          <w:szCs w:val="22"/>
        </w:rPr>
      </w:pPr>
      <w:r w:rsidRPr="00E001CF">
        <w:rPr>
          <w:rFonts w:cs="Arial"/>
          <w:szCs w:val="22"/>
        </w:rPr>
        <w:t xml:space="preserve">Has experienced migraine for at least 4 days per month in the last 3 </w:t>
      </w:r>
      <w:proofErr w:type="gramStart"/>
      <w:r w:rsidRPr="00E001CF">
        <w:rPr>
          <w:rFonts w:cs="Arial"/>
          <w:szCs w:val="22"/>
        </w:rPr>
        <w:t>months</w:t>
      </w:r>
      <w:proofErr w:type="gramEnd"/>
    </w:p>
    <w:p w14:paraId="034F8544" w14:textId="77777777" w:rsidR="00220463" w:rsidRPr="00E001CF" w:rsidRDefault="00220463" w:rsidP="00220463">
      <w:pPr>
        <w:rPr>
          <w:rFonts w:ascii="Arial" w:hAnsi="Arial" w:cs="Arial"/>
          <w:b/>
        </w:rPr>
      </w:pPr>
      <w:r w:rsidRPr="00E001CF">
        <w:rPr>
          <w:rFonts w:ascii="Arial" w:hAnsi="Arial" w:cs="Arial"/>
          <w:b/>
        </w:rPr>
        <w:t>Migraine Exclusion Criteria</w:t>
      </w:r>
    </w:p>
    <w:p w14:paraId="51F8F6E6" w14:textId="77777777" w:rsidR="00177BF3" w:rsidRPr="00E001CF" w:rsidRDefault="00177BF3" w:rsidP="00177BF3">
      <w:pPr>
        <w:pStyle w:val="CROMSText"/>
        <w:rPr>
          <w:rFonts w:cs="Arial"/>
          <w:szCs w:val="22"/>
        </w:rPr>
      </w:pPr>
      <w:r w:rsidRPr="00E001CF">
        <w:rPr>
          <w:rFonts w:cs="Arial"/>
          <w:szCs w:val="22"/>
        </w:rPr>
        <w:t>An individual who meets any of the following criteria will be excluded from participation in this study as a migraine participant:</w:t>
      </w:r>
    </w:p>
    <w:p w14:paraId="5724BFA7" w14:textId="77777777" w:rsidR="00177BF3" w:rsidRPr="00E001CF" w:rsidRDefault="00177BF3" w:rsidP="00177BF3">
      <w:pPr>
        <w:pStyle w:val="Bulletlisting"/>
        <w:numPr>
          <w:ilvl w:val="0"/>
          <w:numId w:val="4"/>
        </w:numPr>
        <w:tabs>
          <w:tab w:val="left" w:pos="810"/>
        </w:tabs>
        <w:spacing w:after="120" w:line="240" w:lineRule="auto"/>
        <w:rPr>
          <w:rFonts w:cs="Arial"/>
          <w:szCs w:val="22"/>
        </w:rPr>
      </w:pPr>
      <w:r w:rsidRPr="00E001CF">
        <w:rPr>
          <w:rFonts w:cs="Arial"/>
          <w:szCs w:val="22"/>
        </w:rPr>
        <w:t>Migraine onset after age of 50 years</w:t>
      </w:r>
    </w:p>
    <w:p w14:paraId="37D94B4D" w14:textId="77777777" w:rsidR="00177BF3" w:rsidRPr="00E001CF" w:rsidRDefault="00177BF3" w:rsidP="00177BF3">
      <w:pPr>
        <w:pStyle w:val="Bulletlisting"/>
        <w:numPr>
          <w:ilvl w:val="0"/>
          <w:numId w:val="4"/>
        </w:numPr>
        <w:tabs>
          <w:tab w:val="left" w:pos="810"/>
        </w:tabs>
        <w:spacing w:after="120" w:line="240" w:lineRule="auto"/>
        <w:rPr>
          <w:rFonts w:cs="Arial"/>
          <w:szCs w:val="22"/>
        </w:rPr>
      </w:pPr>
      <w:r w:rsidRPr="00E001CF">
        <w:rPr>
          <w:rFonts w:cs="Arial"/>
          <w:szCs w:val="22"/>
        </w:rPr>
        <w:t xml:space="preserve">Used interventions or devices for migraine treatment, such as nerve blocks or transcranial magnetic stimulation, within 2 months prior to the study </w:t>
      </w:r>
      <w:proofErr w:type="gramStart"/>
      <w:r w:rsidRPr="00E001CF">
        <w:rPr>
          <w:rFonts w:cs="Arial"/>
          <w:szCs w:val="22"/>
        </w:rPr>
        <w:t>visit</w:t>
      </w:r>
      <w:proofErr w:type="gramEnd"/>
    </w:p>
    <w:p w14:paraId="536B990E" w14:textId="3698E3A9" w:rsidR="00BB79A7" w:rsidRPr="00E001CF" w:rsidRDefault="003F5D84" w:rsidP="00BB79A7">
      <w:pPr>
        <w:spacing w:before="120" w:after="120" w:line="240" w:lineRule="auto"/>
        <w:rPr>
          <w:rFonts w:ascii="Arial" w:hAnsi="Arial" w:cs="Arial"/>
          <w:b/>
          <w:iCs/>
        </w:rPr>
      </w:pPr>
      <w:r w:rsidRPr="00E001CF">
        <w:rPr>
          <w:rFonts w:ascii="Arial" w:hAnsi="Arial" w:cs="Arial"/>
          <w:b/>
          <w:iCs/>
        </w:rPr>
        <w:t xml:space="preserve"> Healthy </w:t>
      </w:r>
      <w:r w:rsidR="00BB79A7" w:rsidRPr="00E001CF">
        <w:rPr>
          <w:rFonts w:ascii="Arial" w:hAnsi="Arial" w:cs="Arial"/>
          <w:b/>
          <w:iCs/>
        </w:rPr>
        <w:t>Control Exclusion Criteria</w:t>
      </w:r>
    </w:p>
    <w:p w14:paraId="61DB84ED" w14:textId="77777777" w:rsidR="00BB79A7" w:rsidRPr="00E001CF" w:rsidRDefault="00BB79A7" w:rsidP="00BB79A7">
      <w:pPr>
        <w:pStyle w:val="CROMSText"/>
        <w:rPr>
          <w:rFonts w:cs="Arial"/>
          <w:szCs w:val="22"/>
        </w:rPr>
      </w:pPr>
      <w:r w:rsidRPr="00E001CF">
        <w:rPr>
          <w:rFonts w:cs="Arial"/>
          <w:szCs w:val="22"/>
        </w:rPr>
        <w:t>An individual who meets any of the following criteria will be excluded from participation in this study as a control:</w:t>
      </w:r>
    </w:p>
    <w:p w14:paraId="3D8765F1" w14:textId="2C85CE0A" w:rsidR="00BB79A7" w:rsidRPr="00E001CF" w:rsidRDefault="00BB79A7" w:rsidP="00BB79A7">
      <w:pPr>
        <w:pStyle w:val="Bulletlisting"/>
        <w:numPr>
          <w:ilvl w:val="0"/>
          <w:numId w:val="11"/>
        </w:numPr>
        <w:tabs>
          <w:tab w:val="left" w:pos="810"/>
        </w:tabs>
        <w:spacing w:after="120" w:line="240" w:lineRule="auto"/>
        <w:rPr>
          <w:rFonts w:cs="Arial"/>
          <w:szCs w:val="22"/>
        </w:rPr>
      </w:pPr>
      <w:r w:rsidRPr="00E001CF">
        <w:rPr>
          <w:rFonts w:cs="Arial"/>
          <w:szCs w:val="22"/>
        </w:rPr>
        <w:t xml:space="preserve">Participants with painful TMD or migraine within 1 year prior to the study visit, classified according to DC/TMD and ICHD-3 diagnostic criteria, </w:t>
      </w:r>
      <w:proofErr w:type="gramStart"/>
      <w:r w:rsidRPr="00E001CF">
        <w:rPr>
          <w:rFonts w:cs="Arial"/>
          <w:szCs w:val="22"/>
        </w:rPr>
        <w:t>respectively</w:t>
      </w:r>
      <w:proofErr w:type="gramEnd"/>
    </w:p>
    <w:p w14:paraId="0E5EB355" w14:textId="243E3000" w:rsidR="00BB79A7" w:rsidRPr="00E001CF" w:rsidRDefault="00BB79A7" w:rsidP="00BB79A7">
      <w:pPr>
        <w:pStyle w:val="Bulletlisting"/>
        <w:numPr>
          <w:ilvl w:val="0"/>
          <w:numId w:val="11"/>
        </w:numPr>
        <w:tabs>
          <w:tab w:val="left" w:pos="810"/>
        </w:tabs>
        <w:spacing w:after="120" w:line="240" w:lineRule="auto"/>
        <w:rPr>
          <w:rFonts w:cs="Arial"/>
          <w:szCs w:val="22"/>
        </w:rPr>
      </w:pPr>
      <w:r w:rsidRPr="00E001CF">
        <w:rPr>
          <w:rFonts w:cs="Arial"/>
          <w:szCs w:val="22"/>
        </w:rPr>
        <w:t>Participants with frequent tension-type headache with &gt;4 headache days per month within 3 months prior to the study visit</w:t>
      </w:r>
    </w:p>
    <w:p w14:paraId="14344F83" w14:textId="77777777" w:rsidR="00220463" w:rsidRPr="00E001CF" w:rsidRDefault="00220463" w:rsidP="00220463">
      <w:pPr>
        <w:rPr>
          <w:rFonts w:ascii="Arial" w:hAnsi="Arial" w:cs="Arial"/>
        </w:rPr>
      </w:pPr>
    </w:p>
    <w:p w14:paraId="3ECF10C5" w14:textId="77777777" w:rsidR="00E001CF" w:rsidRPr="00E001CF" w:rsidRDefault="00E001CF">
      <w:pPr>
        <w:rPr>
          <w:rFonts w:ascii="Arial" w:hAnsi="Arial" w:cs="Arial"/>
        </w:rPr>
      </w:pPr>
    </w:p>
    <w:sectPr w:rsidR="00E001CF" w:rsidRPr="00E00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1B0C"/>
    <w:multiLevelType w:val="singleLevel"/>
    <w:tmpl w:val="FAA2A3B2"/>
    <w:lvl w:ilvl="0">
      <w:start w:val="1"/>
      <w:numFmt w:val="bullet"/>
      <w:pStyle w:val="Bulletlist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" w15:restartNumberingAfterBreak="0">
    <w:nsid w:val="19FC7F7B"/>
    <w:multiLevelType w:val="hybridMultilevel"/>
    <w:tmpl w:val="A50C27AA"/>
    <w:lvl w:ilvl="0" w:tplc="04090011">
      <w:start w:val="1"/>
      <w:numFmt w:val="decimal"/>
      <w:lvlText w:val="%1)"/>
      <w:lvlJc w:val="left"/>
      <w:pPr>
        <w:ind w:left="5670" w:hanging="360"/>
      </w:p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2" w15:restartNumberingAfterBreak="0">
    <w:nsid w:val="26067D90"/>
    <w:multiLevelType w:val="hybridMultilevel"/>
    <w:tmpl w:val="C276D0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C067DD"/>
    <w:multiLevelType w:val="hybridMultilevel"/>
    <w:tmpl w:val="7390F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81510"/>
    <w:multiLevelType w:val="hybridMultilevel"/>
    <w:tmpl w:val="F814A04E"/>
    <w:lvl w:ilvl="0" w:tplc="216A65FC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B2575"/>
    <w:multiLevelType w:val="hybridMultilevel"/>
    <w:tmpl w:val="56709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417CD"/>
    <w:multiLevelType w:val="hybridMultilevel"/>
    <w:tmpl w:val="B69649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C5659"/>
    <w:multiLevelType w:val="hybridMultilevel"/>
    <w:tmpl w:val="B69649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13DEE"/>
    <w:multiLevelType w:val="hybridMultilevel"/>
    <w:tmpl w:val="114E5FA2"/>
    <w:lvl w:ilvl="0" w:tplc="1F0C57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A4DD1"/>
    <w:multiLevelType w:val="hybridMultilevel"/>
    <w:tmpl w:val="86B081E0"/>
    <w:lvl w:ilvl="0" w:tplc="EEA49B16">
      <w:start w:val="1"/>
      <w:numFmt w:val="decimal"/>
      <w:lvlText w:val="%1)"/>
      <w:lvlJc w:val="left"/>
      <w:pPr>
        <w:ind w:left="117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AA317B"/>
    <w:multiLevelType w:val="hybridMultilevel"/>
    <w:tmpl w:val="C276D05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370435">
    <w:abstractNumId w:val="3"/>
  </w:num>
  <w:num w:numId="2" w16cid:durableId="2085182253">
    <w:abstractNumId w:val="0"/>
  </w:num>
  <w:num w:numId="3" w16cid:durableId="295792857">
    <w:abstractNumId w:val="10"/>
  </w:num>
  <w:num w:numId="4" w16cid:durableId="1738018559">
    <w:abstractNumId w:val="7"/>
  </w:num>
  <w:num w:numId="5" w16cid:durableId="893737114">
    <w:abstractNumId w:val="9"/>
  </w:num>
  <w:num w:numId="6" w16cid:durableId="1568418593">
    <w:abstractNumId w:val="1"/>
  </w:num>
  <w:num w:numId="7" w16cid:durableId="683560095">
    <w:abstractNumId w:val="2"/>
  </w:num>
  <w:num w:numId="8" w16cid:durableId="281303195">
    <w:abstractNumId w:val="6"/>
  </w:num>
  <w:num w:numId="9" w16cid:durableId="2011323357">
    <w:abstractNumId w:val="5"/>
  </w:num>
  <w:num w:numId="10" w16cid:durableId="253822756">
    <w:abstractNumId w:val="8"/>
  </w:num>
  <w:num w:numId="11" w16cid:durableId="7993036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463"/>
    <w:rsid w:val="00070F9F"/>
    <w:rsid w:val="00105730"/>
    <w:rsid w:val="00177BF3"/>
    <w:rsid w:val="001B374F"/>
    <w:rsid w:val="001E78E1"/>
    <w:rsid w:val="00203D96"/>
    <w:rsid w:val="00220463"/>
    <w:rsid w:val="003408D0"/>
    <w:rsid w:val="003F5D84"/>
    <w:rsid w:val="00413965"/>
    <w:rsid w:val="004B6E37"/>
    <w:rsid w:val="00521670"/>
    <w:rsid w:val="00535011"/>
    <w:rsid w:val="00550239"/>
    <w:rsid w:val="00595B52"/>
    <w:rsid w:val="00610D9E"/>
    <w:rsid w:val="0066520A"/>
    <w:rsid w:val="007A4270"/>
    <w:rsid w:val="007A71F3"/>
    <w:rsid w:val="007B255A"/>
    <w:rsid w:val="007C320A"/>
    <w:rsid w:val="00847FF2"/>
    <w:rsid w:val="008D1186"/>
    <w:rsid w:val="008F3639"/>
    <w:rsid w:val="0098243C"/>
    <w:rsid w:val="00A41498"/>
    <w:rsid w:val="00A577F6"/>
    <w:rsid w:val="00B42618"/>
    <w:rsid w:val="00B7475E"/>
    <w:rsid w:val="00BB79A7"/>
    <w:rsid w:val="00C22624"/>
    <w:rsid w:val="00C87A09"/>
    <w:rsid w:val="00CB21ED"/>
    <w:rsid w:val="00CC1721"/>
    <w:rsid w:val="00CF4E6E"/>
    <w:rsid w:val="00D73B88"/>
    <w:rsid w:val="00D95FA8"/>
    <w:rsid w:val="00DA32E7"/>
    <w:rsid w:val="00DF5BF0"/>
    <w:rsid w:val="00E001CF"/>
    <w:rsid w:val="00EE66DC"/>
    <w:rsid w:val="00EF57DB"/>
    <w:rsid w:val="00F0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98A1F"/>
  <w15:chartTrackingRefBased/>
  <w15:docId w15:val="{465863B4-1964-4FBD-A2AE-E42DF41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463"/>
    <w:pPr>
      <w:ind w:left="720"/>
      <w:contextualSpacing/>
    </w:pPr>
  </w:style>
  <w:style w:type="paragraph" w:customStyle="1" w:styleId="Bulletlisting">
    <w:name w:val="Bullet (listing)"/>
    <w:basedOn w:val="Normal"/>
    <w:rsid w:val="00220463"/>
    <w:pPr>
      <w:numPr>
        <w:numId w:val="2"/>
      </w:numPr>
      <w:spacing w:before="120" w:after="0" w:line="274" w:lineRule="auto"/>
    </w:pPr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220463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220463"/>
    <w:rPr>
      <w:rFonts w:eastAsiaTheme="minorEastAsia"/>
    </w:rPr>
  </w:style>
  <w:style w:type="paragraph" w:customStyle="1" w:styleId="CROMSText">
    <w:name w:val="CROMS_Text"/>
    <w:basedOn w:val="BodyText"/>
    <w:link w:val="CROMSTextChar"/>
    <w:uiPriority w:val="99"/>
    <w:qFormat/>
    <w:rsid w:val="00CF4E6E"/>
    <w:pPr>
      <w:spacing w:before="120" w:line="274" w:lineRule="auto"/>
    </w:pPr>
    <w:rPr>
      <w:rFonts w:ascii="Arial" w:eastAsia="Times New Roman" w:hAnsi="Arial" w:cs="Times New Roman"/>
      <w:szCs w:val="20"/>
    </w:rPr>
  </w:style>
  <w:style w:type="character" w:customStyle="1" w:styleId="CROMSTextChar">
    <w:name w:val="CROMS_Text Char"/>
    <w:link w:val="CROMSText"/>
    <w:uiPriority w:val="99"/>
    <w:rsid w:val="00CF4E6E"/>
    <w:rPr>
      <w:rFonts w:ascii="Arial" w:eastAsia="Times New Roman" w:hAnsi="Arial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CF4E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F4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Chapel Hill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Tchivileva, Inna E</dc:creator>
  <cp:keywords/>
  <dc:description/>
  <cp:lastModifiedBy>Tchivileva, Inna E</cp:lastModifiedBy>
  <cp:revision>6</cp:revision>
  <dcterms:created xsi:type="dcterms:W3CDTF">2023-06-15T01:11:00Z</dcterms:created>
  <dcterms:modified xsi:type="dcterms:W3CDTF">2023-06-15T01:18:00Z</dcterms:modified>
</cp:coreProperties>
</file>