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B403" w14:textId="77777777" w:rsidR="003444DD" w:rsidRPr="00D23C26" w:rsidRDefault="003444DD" w:rsidP="003444DD">
      <w:pPr>
        <w:rPr>
          <w:rFonts w:ascii="Arial" w:eastAsiaTheme="minorHAnsi" w:hAnsi="Arial" w:cs="Arial"/>
          <w:b/>
          <w:bCs/>
          <w:sz w:val="32"/>
          <w:szCs w:val="32"/>
        </w:rPr>
      </w:pPr>
      <w:r w:rsidRPr="00D23C26">
        <w:rPr>
          <w:rFonts w:ascii="Arial" w:eastAsiaTheme="minorHAnsi" w:hAnsi="Arial" w:cs="Arial"/>
          <w:b/>
          <w:bCs/>
          <w:sz w:val="32"/>
          <w:szCs w:val="32"/>
        </w:rPr>
        <w:t>Appendix A. Literature Review Extraction Table</w:t>
      </w:r>
    </w:p>
    <w:p w14:paraId="1B0DA88A" w14:textId="77777777" w:rsidR="003444DD" w:rsidRDefault="003444DD" w:rsidP="003444DD">
      <w:pPr>
        <w:rPr>
          <w:rFonts w:ascii="Arial" w:hAnsi="Arial" w:cs="Arial"/>
          <w:b/>
          <w:bCs/>
          <w:sz w:val="22"/>
          <w:szCs w:val="22"/>
        </w:rPr>
      </w:pPr>
    </w:p>
    <w:p w14:paraId="76077A9D" w14:textId="77777777" w:rsidR="003444DD" w:rsidRPr="00E4366E" w:rsidRDefault="003444DD" w:rsidP="003444DD">
      <w:pPr>
        <w:rPr>
          <w:rFonts w:ascii="Arial" w:hAnsi="Arial" w:cs="Arial"/>
          <w:sz w:val="20"/>
          <w:szCs w:val="20"/>
          <w:lang w:val="en-CA"/>
        </w:rPr>
      </w:pPr>
      <w:r w:rsidRPr="00E4366E">
        <w:rPr>
          <w:rFonts w:ascii="Arial" w:hAnsi="Arial" w:cs="Arial"/>
          <w:sz w:val="20"/>
          <w:szCs w:val="20"/>
          <w:lang w:val="en-CA"/>
        </w:rPr>
        <w:t xml:space="preserve">A structured literature review was conducted in PubMed and Google Scholar for articles published in English between January 2016 and June 15, 2021 (date of search). This search was complemented by </w:t>
      </w:r>
      <w:r>
        <w:rPr>
          <w:rFonts w:ascii="Arial" w:hAnsi="Arial" w:cs="Arial"/>
          <w:sz w:val="20"/>
          <w:szCs w:val="20"/>
          <w:lang w:val="en-CA"/>
        </w:rPr>
        <w:t xml:space="preserve">searches of publications from </w:t>
      </w:r>
      <w:r w:rsidRPr="00E4366E">
        <w:rPr>
          <w:rFonts w:ascii="Arial" w:hAnsi="Arial" w:cs="Arial"/>
          <w:bCs/>
          <w:sz w:val="20"/>
          <w:szCs w:val="20"/>
        </w:rPr>
        <w:t xml:space="preserve">relevant organizations </w:t>
      </w:r>
      <w:r>
        <w:rPr>
          <w:rFonts w:ascii="Arial" w:hAnsi="Arial" w:cs="Arial"/>
          <w:bCs/>
          <w:sz w:val="20"/>
          <w:szCs w:val="20"/>
        </w:rPr>
        <w:t>and reference lists</w:t>
      </w:r>
      <w:r w:rsidRPr="00E4366E">
        <w:rPr>
          <w:rFonts w:ascii="Arial" w:hAnsi="Arial" w:cs="Arial"/>
          <w:bCs/>
          <w:sz w:val="20"/>
          <w:szCs w:val="20"/>
        </w:rPr>
        <w:t xml:space="preserve">. </w:t>
      </w:r>
      <w:r w:rsidRPr="00E4366E">
        <w:rPr>
          <w:rFonts w:ascii="Arial" w:hAnsi="Arial" w:cs="Arial"/>
          <w:sz w:val="20"/>
          <w:szCs w:val="20"/>
          <w:lang w:val="en-CA"/>
        </w:rPr>
        <w:t>The following search terms were used:</w:t>
      </w:r>
    </w:p>
    <w:p w14:paraId="17F7D9FD" w14:textId="77777777" w:rsidR="003444DD" w:rsidRDefault="003444DD" w:rsidP="003444DD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(</w:t>
      </w:r>
      <w:r w:rsidRPr="009D5FE7">
        <w:rPr>
          <w:rFonts w:ascii="Arial" w:hAnsi="Arial" w:cs="Arial"/>
          <w:sz w:val="20"/>
          <w:szCs w:val="20"/>
          <w:lang w:val="en-CA"/>
        </w:rPr>
        <w:t xml:space="preserve">thrombos* OR thrombocytopenia OR thrombot*) AND (ICD OR claim* or </w:t>
      </w:r>
      <w:r>
        <w:rPr>
          <w:rFonts w:ascii="Arial" w:hAnsi="Arial" w:cs="Arial"/>
          <w:sz w:val="20"/>
          <w:szCs w:val="20"/>
          <w:lang w:val="en-CA"/>
        </w:rPr>
        <w:t xml:space="preserve">positive predictive value OR </w:t>
      </w:r>
      <w:r w:rsidRPr="009D5FE7">
        <w:rPr>
          <w:rFonts w:ascii="Arial" w:hAnsi="Arial" w:cs="Arial"/>
          <w:sz w:val="20"/>
          <w:szCs w:val="20"/>
          <w:lang w:val="en-CA"/>
        </w:rPr>
        <w:t>PPV OR valid*)</w:t>
      </w:r>
    </w:p>
    <w:p w14:paraId="1A72899E" w14:textId="77777777" w:rsidR="003444DD" w:rsidRDefault="003444DD" w:rsidP="003444DD">
      <w:pPr>
        <w:rPr>
          <w:rFonts w:ascii="Arial" w:hAnsi="Arial" w:cs="Arial"/>
          <w:sz w:val="20"/>
          <w:szCs w:val="20"/>
        </w:rPr>
      </w:pPr>
    </w:p>
    <w:p w14:paraId="3716298C" w14:textId="4BCC5B8C" w:rsidR="003444DD" w:rsidRDefault="003444DD" w:rsidP="003444D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 validation</w:t>
      </w:r>
      <w:r w:rsidRPr="00E436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studies of particular relevance were identified,</w:t>
      </w:r>
      <w:r>
        <w:rPr>
          <w:rFonts w:ascii="Arial" w:hAnsi="Arial" w:cs="Arial"/>
          <w:sz w:val="20"/>
          <w:szCs w:val="20"/>
        </w:rPr>
        <w:fldChar w:fldCharType="begin">
          <w:fldData xml:space="preserve">PEVuZE5vdGU+PENpdGU+PEF1dGhvcj5IYW5kbGV5PC9BdXRob3I+PFllYXI+MjAyMDwvWWVhcj48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</w:fldData>
        </w:fldChar>
      </w:r>
      <w:r>
        <w:rPr>
          <w:rFonts w:ascii="Arial" w:hAnsi="Arial" w:cs="Arial"/>
          <w:sz w:val="20"/>
          <w:szCs w:val="20"/>
        </w:rPr>
        <w:instrText xml:space="preserve"> ADDIN EN.CITE </w:instrText>
      </w:r>
      <w:r>
        <w:rPr>
          <w:rFonts w:ascii="Arial" w:hAnsi="Arial" w:cs="Arial"/>
          <w:sz w:val="20"/>
          <w:szCs w:val="20"/>
        </w:rPr>
        <w:fldChar w:fldCharType="begin">
          <w:fldData xml:space="preserve">PEVuZE5vdGU+PENpdGU+PEF1dGhvcj5IYW5kbGV5PC9BdXRob3I+PFllYXI+MjAyMDwvWWVhcj48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</w:fldData>
        </w:fldChar>
      </w:r>
      <w:r>
        <w:rPr>
          <w:rFonts w:ascii="Arial" w:hAnsi="Arial" w:cs="Arial"/>
          <w:sz w:val="20"/>
          <w:szCs w:val="20"/>
        </w:rPr>
        <w:instrText xml:space="preserve"> ADDIN EN.CITE.DATA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444DD">
        <w:rPr>
          <w:rFonts w:ascii="Arial" w:hAnsi="Arial" w:cs="Arial"/>
          <w:noProof/>
          <w:sz w:val="20"/>
          <w:szCs w:val="20"/>
          <w:vertAlign w:val="superscript"/>
        </w:rPr>
        <w:t>1,2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while additional studies using claims data to identify thrombosis and thrombocytopenia are summarized in </w:t>
      </w:r>
      <w:r>
        <w:rPr>
          <w:rFonts w:ascii="Arial" w:hAnsi="Arial" w:cs="Arial"/>
          <w:b/>
          <w:bCs/>
          <w:sz w:val="20"/>
          <w:szCs w:val="20"/>
        </w:rPr>
        <w:t>Table A1</w:t>
      </w:r>
      <w:r w:rsidRPr="00E4366E">
        <w:rPr>
          <w:rFonts w:ascii="Arial" w:hAnsi="Arial" w:cs="Arial"/>
          <w:sz w:val="20"/>
          <w:szCs w:val="20"/>
        </w:rPr>
        <w:t xml:space="preserve">. </w:t>
      </w:r>
      <w:r w:rsidRPr="00E4366E">
        <w:rPr>
          <w:rFonts w:ascii="Arial" w:hAnsi="Arial" w:cs="Arial"/>
          <w:bCs/>
          <w:sz w:val="20"/>
          <w:szCs w:val="20"/>
        </w:rPr>
        <w:t>Liberman and colleagues</w:t>
      </w:r>
      <w:r>
        <w:rPr>
          <w:rFonts w:ascii="Arial" w:hAnsi="Arial" w:cs="Arial"/>
          <w:bCs/>
          <w:sz w:val="20"/>
          <w:szCs w:val="20"/>
        </w:rPr>
        <w:t xml:space="preserve"> used ICD-9 codes 325.0, 437.6, and 671.5 to identify patients with cerebral venous thrombosis (n=111), reporting a positive predictive value (PPV) of 83.8% (95% CI </w:t>
      </w:r>
      <w:r w:rsidRPr="00BA154A">
        <w:rPr>
          <w:rFonts w:ascii="Arial" w:hAnsi="Arial" w:cs="Arial"/>
          <w:bCs/>
          <w:sz w:val="20"/>
          <w:szCs w:val="20"/>
        </w:rPr>
        <w:t>68.5</w:t>
      </w:r>
      <w:r w:rsidRPr="00BA154A">
        <w:rPr>
          <w:rFonts w:ascii="Arial" w:hAnsi="Arial" w:cs="Arial"/>
          <w:bCs/>
          <w:sz w:val="20"/>
          <w:szCs w:val="20"/>
        </w:rPr>
        <w:softHyphen/>
        <w:t>–92.7%)</w:t>
      </w:r>
      <w:r>
        <w:rPr>
          <w:rFonts w:ascii="Arial" w:hAnsi="Arial" w:cs="Arial"/>
          <w:bCs/>
          <w:sz w:val="20"/>
          <w:szCs w:val="20"/>
        </w:rPr>
        <w:t xml:space="preserve"> for codes in the primary position and </w:t>
      </w:r>
      <w:r w:rsidRPr="00BA154A">
        <w:rPr>
          <w:rFonts w:ascii="Arial" w:hAnsi="Arial" w:cs="Arial"/>
          <w:bCs/>
          <w:sz w:val="20"/>
          <w:szCs w:val="20"/>
        </w:rPr>
        <w:t>75.7% (95%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154A">
        <w:rPr>
          <w:rFonts w:ascii="Arial" w:hAnsi="Arial" w:cs="Arial"/>
          <w:bCs/>
          <w:sz w:val="20"/>
          <w:szCs w:val="20"/>
        </w:rPr>
        <w:t>CI 66.9–82.8)</w:t>
      </w:r>
      <w:r>
        <w:rPr>
          <w:rFonts w:ascii="Arial" w:hAnsi="Arial" w:cs="Arial"/>
          <w:bCs/>
          <w:sz w:val="20"/>
          <w:szCs w:val="20"/>
        </w:rPr>
        <w:t xml:space="preserve"> for codes in any position.</w:t>
      </w:r>
      <w:r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ADDIN EN.CITE &lt;EndNote&gt;&lt;Cite&gt;&lt;Author&gt;Liberman&lt;/Author&gt;&lt;Year&gt;2016&lt;/Year&gt;&lt;RecNum&gt;10&lt;/RecNum&gt;&lt;DisplayText&gt;&lt;style face="superscript"&gt;2&lt;/style&gt;&lt;/DisplayText&gt;&lt;record&gt;&lt;rec-number&gt;10&lt;/rec-number&gt;&lt;foreign-keys&gt;&lt;key app="EN" db-id="tvz5pd20sv5vrlea5ryvwr5ap0w0rrs0pw9r" timestamp="1662656959"&gt;10&lt;/key&gt;&lt;/foreign-keys&gt;&lt;ref-type name="Journal Article"&gt;17&lt;/ref-type&gt;&lt;contributors&gt;&lt;authors&gt;&lt;author&gt;Liberman, A. L.&lt;/author&gt;&lt;author&gt;Kamel, H.&lt;/author&gt;&lt;author&gt;Mullen, M. T.&lt;/author&gt;&lt;author&gt;Messé, S. R.&lt;/author&gt;&lt;/authors&gt;&lt;/contributors&gt;&lt;auth-address&gt;Department of Neurology, Hospital of the University of Pennsylvania, Philadelphia, PA, USA.&amp;#xD;Department of Neurology, Weill Cornell Medical College, New York, NY, USA; Feil Family Brain and Mind Research Institute, Weill Cornell Medical College, New York, NY, USA.&lt;/auth-address&gt;&lt;titles&gt;&lt;title&gt;International Classification of Diseases, Ninth Revision (ICD-9) Diagnosis Codes Can Identify Cerebral Venous Thrombosis in Hospitalized Adults&lt;/title&gt;&lt;secondary-title&gt;Neurohospitalist&lt;/secondary-title&gt;&lt;/titles&gt;&lt;periodical&gt;&lt;full-title&gt;Neurohospitalist&lt;/full-title&gt;&lt;/periodical&gt;&lt;pages&gt;147-150&lt;/pages&gt;&lt;volume&gt;6&lt;/volume&gt;&lt;number&gt;4&lt;/number&gt;&lt;edition&gt;2016/10/04&lt;/edition&gt;&lt;keywords&gt;&lt;keyword&gt;ICD-9 codes&lt;/keyword&gt;&lt;keyword&gt;accuracy&lt;/keyword&gt;&lt;keyword&gt;cerebral venous thrombosis&lt;/keyword&gt;&lt;keyword&gt;sinovenous thrombosis&lt;/keyword&gt;&lt;keyword&gt;research, authorship, and/or publication of this article.&lt;/keyword&gt;&lt;/keywords&gt;&lt;dates&gt;&lt;year&gt;2016&lt;/year&gt;&lt;pub-dates&gt;&lt;date&gt;Oct&lt;/date&gt;&lt;/pub-dates&gt;&lt;/dates&gt;&lt;isbn&gt;1941-8744 (Print)&amp;#xD;1941-8744&lt;/isbn&gt;&lt;accession-num&gt;27695595&lt;/accession-num&gt;&lt;urls&gt;&lt;/urls&gt;&lt;custom2&gt;PMC5029556&lt;/custom2&gt;&lt;electronic-resource-num&gt;10.1177/1941874416648198&lt;/electronic-resource-num&gt;&lt;remote-database-provider&gt;NLM&lt;/remote-database-provider&gt;&lt;language&gt;eng&lt;/language&gt;&lt;/record&gt;&lt;/Cite&gt;&lt;/EndNote&gt;</w:instrText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Pr="003444DD">
        <w:rPr>
          <w:rFonts w:ascii="Arial" w:hAnsi="Arial" w:cs="Arial"/>
          <w:bCs/>
          <w:noProof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Handley and </w:t>
      </w:r>
      <w:r w:rsidRPr="00450DD3">
        <w:rPr>
          <w:rFonts w:ascii="Arial" w:hAnsi="Arial" w:cs="Arial"/>
          <w:bCs/>
          <w:sz w:val="20"/>
          <w:szCs w:val="20"/>
        </w:rPr>
        <w:t>Emsley</w:t>
      </w:r>
      <w:r>
        <w:rPr>
          <w:rFonts w:ascii="Arial" w:hAnsi="Arial" w:cs="Arial"/>
          <w:bCs/>
          <w:sz w:val="20"/>
          <w:szCs w:val="20"/>
        </w:rPr>
        <w:t xml:space="preserve"> used ICD-10-CM codes G08, I67.6, I63.6, O22.5x, and O87.3 to identify intracranial venous thrombosis in the US (n=65), reporting a PPV of 92.3% (</w:t>
      </w:r>
      <w:r w:rsidRPr="00E4366E">
        <w:rPr>
          <w:rFonts w:ascii="Arial" w:hAnsi="Arial" w:cs="Arial"/>
          <w:bCs/>
          <w:sz w:val="20"/>
          <w:szCs w:val="20"/>
        </w:rPr>
        <w:t>95%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4366E">
        <w:rPr>
          <w:rFonts w:ascii="Arial" w:hAnsi="Arial" w:cs="Arial"/>
          <w:bCs/>
          <w:sz w:val="20"/>
          <w:szCs w:val="20"/>
        </w:rPr>
        <w:t>CI 82.8–97.1%</w:t>
      </w:r>
      <w:r>
        <w:rPr>
          <w:rFonts w:ascii="Arial" w:hAnsi="Arial" w:cs="Arial"/>
          <w:bCs/>
          <w:sz w:val="20"/>
          <w:szCs w:val="20"/>
        </w:rPr>
        <w:t>) for codes in any position</w:t>
      </w:r>
      <w:r w:rsidR="00992CE3">
        <w:rPr>
          <w:rFonts w:ascii="Arial" w:hAnsi="Arial" w:cs="Arial"/>
          <w:bCs/>
          <w:sz w:val="20"/>
          <w:szCs w:val="20"/>
        </w:rPr>
        <w:t>.</w:t>
      </w:r>
      <w:r w:rsidR="00992CE3">
        <w:rPr>
          <w:rFonts w:ascii="Arial" w:hAnsi="Arial" w:cs="Arial"/>
          <w:color w:val="000000" w:themeColor="text1"/>
          <w:sz w:val="18"/>
          <w:szCs w:val="18"/>
        </w:rPr>
        <w:fldChar w:fldCharType="begin"/>
      </w:r>
      <w:r w:rsidR="00992CE3">
        <w:rPr>
          <w:rFonts w:ascii="Arial" w:hAnsi="Arial" w:cs="Arial"/>
          <w:color w:val="000000" w:themeColor="text1"/>
          <w:sz w:val="18"/>
          <w:szCs w:val="18"/>
        </w:rPr>
        <w:instrText xml:space="preserve"> ADDIN EN.CITE &lt;EndNote&gt;&lt;Cite&gt;&lt;Author&gt;Handley&lt;/Author&gt;&lt;Year&gt;2020&lt;/Year&gt;&lt;RecNum&gt;11&lt;/RecNum&gt;&lt;DisplayText&gt;&lt;style face="superscript"&gt;1&lt;/style&gt;&lt;/DisplayText&gt;&lt;record&gt;&lt;rec-number&gt;11&lt;/rec-number&gt;&lt;foreign-keys&gt;&lt;key app="EN" db-id="tvz5pd20sv5vrlea5ryvwr5ap0w0rrs0pw9r" timestamp="1662656959"&gt;11&lt;/key&gt;&lt;/foreign-keys&gt;&lt;ref-type name="Journal Article"&gt;17&lt;/ref-type&gt;&lt;contributors&gt;&lt;authors&gt;&lt;author&gt;Handley, J. D.&lt;/author&gt;&lt;author&gt;Emsley, H. C.&lt;/author&gt;&lt;/authors&gt;&lt;/contributors&gt;&lt;auth-address&gt;Salford Royal Hospital, UK.&amp;#xD;Lancaster University, UK.&amp;#xD;Royal Preston Hospital, UK.&lt;/auth-address&gt;&lt;titles&gt;&lt;title&gt;Validation of ICD-10 codes shows intracranial venous thrombosis incidence to be higher than previously reported&lt;/title&gt;&lt;secondary-title&gt;Health Inf Manag&lt;/secondary-title&gt;&lt;/titles&gt;&lt;periodical&gt;&lt;full-title&gt;Health Inf Manag&lt;/full-title&gt;&lt;/periodical&gt;&lt;pages&gt;58-61&lt;/pages&gt;&lt;volume&gt;49&lt;/volume&gt;&lt;number&gt;1&lt;/number&gt;&lt;edition&gt;2018/12/20&lt;/edition&gt;&lt;keywords&gt;&lt;keyword&gt;Adult&lt;/keyword&gt;&lt;keyword&gt;Aged&lt;/keyword&gt;&lt;keyword&gt;England/epidemiology&lt;/keyword&gt;&lt;keyword&gt;Female&lt;/keyword&gt;&lt;keyword&gt;Humans&lt;/keyword&gt;&lt;keyword&gt;Incidence&lt;/keyword&gt;&lt;keyword&gt;*International Classification of Diseases&lt;/keyword&gt;&lt;keyword&gt;Intracranial Thrombosis/classification/*epidemiology&lt;/keyword&gt;&lt;keyword&gt;Male&lt;/keyword&gt;&lt;keyword&gt;Middle Aged&lt;/keyword&gt;&lt;keyword&gt;Venous Thrombosis/classification/*epidemiology&lt;/keyword&gt;&lt;keyword&gt;Icd-10&lt;/keyword&gt;&lt;keyword&gt;cerebral thrombosis&lt;/keyword&gt;&lt;keyword&gt;clinical coding&lt;/keyword&gt;&lt;keyword&gt;sinus thrombosis&lt;/keyword&gt;&lt;keyword&gt;venous thrombosis&lt;/keyword&gt;&lt;/keywords&gt;&lt;dates&gt;&lt;year&gt;2020&lt;/year&gt;&lt;pub-dates&gt;&lt;date&gt;Jan&lt;/date&gt;&lt;/pub-dates&gt;&lt;/dates&gt;&lt;isbn&gt;1833-3583&lt;/isbn&gt;&lt;accession-num&gt;30563370&lt;/accession-num&gt;&lt;urls&gt;&lt;/urls&gt;&lt;electronic-resource-num&gt;10.1177/1833358318819105&lt;/electronic-resource-num&gt;&lt;remote-database-provider&gt;NLM&lt;/remote-database-provider&gt;&lt;language&gt;eng&lt;/language&gt;&lt;/record&gt;&lt;/Cite&gt;&lt;/EndNote&gt;</w:instrText>
      </w:r>
      <w:r w:rsidR="00992CE3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="00992CE3" w:rsidRPr="003444DD">
        <w:rPr>
          <w:rFonts w:ascii="Arial" w:hAnsi="Arial" w:cs="Arial"/>
          <w:noProof/>
          <w:color w:val="000000" w:themeColor="text1"/>
          <w:sz w:val="18"/>
          <w:szCs w:val="18"/>
          <w:vertAlign w:val="superscript"/>
        </w:rPr>
        <w:t>1</w:t>
      </w:r>
      <w:r w:rsidR="00992CE3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751CF">
        <w:rPr>
          <w:rFonts w:ascii="Arial" w:hAnsi="Arial" w:cs="Arial"/>
          <w:bCs/>
          <w:sz w:val="20"/>
          <w:szCs w:val="20"/>
        </w:rPr>
        <w:t>It should be noted that, w</w:t>
      </w:r>
      <w:r w:rsidR="00F751CF" w:rsidRPr="00F751CF">
        <w:rPr>
          <w:rFonts w:ascii="Arial" w:hAnsi="Arial" w:cs="Arial"/>
          <w:bCs/>
          <w:sz w:val="20"/>
          <w:szCs w:val="20"/>
        </w:rPr>
        <w:t>hile the description of the G08 ICD-10 code is indicative of phlebitis and not necessarily thrombosis, it was the most prevalent code found that was indicative of intracranial venous thrombosis (59 of 65 cases) and had a high PPV of 91.5%</w:t>
      </w:r>
      <w:r w:rsidR="00F751CF">
        <w:rPr>
          <w:rFonts w:ascii="Arial" w:hAnsi="Arial" w:cs="Arial"/>
          <w:bCs/>
          <w:sz w:val="20"/>
          <w:szCs w:val="20"/>
        </w:rPr>
        <w:t>; i</w:t>
      </w:r>
      <w:r w:rsidR="00F751CF" w:rsidRPr="00F751CF">
        <w:rPr>
          <w:rFonts w:ascii="Arial" w:hAnsi="Arial" w:cs="Arial"/>
          <w:bCs/>
          <w:sz w:val="20"/>
          <w:szCs w:val="20"/>
        </w:rPr>
        <w:t>t was based on these findings and our clinicians’ guidance that this code was included in the algorithm.</w:t>
      </w:r>
    </w:p>
    <w:p w14:paraId="6844ADB5" w14:textId="77777777" w:rsidR="003444DD" w:rsidRDefault="003444DD" w:rsidP="003444DD">
      <w:pPr>
        <w:rPr>
          <w:rFonts w:ascii="Arial" w:eastAsiaTheme="minorHAnsi" w:hAnsi="Arial" w:cs="Arial"/>
          <w:b/>
          <w:bCs/>
        </w:rPr>
      </w:pPr>
    </w:p>
    <w:p w14:paraId="2DC8EE65" w14:textId="77777777" w:rsidR="003444DD" w:rsidRPr="00970DAA" w:rsidRDefault="003444DD" w:rsidP="003444DD">
      <w:pPr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 xml:space="preserve">Supplementary </w:t>
      </w:r>
      <w:r w:rsidRPr="00970DAA">
        <w:rPr>
          <w:rFonts w:ascii="Arial" w:eastAsiaTheme="minorHAnsi" w:hAnsi="Arial" w:cs="Arial"/>
          <w:b/>
          <w:bCs/>
          <w:sz w:val="20"/>
          <w:szCs w:val="20"/>
        </w:rPr>
        <w:t>Table A1.</w:t>
      </w:r>
      <w:r w:rsidRPr="00970DAA">
        <w:rPr>
          <w:rFonts w:ascii="Arial" w:eastAsiaTheme="minorHAnsi" w:hAnsi="Arial" w:cs="Arial"/>
          <w:sz w:val="20"/>
          <w:szCs w:val="20"/>
        </w:rPr>
        <w:t xml:space="preserve"> Summary of Included Studies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526"/>
        <w:gridCol w:w="1009"/>
        <w:gridCol w:w="3210"/>
        <w:gridCol w:w="1548"/>
        <w:gridCol w:w="2230"/>
        <w:gridCol w:w="1306"/>
      </w:tblGrid>
      <w:tr w:rsidR="00481BC4" w:rsidRPr="00617855" w14:paraId="1F215462" w14:textId="77777777" w:rsidTr="007B5CE2">
        <w:trPr>
          <w:trHeight w:val="57"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06E52EA" w14:textId="77777777" w:rsidR="003444DD" w:rsidRPr="00617855" w:rsidRDefault="003444DD" w:rsidP="007B5C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Citation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36F93A7" w14:textId="77777777" w:rsidR="003444DD" w:rsidRPr="00617855" w:rsidRDefault="003444DD" w:rsidP="007B5C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Title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A8053CC" w14:textId="77777777" w:rsidR="003444DD" w:rsidRPr="00617855" w:rsidRDefault="003444DD" w:rsidP="007B5CE2">
            <w:pPr>
              <w:ind w:left="561" w:hanging="56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Country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81B82C4" w14:textId="77777777" w:rsidR="003444DD" w:rsidRPr="00617855" w:rsidRDefault="003444DD" w:rsidP="007B5C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Summary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27461E2" w14:textId="77777777" w:rsidR="003444DD" w:rsidRPr="00617855" w:rsidRDefault="003444DD" w:rsidP="007B5C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Disease Definition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5DBFC49" w14:textId="77777777" w:rsidR="003444DD" w:rsidRPr="00617855" w:rsidRDefault="003444DD" w:rsidP="007B5C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Algorithm/Criteria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36A468D" w14:textId="77777777" w:rsidR="003444DD" w:rsidRPr="00617855" w:rsidRDefault="003444DD" w:rsidP="007B5C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Validity</w:t>
            </w:r>
          </w:p>
        </w:tc>
      </w:tr>
      <w:tr w:rsidR="00481BC4" w:rsidRPr="00617855" w14:paraId="66D4D378" w14:textId="77777777" w:rsidTr="007B5CE2">
        <w:trPr>
          <w:trHeight w:val="2123"/>
        </w:trPr>
        <w:tc>
          <w:tcPr>
            <w:tcW w:w="0" w:type="auto"/>
            <w:shd w:val="clear" w:color="auto" w:fill="auto"/>
            <w:vAlign w:val="center"/>
          </w:tcPr>
          <w:p w14:paraId="5CAF002D" w14:textId="086C3771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Handley &amp; Emsley, 2020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ADDIN EN.CITE &lt;EndNote&gt;&lt;Cite&gt;&lt;Author&gt;Handley&lt;/Author&gt;&lt;Year&gt;2020&lt;/Year&gt;&lt;RecNum&gt;11&lt;/RecNum&gt;&lt;DisplayText&gt;&lt;style face="superscript"&gt;1&lt;/style&gt;&lt;/DisplayText&gt;&lt;record&gt;&lt;rec-number&gt;11&lt;/rec-number&gt;&lt;foreign-keys&gt;&lt;key app="EN" db-id="tvz5pd20sv5vrlea5ryvwr5ap0w0rrs0pw9r" timestamp="1662656959"&gt;11&lt;/key&gt;&lt;/foreign-keys&gt;&lt;ref-type name="Journal Article"&gt;17&lt;/ref-type&gt;&lt;contributors&gt;&lt;authors&gt;&lt;author&gt;Handley, J. D.&lt;/author&gt;&lt;author&gt;Emsley, H. C.&lt;/author&gt;&lt;/authors&gt;&lt;/contributors&gt;&lt;auth-address&gt;Salford Royal Hospital, UK.&amp;#xD;Lancaster University, UK.&amp;#xD;Royal Preston Hospital, UK.&lt;/auth-address&gt;&lt;titles&gt;&lt;title&gt;Validation of ICD-10 codes shows intracranial venous thrombosis incidence to be higher than previously reported&lt;/title&gt;&lt;secondary-title&gt;Health Inf Manag&lt;/secondary-title&gt;&lt;/titles&gt;&lt;periodical&gt;&lt;full-title&gt;Health Inf Manag&lt;/full-title&gt;&lt;/periodical&gt;&lt;pages&gt;58-61&lt;/pages&gt;&lt;volume&gt;49&lt;/volume&gt;&lt;number&gt;1&lt;/number&gt;&lt;edition&gt;2018/12/20&lt;/edition&gt;&lt;keywords&gt;&lt;keyword&gt;Adult&lt;/keyword&gt;&lt;keyword&gt;Aged&lt;/keyword&gt;&lt;keyword&gt;England/epidemiology&lt;/keyword&gt;&lt;keyword&gt;Female&lt;/keyword&gt;&lt;keyword&gt;Humans&lt;/keyword&gt;&lt;keyword&gt;Incidence&lt;/keyword&gt;&lt;keyword&gt;*International Classification of Diseases&lt;/keyword&gt;&lt;keyword&gt;Intracranial Thrombosis/classification/*epidemiology&lt;/keyword&gt;&lt;keyword&gt;Male&lt;/keyword&gt;&lt;keyword&gt;Middle Aged&lt;/keyword&gt;&lt;keyword&gt;Venous Thrombosis/classification/*epidemiology&lt;/keyword&gt;&lt;keyword&gt;Icd-10&lt;/keyword&gt;&lt;keyword&gt;cerebral thrombosis&lt;/keyword&gt;&lt;keyword&gt;clinical coding&lt;/keyword&gt;&lt;keyword&gt;sinus thrombosis&lt;/keyword&gt;&lt;keyword&gt;venous thrombosis&lt;/keyword&gt;&lt;/keywords&gt;&lt;dates&gt;&lt;year&gt;2020&lt;/year&gt;&lt;pub-dates&gt;&lt;date&gt;Jan&lt;/date&gt;&lt;/pub-dates&gt;&lt;/dates&gt;&lt;isbn&gt;1833-3583&lt;/isbn&gt;&lt;accession-num&gt;30563370&lt;/accession-num&gt;&lt;urls&gt;&lt;/urls&gt;&lt;electronic-resource-num&gt;10.1177/1833358318819105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444D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6B09D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Validation of ICD-10 codes shows intracranial venous thrombosis incidence to be higher than previously reported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250F3" w14:textId="77777777" w:rsidR="003444DD" w:rsidRPr="00617855" w:rsidRDefault="003444DD" w:rsidP="007B5CE2">
            <w:pPr>
              <w:ind w:left="-104" w:right="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United States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852EC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Used ICD-10-CM codes to identify intracranial venous thrombosis (ICVT) and conducted a validation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11D6A4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Radiological evidence was the gold standard for diagnosis and confirmation of ICVT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4202D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0DAA">
              <w:rPr>
                <w:rFonts w:ascii="Arial" w:hAnsi="Arial" w:cs="Arial"/>
                <w:bCs/>
                <w:sz w:val="18"/>
                <w:szCs w:val="18"/>
              </w:rPr>
              <w:t>ICD-10-CM codes (any position) G08, I67.6, I63.6, O22.5x, and O87.3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35871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0DAA">
              <w:rPr>
                <w:rFonts w:ascii="Arial" w:hAnsi="Arial" w:cs="Arial"/>
                <w:bCs/>
                <w:sz w:val="18"/>
                <w:szCs w:val="18"/>
              </w:rPr>
              <w:t>Across 65 patient records: PPV of 92.3% (95%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70DAA">
              <w:rPr>
                <w:rFonts w:ascii="Arial" w:hAnsi="Arial" w:cs="Arial"/>
                <w:bCs/>
                <w:sz w:val="18"/>
                <w:szCs w:val="18"/>
              </w:rPr>
              <w:t>CI 82.8–97.1%)</w:t>
            </w:r>
          </w:p>
        </w:tc>
      </w:tr>
      <w:tr w:rsidR="00481BC4" w:rsidRPr="00617855" w14:paraId="491BF130" w14:textId="77777777" w:rsidTr="007B5CE2">
        <w:trPr>
          <w:trHeight w:val="422"/>
        </w:trPr>
        <w:tc>
          <w:tcPr>
            <w:tcW w:w="0" w:type="auto"/>
            <w:shd w:val="clear" w:color="auto" w:fill="auto"/>
            <w:vAlign w:val="center"/>
          </w:tcPr>
          <w:p w14:paraId="0DC19C6E" w14:textId="72082559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Liberman et al., 2016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ADDIN EN.CITE &lt;EndNote&gt;&lt;Cite&gt;&lt;Author&gt;Liberman&lt;/Author&gt;&lt;Year&gt;2016&lt;/Year&gt;&lt;RecNum&gt;10&lt;/RecNum&gt;&lt;DisplayText&gt;&lt;style face="superscript"&gt;2&lt;/style&gt;&lt;/DisplayText&gt;&lt;record&gt;&lt;rec-number&gt;10&lt;/rec-number&gt;&lt;foreign-keys&gt;&lt;key app="EN" db-id="tvz5pd20sv5vrlea5ryvwr5ap0w0rrs0pw9r" timestamp="1662656959"&gt;10&lt;/key&gt;&lt;/foreign-keys&gt;&lt;ref-type name="Journal Article"&gt;17&lt;/ref-type&gt;&lt;contributors&gt;&lt;authors&gt;&lt;author&gt;Liberman, A. L.&lt;/author&gt;&lt;author&gt;Kamel, H.&lt;/author&gt;&lt;author&gt;Mullen, M. T.&lt;/author&gt;&lt;author&gt;Messé, S. R.&lt;/author&gt;&lt;/authors&gt;&lt;/contributors&gt;&lt;auth-address&gt;Department of Neurology, Hospital of the University of Pennsylvania, Philadelphia, PA, USA.&amp;#xD;Department of Neurology, Weill Cornell Medical College, New York, NY, USA; Feil Family Brain and Mind Research Institute, Weill Cornell Medical College, New York, NY, USA.&lt;/auth-address&gt;&lt;titles&gt;&lt;title&gt;International Classification of Diseases, Ninth Revision (ICD-9) Diagnosis Codes Can Identify Cerebral Venous Thrombosis in Hospitalized Adults&lt;/title&gt;&lt;secondary-title&gt;Neurohospitalist&lt;/secondary-title&gt;&lt;/titles&gt;&lt;periodical&gt;&lt;full-title&gt;Neurohospitalist&lt;/full-title&gt;&lt;/periodical&gt;&lt;pages&gt;147-150&lt;/pages&gt;&lt;volume&gt;6&lt;/volume&gt;&lt;number&gt;4&lt;/number&gt;&lt;edition&gt;2016/10/04&lt;/edition&gt;&lt;keywords&gt;&lt;keyword&gt;ICD-9 codes&lt;/keyword&gt;&lt;keyword&gt;accuracy&lt;/keyword&gt;&lt;keyword&gt;cerebral venous thrombosis&lt;/keyword&gt;&lt;keyword&gt;sinovenous thrombosis&lt;/keyword&gt;&lt;keyword&gt;research, authorship, and/or publication of this article.&lt;/keyword&gt;&lt;/keywords&gt;&lt;dates&gt;&lt;year&gt;2016&lt;/year&gt;&lt;pub-dates&gt;&lt;date&gt;Oct&lt;/date&gt;&lt;/pub-dates&gt;&lt;/dates&gt;&lt;isbn&gt;1941-8744 (Print)&amp;#xD;1941-8744&lt;/isbn&gt;&lt;accession-num&gt;27695595&lt;/accession-num&gt;&lt;urls&gt;&lt;/urls&gt;&lt;custom2&gt;PMC5029556&lt;/custom2&gt;&lt;electronic-resource-num&gt;10.1177/1941874416648198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444D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AE8C6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International Classification of Diseases, Ninth Revision (ICD-9) Diagnosis Codes Can Identify Cerebral Venous Thrombosis in Hospitalized Adults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0D256" w14:textId="77777777" w:rsidR="003444DD" w:rsidRPr="00617855" w:rsidRDefault="003444DD" w:rsidP="007B5CE2">
            <w:pPr>
              <w:ind w:left="-104" w:right="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United States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2285A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Used ICD-9-CM to identify cerebral venous thrombosis (CVT) and conducted a validation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2C8F4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Cases were adjudicated by chart review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424B0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0DAA">
              <w:rPr>
                <w:rFonts w:ascii="Arial" w:hAnsi="Arial" w:cs="Arial"/>
                <w:bCs/>
                <w:sz w:val="18"/>
                <w:szCs w:val="18"/>
              </w:rPr>
              <w:t>ICD-9-CM codes (any position) 325.0, 437.6, and 671.5 in the emergency department or following inpatient admission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04B15" w14:textId="77777777" w:rsidR="003444DD" w:rsidRPr="00970DAA" w:rsidRDefault="003444DD" w:rsidP="007B5CE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Any position (n=111): PPV of </w:t>
            </w:r>
            <w:r w:rsidRPr="00970DAA">
              <w:rPr>
                <w:rFonts w:ascii="Arial" w:hAnsi="Arial" w:cs="Arial"/>
                <w:bCs/>
                <w:sz w:val="18"/>
                <w:szCs w:val="18"/>
              </w:rPr>
              <w:t>75.7% (95%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70DAA">
              <w:rPr>
                <w:rFonts w:ascii="Arial" w:hAnsi="Arial" w:cs="Arial"/>
                <w:bCs/>
                <w:sz w:val="18"/>
                <w:szCs w:val="18"/>
              </w:rPr>
              <w:t>CI 66.9–82.8)</w:t>
            </w:r>
          </w:p>
          <w:p w14:paraId="652D219E" w14:textId="77777777" w:rsidR="003444DD" w:rsidRPr="00970DAA" w:rsidRDefault="003444DD" w:rsidP="007B5CE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F6FA50F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0DAA">
              <w:rPr>
                <w:rFonts w:ascii="Arial" w:hAnsi="Arial" w:cs="Arial"/>
                <w:bCs/>
                <w:sz w:val="18"/>
                <w:szCs w:val="18"/>
              </w:rPr>
              <w:t>Primary position: 83.8% (95%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70DAA">
              <w:rPr>
                <w:rFonts w:ascii="Arial" w:hAnsi="Arial" w:cs="Arial"/>
                <w:bCs/>
                <w:sz w:val="18"/>
                <w:szCs w:val="18"/>
              </w:rPr>
              <w:t>CI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70DAA">
              <w:rPr>
                <w:rFonts w:ascii="Arial" w:hAnsi="Arial" w:cs="Arial"/>
                <w:bCs/>
                <w:sz w:val="18"/>
                <w:szCs w:val="18"/>
              </w:rPr>
              <w:t>68.5</w:t>
            </w:r>
            <w:r w:rsidRPr="00970DAA">
              <w:rPr>
                <w:rFonts w:ascii="Arial" w:hAnsi="Arial" w:cs="Arial"/>
                <w:bCs/>
                <w:sz w:val="18"/>
                <w:szCs w:val="18"/>
              </w:rPr>
              <w:softHyphen/>
              <w:t>–92.7%)</w:t>
            </w:r>
          </w:p>
        </w:tc>
      </w:tr>
      <w:tr w:rsidR="00481BC4" w:rsidRPr="00617855" w14:paraId="3984F6B1" w14:textId="77777777" w:rsidTr="007B5CE2">
        <w:trPr>
          <w:trHeight w:val="2123"/>
        </w:trPr>
        <w:tc>
          <w:tcPr>
            <w:tcW w:w="0" w:type="auto"/>
            <w:shd w:val="clear" w:color="auto" w:fill="auto"/>
            <w:vAlign w:val="center"/>
          </w:tcPr>
          <w:p w14:paraId="500095E1" w14:textId="516D5A19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McKeigue et al., 2021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ADDIN EN.CITE &lt;EndNote&gt;&lt;Cite&gt;&lt;Author&gt;McKeigue&lt;/Author&gt;&lt;Year&gt;2021&lt;/Year&gt;&lt;RecNum&gt;15&lt;/RecNum&gt;&lt;DisplayText&gt;&lt;style face="superscript"&gt;3&lt;/style&gt;&lt;/DisplayText&gt;&lt;record&gt;&lt;rec-number&gt;15&lt;/rec-number&gt;&lt;foreign-keys&gt;&lt;key app="EN" db-id="tvz5pd20sv5vrlea5ryvwr5ap0w0rrs0pw9r" timestamp="1662657920"&gt;15&lt;/key&gt;&lt;/foreign-keys&gt;&lt;ref-type name="Journal Article"&gt;17&lt;/ref-type&gt;&lt;contributors&gt;&lt;authors&gt;&lt;author&gt;McKeigue, Paul M.&lt;/author&gt;&lt;author&gt;Burgul, Raj&lt;/author&gt;&lt;author&gt;Bishop, Jen&lt;/author&gt;&lt;author&gt;Robertson, Chris&lt;/author&gt;&lt;author&gt;McMenamin, Jim&lt;/author&gt;&lt;author&gt;O’Leary, Maureen&lt;/author&gt;&lt;author&gt;McAllister, David A.&lt;/author&gt;&lt;author&gt;Colhoun, Helen M.&lt;/author&gt;&lt;/authors&gt;&lt;/contributors&gt;&lt;titles&gt;&lt;title&gt;Association of cerebral venous thrombosis with recent COVID-19 vaccination: case-crossover study using ascertainment through neuroimaging in Scotland&lt;/title&gt;&lt;secondary-title&gt;BMC Infectious Diseases&lt;/secondary-title&gt;&lt;/titles&gt;&lt;periodical&gt;&lt;full-title&gt;BMC Infectious Diseases&lt;/full-title&gt;&lt;/periodical&gt;&lt;pages&gt;1275&lt;/pages&gt;&lt;volume&gt;21&lt;/volume&gt;&lt;number&gt;1&lt;/number&gt;&lt;dates&gt;&lt;year&gt;2021&lt;/year&gt;&lt;pub-dates&gt;&lt;date&gt;2021/12/20&lt;/date&gt;&lt;/pub-dates&gt;&lt;/dates&gt;&lt;isbn&gt;1471-2334&lt;/isbn&gt;&lt;urls&gt;&lt;related-urls&gt;&lt;url&gt;https://doi.org/10.1186/s12879-021-06960-5&lt;/url&gt;&lt;/related-urls&gt;&lt;/urls&gt;&lt;electronic-resource-num&gt;10.1186/s12879-021-06960-5&lt;/electronic-resource-num&gt;&lt;/record&gt;&lt;/Cite&gt;&lt;/EndNote&gt;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444D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2B19A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5544B">
              <w:rPr>
                <w:rFonts w:ascii="Arial" w:hAnsi="Arial" w:cs="Arial"/>
                <w:color w:val="000000" w:themeColor="text1"/>
                <w:sz w:val="18"/>
                <w:szCs w:val="18"/>
              </w:rPr>
              <w:t>Association of cerebral venous thrombosis with recent COVID-19 vaccination: case-crossover study using ascertainment through neuroimaging in Scotland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44B1E" w14:textId="77777777" w:rsidR="003444DD" w:rsidRDefault="003444DD" w:rsidP="007B5CE2">
            <w:pPr>
              <w:ind w:left="-104" w:right="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Scotland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2A67F" w14:textId="77777777" w:rsidR="003444DD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Used ICD-10 codes to assess the association between CVT and COVID-19 vaccination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A45DB" w14:textId="77777777" w:rsidR="003444DD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 validation was conducted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6B5BA" w14:textId="77777777" w:rsidR="003444DD" w:rsidRDefault="003444DD" w:rsidP="007B5CE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I63.6, I67.6, and G08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6923D" w14:textId="77777777" w:rsidR="003444DD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 validation was conducted</w:t>
            </w:r>
          </w:p>
        </w:tc>
      </w:tr>
      <w:tr w:rsidR="00481BC4" w:rsidRPr="00617855" w14:paraId="64154D81" w14:textId="77777777" w:rsidTr="007B5CE2">
        <w:trPr>
          <w:trHeight w:val="2123"/>
        </w:trPr>
        <w:tc>
          <w:tcPr>
            <w:tcW w:w="0" w:type="auto"/>
            <w:shd w:val="clear" w:color="auto" w:fill="auto"/>
            <w:vAlign w:val="center"/>
          </w:tcPr>
          <w:p w14:paraId="3CF8B78C" w14:textId="11A5EFE2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Pottegard, 2021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ADDIN EN.CITE &lt;EndNote&gt;&lt;Cite&gt;&lt;Author&gt;Pottegård&lt;/Author&gt;&lt;Year&gt;2021&lt;/Year&gt;&lt;RecNum&gt;2&lt;/RecNum&gt;&lt;DisplayText&gt;&lt;style face="superscript"&gt;4&lt;/style&gt;&lt;/DisplayText&gt;&lt;record&gt;&lt;rec-number&gt;2&lt;/rec-number&gt;&lt;foreign-keys&gt;&lt;key app="EN" db-id="tvz5pd20sv5vrlea5ryvwr5ap0w0rrs0pw9r" timestamp="1662656959"&gt;2&lt;/key&gt;&lt;/foreign-keys&gt;&lt;ref-type name="Journal Article"&gt;17&lt;/ref-type&gt;&lt;contributors&gt;&lt;authors&gt;&lt;author&gt;Pottegård, Anton&lt;/author&gt;&lt;author&gt;Lund, Lars Christian&lt;/author&gt;&lt;author&gt;Karlstad, Øystein&lt;/author&gt;&lt;author&gt;Dahl, Jesper&lt;/author&gt;&lt;author&gt;Andersen, Morten&lt;/author&gt;&lt;author&gt;Hallas, Jesper&lt;/author&gt;&lt;author&gt;Lidegaard, Øjvind&lt;/author&gt;&lt;author&gt;Tapia, German&lt;/author&gt;&lt;author&gt;Gulseth, Hanne Løvdal&lt;/author&gt;&lt;author&gt;Ruiz, Paz Lopez-Doriga&lt;/author&gt;&lt;author&gt;Watle, Sara Viksmoen&lt;/author&gt;&lt;author&gt;Mikkelsen, Anders Pretzmann&lt;/author&gt;&lt;author&gt;Pedersen, Lars&lt;/author&gt;&lt;author&gt;Sørensen, Henrik Toft&lt;/author&gt;&lt;author&gt;Thomsen, Reimar Wernich&lt;/author&gt;&lt;author&gt;Hviid, Anders&lt;/author&gt;&lt;/authors&gt;&lt;/contributors&gt;&lt;titles&gt;&lt;title&gt;Arterial events, venous thromboembolism, thrombocytopenia, and bleeding after vaccination with Oxford-AstraZeneca ChAdOx1-S in Denmark and Norway: population based cohort study&lt;/title&gt;&lt;secondary-title&gt;BMJ&lt;/secondary-title&gt;&lt;/titles&gt;&lt;periodical&gt;&lt;full-title&gt;BMJ&lt;/full-title&gt;&lt;/periodical&gt;&lt;pages&gt;n1114&lt;/pages&gt;&lt;volume&gt;373&lt;/volume&gt;&lt;dates&gt;&lt;year&gt;2021&lt;/year&gt;&lt;/dates&gt;&lt;urls&gt;&lt;related-urls&gt;&lt;url&gt;https://www.bmj.com/content/bmj/373/bmj.n1114.full.pdf&lt;/url&gt;&lt;/related-urls&gt;&lt;/urls&gt;&lt;electronic-resource-num&gt;10.1136/bmj.n1114&lt;/electronic-resource-num&gt;&lt;/record&gt;&lt;/Cite&gt;&lt;/EndNote&gt;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444D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vertAlign w:val="superscript"/>
              </w:rPr>
              <w:t>4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64822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Arterial events, venous thromboembolism, thrombocytopenia, and bleeding after vaccination with Oxford-AstraZeneca ChAdOx1-S in Denmark and Norway: population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based cohort study.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A04C4" w14:textId="77777777" w:rsidR="003444DD" w:rsidRPr="00617855" w:rsidRDefault="003444DD" w:rsidP="007B5CE2">
            <w:pPr>
              <w:ind w:left="-104" w:right="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Denmark and Norway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58076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Used ICD-10 codes to assess the incidence of </w:t>
            </w:r>
            <w:r w:rsidRPr="00617855">
              <w:rPr>
                <w:rFonts w:ascii="Arial" w:hAnsi="Arial" w:cs="Arial"/>
                <w:color w:val="000000" w:themeColor="text1"/>
                <w:sz w:val="18"/>
                <w:szCs w:val="18"/>
              </w:rPr>
              <w:t>cardiovascular and haemostatic events in the first 28 days after vaccination with the Oxford-AstraZeneca vaccine ChAdOx1-S and to compare them with rates observed in the general populations.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DFD9E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 validation was conducted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78391" w14:textId="0294C3E9" w:rsidR="003444DD" w:rsidRPr="00970DAA" w:rsidRDefault="003444DD" w:rsidP="007B5C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ICD-10-based outcome definitions </w:t>
            </w:r>
            <w:r w:rsidR="00481BC4">
              <w:rPr>
                <w:rFonts w:ascii="Arial" w:hAnsi="Arial" w:cs="Arial"/>
                <w:bCs/>
                <w:sz w:val="18"/>
                <w:szCs w:val="18"/>
              </w:rPr>
              <w:t>included in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Appendix </w:t>
            </w:r>
            <w:r w:rsidR="00481BC4">
              <w:rPr>
                <w:rFonts w:ascii="Arial" w:hAnsi="Arial" w:cs="Arial"/>
                <w:b/>
                <w:sz w:val="18"/>
                <w:szCs w:val="18"/>
              </w:rPr>
              <w:t xml:space="preserve">Table 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481BC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F448A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 validation was conducted</w:t>
            </w:r>
          </w:p>
        </w:tc>
      </w:tr>
      <w:tr w:rsidR="00481BC4" w:rsidRPr="00617855" w14:paraId="67B5B928" w14:textId="77777777" w:rsidTr="007B5CE2">
        <w:trPr>
          <w:trHeight w:val="2123"/>
        </w:trPr>
        <w:tc>
          <w:tcPr>
            <w:tcW w:w="0" w:type="auto"/>
            <w:shd w:val="clear" w:color="auto" w:fill="auto"/>
            <w:vAlign w:val="center"/>
          </w:tcPr>
          <w:p w14:paraId="204B32DE" w14:textId="65002BB9" w:rsidR="003444DD" w:rsidRPr="00F3783D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783D">
              <w:rPr>
                <w:rFonts w:ascii="Arial" w:hAnsi="Arial" w:cs="Arial"/>
                <w:color w:val="000000" w:themeColor="text1"/>
                <w:sz w:val="18"/>
                <w:szCs w:val="18"/>
              </w:rPr>
              <w:t>Prieto-Alhambra,</w:t>
            </w:r>
            <w:r w:rsidR="00C9400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3783D">
              <w:rPr>
                <w:rFonts w:ascii="Arial" w:hAnsi="Arial" w:cs="Arial"/>
                <w:color w:val="000000" w:themeColor="text1"/>
                <w:sz w:val="18"/>
                <w:szCs w:val="18"/>
              </w:rPr>
              <w:t>2021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ADDIN EN.CITE &lt;EndNote&gt;&lt;Cite&gt;&lt;Author&gt;Prieto-Alhambra&lt;/Author&gt;&lt;Year&gt;2021&lt;/Year&gt;&lt;RecNum&gt;14&lt;/RecNum&gt;&lt;DisplayText&gt;&lt;style face="superscript"&gt;5&lt;/style&gt;&lt;/DisplayText&gt;&lt;record&gt;&lt;rec-number&gt;14&lt;/rec-number&gt;&lt;foreign-keys&gt;&lt;key app="EN" db-id="tvz5pd20sv5vrlea5ryvwr5ap0w0rrs0pw9r" timestamp="1662656959"&gt;14&lt;/key&gt;&lt;/foreign-keys&gt;&lt;ref-type name="Report"&gt;27&lt;/ref-type&gt;&lt;contributors&gt;&lt;authors&gt;&lt;author&gt;Prieto-Alhambra, D.,&lt;/author&gt;&lt;author&gt;Burn, E.,&lt;/author&gt;&lt;/authors&gt;&lt;/contributors&gt;&lt;titles&gt;&lt;title&gt;Natural history of coagulopathy and use of anti-thrombotic agents in COVID-19 patients and persons vaccinated against SARS-CoV-2&lt;/title&gt;&lt;/titles&gt;&lt;volume&gt;1.0&lt;/volume&gt;&lt;dates&gt;&lt;year&gt;2021&lt;/year&gt;&lt;pub-dates&gt;&lt;date&gt;April 29, 2021&lt;/date&gt;&lt;/pub-dates&gt;&lt;/dates&gt;&lt;urls&gt;&lt;related-urls&gt;&lt;url&gt;http://www.encepp.eu/documents/BACKGROUNDRATESOFEVENTSOFINTEREST.pdf&lt;/url&gt;&lt;/related-urls&gt;&lt;/urls&gt;&lt;/record&gt;&lt;/Cite&gt;&lt;/EndNote&gt;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444D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vertAlign w:val="superscript"/>
              </w:rPr>
              <w:t>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  <w:p w14:paraId="7FEB42CA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6E3EE8" w14:textId="77777777" w:rsidR="003444DD" w:rsidRPr="00F3783D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783D">
              <w:rPr>
                <w:rFonts w:ascii="Arial" w:hAnsi="Arial" w:cs="Arial"/>
                <w:color w:val="000000" w:themeColor="text1"/>
                <w:sz w:val="18"/>
                <w:szCs w:val="18"/>
              </w:rPr>
              <w:t>Natural history of coagulopathy and use of anti-thrombotic agents in COVID-19 patients and persons vaccinated against SARS-CoV-2</w:t>
            </w:r>
          </w:p>
          <w:p w14:paraId="4370507A" w14:textId="77777777" w:rsidR="003444DD" w:rsidRPr="00617855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CC3E73" w14:textId="77777777" w:rsidR="003444DD" w:rsidRDefault="003444DD" w:rsidP="007B5CE2">
            <w:pPr>
              <w:ind w:left="-104" w:right="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UK, Germany, France, Spain,</w:t>
            </w:r>
          </w:p>
          <w:p w14:paraId="24848B5C" w14:textId="77777777" w:rsidR="003444DD" w:rsidRDefault="003444DD" w:rsidP="007B5CE2">
            <w:pPr>
              <w:ind w:left="-104" w:right="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Italy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30A23" w14:textId="77777777" w:rsidR="003444DD" w:rsidRPr="00F3783D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783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Used routinely-collected healthcare data from databases throughout Europe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were used </w:t>
            </w:r>
            <w:r w:rsidRPr="00F3783D">
              <w:rPr>
                <w:rFonts w:ascii="Arial" w:hAnsi="Arial" w:cs="Arial"/>
                <w:color w:val="000000" w:themeColor="text1"/>
                <w:sz w:val="18"/>
                <w:szCs w:val="18"/>
              </w:rPr>
              <w:t>to identify incidence of thromboembolic events and co-occurrence with thrombocytopenia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F3783D">
              <w:rPr>
                <w:rFonts w:ascii="Arial" w:hAnsi="Arial" w:cs="Arial"/>
                <w:color w:val="000000" w:themeColor="text1"/>
                <w:sz w:val="18"/>
                <w:szCs w:val="18"/>
              </w:rPr>
              <w:t>Thrombosis-thrombocytopenia syndromes (TTS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F3783D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the general population and in persons vaccinated against </w:t>
            </w:r>
            <w:r w:rsidRPr="00F3783D">
              <w:rPr>
                <w:rFonts w:ascii="Arial" w:hAnsi="Arial" w:cs="Arial"/>
                <w:color w:val="000000" w:themeColor="text1"/>
                <w:sz w:val="18"/>
                <w:szCs w:val="18"/>
              </w:rPr>
              <w:t>SARS-CoV-2 at 7, 14, 21, and 28 days</w:t>
            </w:r>
          </w:p>
          <w:p w14:paraId="20089FA8" w14:textId="77777777" w:rsidR="003444DD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783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Co-occurrence was defined as thrombocytopenia identified/recorded within 10 days before/after the diagnosis of the thrombotic event.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1B9B1" w14:textId="77777777" w:rsidR="003444DD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 validation was conducted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D5D9E" w14:textId="31983EE3" w:rsidR="003444DD" w:rsidRDefault="003444DD" w:rsidP="007B5CE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ICD-9, ICD-10 and ICD-10-CM-based outcome definitions</w:t>
            </w:r>
            <w:r w:rsidR="00481BC4">
              <w:rPr>
                <w:rFonts w:ascii="Arial" w:hAnsi="Arial" w:cs="Arial"/>
                <w:bCs/>
                <w:sz w:val="18"/>
                <w:szCs w:val="18"/>
              </w:rPr>
              <w:t xml:space="preserve"> included in </w:t>
            </w:r>
            <w:r w:rsidR="00481BC4">
              <w:rPr>
                <w:rFonts w:ascii="Arial" w:hAnsi="Arial" w:cs="Arial"/>
                <w:b/>
                <w:sz w:val="18"/>
                <w:szCs w:val="18"/>
              </w:rPr>
              <w:t>Appendix Table B2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D5795" w14:textId="77777777" w:rsidR="003444DD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 validation was conducted</w:t>
            </w:r>
          </w:p>
        </w:tc>
      </w:tr>
    </w:tbl>
    <w:p w14:paraId="418D1F0E" w14:textId="77777777" w:rsidR="003444DD" w:rsidRDefault="003444DD" w:rsidP="003444DD">
      <w:pPr>
        <w:rPr>
          <w:rFonts w:ascii="Arial" w:eastAsiaTheme="minorHAnsi" w:hAnsi="Arial" w:cs="Arial"/>
          <w:b/>
          <w:bCs/>
        </w:rPr>
      </w:pPr>
    </w:p>
    <w:p w14:paraId="5DED28A9" w14:textId="77777777" w:rsidR="003444DD" w:rsidRDefault="003444DD" w:rsidP="003444DD">
      <w:pPr>
        <w:rPr>
          <w:rFonts w:ascii="Arial" w:eastAsiaTheme="minorHAnsi" w:hAnsi="Arial" w:cs="Arial"/>
          <w:b/>
          <w:bCs/>
        </w:rPr>
      </w:pPr>
    </w:p>
    <w:p w14:paraId="6E3DCDA8" w14:textId="77777777" w:rsidR="003444DD" w:rsidRDefault="003444DD" w:rsidP="003444DD">
      <w:pPr>
        <w:rPr>
          <w:rFonts w:ascii="Arial" w:hAnsi="Arial" w:cs="Arial"/>
          <w:b/>
          <w:bCs/>
        </w:rPr>
        <w:sectPr w:rsidR="003444DD" w:rsidSect="007B5C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Fmt w:val="lowerRoman"/>
          </w:footnotePr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p w14:paraId="4483FD57" w14:textId="77777777" w:rsidR="003444DD" w:rsidRDefault="003444DD" w:rsidP="003444DD">
      <w:pPr>
        <w:pStyle w:val="ListParagraph"/>
        <w:rPr>
          <w:rFonts w:ascii="Arial" w:hAnsi="Arial" w:cs="Arial"/>
          <w:b/>
          <w:bCs/>
          <w:lang w:val="en-CA"/>
        </w:rPr>
      </w:pPr>
    </w:p>
    <w:p w14:paraId="169AC7E0" w14:textId="60D97F01" w:rsidR="003444DD" w:rsidRPr="00413B07" w:rsidRDefault="003444DD" w:rsidP="003444DD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Pottegard and colleagues</w:t>
      </w:r>
      <w:r>
        <w:rPr>
          <w:rFonts w:ascii="Arial" w:hAnsi="Arial" w:cs="Arial"/>
          <w:sz w:val="20"/>
          <w:szCs w:val="20"/>
          <w:lang w:val="en-CA"/>
        </w:rPr>
        <w:fldChar w:fldCharType="begin"/>
      </w:r>
      <w:r>
        <w:rPr>
          <w:rFonts w:ascii="Arial" w:hAnsi="Arial" w:cs="Arial"/>
          <w:sz w:val="20"/>
          <w:szCs w:val="20"/>
          <w:lang w:val="en-CA"/>
        </w:rPr>
        <w:instrText xml:space="preserve"> ADDIN EN.CITE &lt;EndNote&gt;&lt;Cite&gt;&lt;Author&gt;Pottegård&lt;/Author&gt;&lt;Year&gt;2021&lt;/Year&gt;&lt;RecNum&gt;2&lt;/RecNum&gt;&lt;DisplayText&gt;&lt;style face="superscript"&gt;4&lt;/style&gt;&lt;/DisplayText&gt;&lt;record&gt;&lt;rec-number&gt;2&lt;/rec-number&gt;&lt;foreign-keys&gt;&lt;key app="EN" db-id="tvz5pd20sv5vrlea5ryvwr5ap0w0rrs0pw9r" timestamp="1662656959"&gt;2&lt;/key&gt;&lt;/foreign-keys&gt;&lt;ref-type name="Journal Article"&gt;17&lt;/ref-type&gt;&lt;contributors&gt;&lt;authors&gt;&lt;author&gt;Pottegård, Anton&lt;/author&gt;&lt;author&gt;Lund, Lars Christian&lt;/author&gt;&lt;author&gt;Karlstad, Øystein&lt;/author&gt;&lt;author&gt;Dahl, Jesper&lt;/author&gt;&lt;author&gt;Andersen, Morten&lt;/author&gt;&lt;author&gt;Hallas, Jesper&lt;/author&gt;&lt;author&gt;Lidegaard, Øjvind&lt;/author&gt;&lt;author&gt;Tapia, German&lt;/author&gt;&lt;author&gt;Gulseth, Hanne Løvdal&lt;/author&gt;&lt;author&gt;Ruiz, Paz Lopez-Doriga&lt;/author&gt;&lt;author&gt;Watle, Sara Viksmoen&lt;/author&gt;&lt;author&gt;Mikkelsen, Anders Pretzmann&lt;/author&gt;&lt;author&gt;Pedersen, Lars&lt;/author&gt;&lt;author&gt;Sørensen, Henrik Toft&lt;/author&gt;&lt;author&gt;Thomsen, Reimar Wernich&lt;/author&gt;&lt;author&gt;Hviid, Anders&lt;/author&gt;&lt;/authors&gt;&lt;/contributors&gt;&lt;titles&gt;&lt;title&gt;Arterial events, venous thromboembolism, thrombocytopenia, and bleeding after vaccination with Oxford-AstraZeneca ChAdOx1-S in Denmark and Norway: population based cohort study&lt;/title&gt;&lt;secondary-title&gt;BMJ&lt;/secondary-title&gt;&lt;/titles&gt;&lt;periodical&gt;&lt;full-title&gt;BMJ&lt;/full-title&gt;&lt;/periodical&gt;&lt;pages&gt;n1114&lt;/pages&gt;&lt;volume&gt;373&lt;/volume&gt;&lt;dates&gt;&lt;year&gt;2021&lt;/year&gt;&lt;/dates&gt;&lt;urls&gt;&lt;related-urls&gt;&lt;url&gt;https://www.bmj.com/content/bmj/373/bmj.n1114.full.pdf&lt;/url&gt;&lt;/related-urls&gt;&lt;/urls&gt;&lt;electronic-resource-num&gt;10.1136/bmj.n1114&lt;/electronic-resource-num&gt;&lt;/record&gt;&lt;/Cite&gt;&lt;/EndNote&gt;</w:instrText>
      </w:r>
      <w:r>
        <w:rPr>
          <w:rFonts w:ascii="Arial" w:hAnsi="Arial" w:cs="Arial"/>
          <w:sz w:val="20"/>
          <w:szCs w:val="20"/>
          <w:lang w:val="en-CA"/>
        </w:rPr>
        <w:fldChar w:fldCharType="separate"/>
      </w:r>
      <w:r w:rsidRPr="003444DD">
        <w:rPr>
          <w:rFonts w:ascii="Arial" w:hAnsi="Arial" w:cs="Arial"/>
          <w:noProof/>
          <w:sz w:val="20"/>
          <w:szCs w:val="20"/>
          <w:vertAlign w:val="superscript"/>
          <w:lang w:val="en-CA"/>
        </w:rPr>
        <w:t>4</w:t>
      </w:r>
      <w:r>
        <w:rPr>
          <w:rFonts w:ascii="Arial" w:hAnsi="Arial" w:cs="Arial"/>
          <w:sz w:val="20"/>
          <w:szCs w:val="20"/>
          <w:lang w:val="en-CA"/>
        </w:rPr>
        <w:fldChar w:fldCharType="end"/>
      </w:r>
      <w:r>
        <w:rPr>
          <w:rFonts w:ascii="Arial" w:hAnsi="Arial" w:cs="Arial"/>
          <w:sz w:val="20"/>
          <w:szCs w:val="20"/>
          <w:lang w:val="en-CA"/>
        </w:rPr>
        <w:t xml:space="preserve"> outline the following definitions for events of interest:</w:t>
      </w:r>
      <w:r w:rsidRPr="00413B07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4AF2AAF9" w14:textId="77777777" w:rsidR="003444DD" w:rsidRPr="00A4621F" w:rsidRDefault="003444DD" w:rsidP="003444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Arterial vascular events:</w:t>
      </w:r>
    </w:p>
    <w:p w14:paraId="5A96010D" w14:textId="77777777" w:rsidR="003444DD" w:rsidRPr="00A4621F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 xml:space="preserve">Cardiac events: I21 (AMI), I20, I23–25 (ischaemic heart disease without AMI) </w:t>
      </w:r>
    </w:p>
    <w:p w14:paraId="47B32D75" w14:textId="77777777" w:rsidR="003444DD" w:rsidRPr="00A4621F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Cerebrovascular events: I60 (subarachnoid hemorrhage, I61 (intracerebral hemorrhage), I62 (unspecified nontraumatic intracranial hemorrhage), I62 (cerebral infarction), I63.6 (cerebral infarction due to cerebral venous thrombosis, nonpyogenic), I64 (stroke, unspecified), I65-66 (occlusion/stenosis of precerebral or cerebral arteries, not resulting in cerebral infarction), G45.0–45.3 (transitory cerebral ischemic attack)</w:t>
      </w:r>
    </w:p>
    <w:p w14:paraId="3FE3C442" w14:textId="77777777" w:rsidR="003444DD" w:rsidRPr="00A4621F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Other necrotizing vasculitis: M31 (other necrotizing vasculitis), M31.0 (angiitis hypersensitive), M31.1 (microangiopathia thrombotica), M31.8 (other necrotizing vasculitis)</w:t>
      </w:r>
    </w:p>
    <w:p w14:paraId="1FED0141" w14:textId="77777777" w:rsidR="003444DD" w:rsidRPr="00A4621F" w:rsidRDefault="003444DD" w:rsidP="003444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Venous thromboembolism events</w:t>
      </w:r>
    </w:p>
    <w:p w14:paraId="6255D5F4" w14:textId="77777777" w:rsidR="003444DD" w:rsidRPr="00A4621F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Pulmonary embolism: I26 (pulmonary embolism)</w:t>
      </w:r>
    </w:p>
    <w:p w14:paraId="11FDEC74" w14:textId="77777777" w:rsidR="003444DD" w:rsidRPr="00A4621F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Lower limb venous thromboembolism: I80.1 (thrombophlebitis of femoral vein), I80.2 (deep thrombophlebitis of veins in leg), I80.3 (unspecified deep thrombophlebitis in lower limb)</w:t>
      </w:r>
    </w:p>
    <w:p w14:paraId="5564C673" w14:textId="77777777" w:rsidR="003444DD" w:rsidRPr="00A4621F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Splanchnic thrombosis: I81 (portal thrombosis), I82.0 (Budd-Chiari syndrome), I82.3 (embolism and thrombosis in renal vein)</w:t>
      </w:r>
    </w:p>
    <w:p w14:paraId="161E1F58" w14:textId="77777777" w:rsidR="003444DD" w:rsidRPr="00A4621F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Cerebral venous thrombosis: I67.6 (nonpyogenic cerebral venous thrombosis)</w:t>
      </w:r>
    </w:p>
    <w:p w14:paraId="1CA52639" w14:textId="77777777" w:rsidR="003444DD" w:rsidRPr="00A4621F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Other venous thrombosis: I82.2 (embolism and thrombosis of caval vein), I82.8 (embolism and thrombosis in other specified veins), I82.9 (embolism and thrombosis in non-specified veins)</w:t>
      </w:r>
    </w:p>
    <w:p w14:paraId="06B8157A" w14:textId="77777777" w:rsidR="003444DD" w:rsidRPr="00042960" w:rsidRDefault="003444DD" w:rsidP="003444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Thrombocytopenia and coagulative disorders</w:t>
      </w:r>
    </w:p>
    <w:p w14:paraId="5F1CA8B5" w14:textId="77777777" w:rsidR="003444DD" w:rsidRPr="00042960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Coagulative disorders: D65+69 (coagulation disorders, purpura), D65 (disseminated intravascular coagulation)</w:t>
      </w:r>
    </w:p>
    <w:p w14:paraId="69811B37" w14:textId="77777777" w:rsidR="003444DD" w:rsidRPr="00042960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Thrombocytopenia: D69.3–69.6 (thrombocytopenia), D69.3 (idiopathic thrombocytopenic purpura), D69.4 (other primary thrombocytopenia), D69.5 (secondary thrombocytopenia), D69.6 (thrombocytopenia unspecified)</w:t>
      </w:r>
    </w:p>
    <w:p w14:paraId="18FE09AA" w14:textId="77777777" w:rsidR="003444DD" w:rsidRPr="00042960" w:rsidRDefault="003444DD" w:rsidP="003444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Bleeding events</w:t>
      </w:r>
    </w:p>
    <w:p w14:paraId="64C57BD3" w14:textId="77777777" w:rsidR="003444DD" w:rsidRPr="00042960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/>
          <w:iCs/>
          <w:sz w:val="20"/>
          <w:szCs w:val="20"/>
          <w:lang w:val="en-CA"/>
        </w:rPr>
      </w:pPr>
      <w:r>
        <w:rPr>
          <w:rFonts w:ascii="Arial" w:hAnsi="Arial" w:cs="Arial"/>
          <w:bCs/>
          <w:sz w:val="20"/>
          <w:szCs w:val="20"/>
        </w:rPr>
        <w:t>Haemolytic anemias: D55–57+59 (haemolytic anemias), D59.3 (haemolytic uremic syndrome), D59.5 (paroxysmal nocturnal hemoglobinuria)</w:t>
      </w:r>
    </w:p>
    <w:p w14:paraId="072C28EB" w14:textId="77777777" w:rsidR="003444DD" w:rsidRDefault="003444DD" w:rsidP="003444D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Bleedings: D62 (anemias from bleeding), D62.9 (anemia from bleeding, unspecified), K92.2 (intestinal bleeding), R04 (bleeding from respiratory tract), R31 (haematuria), R58 (bleeding, not specified)</w:t>
      </w:r>
    </w:p>
    <w:p w14:paraId="442A7BFD" w14:textId="77777777" w:rsidR="003444DD" w:rsidRDefault="003444DD" w:rsidP="003444DD">
      <w:pPr>
        <w:rPr>
          <w:rFonts w:ascii="Arial" w:hAnsi="Arial" w:cs="Arial"/>
          <w:b/>
          <w:bCs/>
        </w:rPr>
      </w:pPr>
    </w:p>
    <w:p w14:paraId="2CE370BA" w14:textId="77777777" w:rsidR="003444DD" w:rsidRDefault="003444DD" w:rsidP="003444DD">
      <w:pPr>
        <w:rPr>
          <w:rFonts w:ascii="Arial" w:hAnsi="Arial" w:cs="Arial"/>
          <w:b/>
          <w:bCs/>
        </w:rPr>
      </w:pPr>
    </w:p>
    <w:p w14:paraId="2C6864EA" w14:textId="2AC38688" w:rsidR="003444DD" w:rsidRPr="007B5CE2" w:rsidRDefault="003444DD" w:rsidP="003444DD">
      <w:pPr>
        <w:rPr>
          <w:rFonts w:ascii="Arial" w:hAnsi="Arial" w:cs="Arial"/>
          <w:color w:val="000000" w:themeColor="text1"/>
          <w:sz w:val="18"/>
          <w:szCs w:val="18"/>
        </w:rPr>
      </w:pPr>
      <w:r w:rsidRPr="007B5CE2">
        <w:rPr>
          <w:rFonts w:ascii="Arial" w:hAnsi="Arial" w:cs="Arial"/>
          <w:color w:val="000000" w:themeColor="text1"/>
          <w:sz w:val="18"/>
          <w:szCs w:val="18"/>
        </w:rPr>
        <w:t>Prieto-Alhambra and colleagues</w:t>
      </w:r>
      <w:r w:rsidRPr="007B5CE2">
        <w:rPr>
          <w:rFonts w:ascii="Arial" w:hAnsi="Arial" w:cs="Arial"/>
          <w:color w:val="000000" w:themeColor="text1"/>
          <w:sz w:val="18"/>
          <w:szCs w:val="18"/>
        </w:rPr>
        <w:fldChar w:fldCharType="begin"/>
      </w:r>
      <w:r w:rsidRPr="007B5CE2">
        <w:rPr>
          <w:rFonts w:ascii="Arial" w:hAnsi="Arial" w:cs="Arial"/>
          <w:color w:val="000000" w:themeColor="text1"/>
          <w:sz w:val="18"/>
          <w:szCs w:val="18"/>
        </w:rPr>
        <w:instrText xml:space="preserve"> ADDIN EN.CITE &lt;EndNote&gt;&lt;Cite&gt;&lt;Author&gt;Pottegård&lt;/Author&gt;&lt;Year&gt;2021&lt;/Year&gt;&lt;RecNum&gt;2&lt;/RecNum&gt;&lt;DisplayText&gt;&lt;style face="superscript"&gt;4&lt;/style&gt;&lt;/DisplayText&gt;&lt;record&gt;&lt;rec-number&gt;2&lt;/rec-number&gt;&lt;foreign-keys&gt;&lt;key app="EN" db-id="tvz5pd20sv5vrlea5ryvwr5ap0w0rrs0pw9r" timestamp="1662656959"&gt;2&lt;/key&gt;&lt;/foreign-keys&gt;&lt;ref-type name="Journal Article"&gt;17&lt;/ref-type&gt;&lt;contributors&gt;&lt;authors&gt;&lt;author&gt;Pottegård, Anton&lt;/author&gt;&lt;author&gt;Lund, Lars Christian&lt;/author&gt;&lt;author&gt;Karlstad, Øystein&lt;/author&gt;&lt;author&gt;Dahl, Jesper&lt;/author&gt;&lt;author&gt;Andersen, Morten&lt;/author&gt;&lt;author&gt;Hallas, Jesper&lt;/author&gt;&lt;author&gt;Lidegaard, Øjvind&lt;/author&gt;&lt;author&gt;Tapia, German&lt;/author&gt;&lt;author&gt;Gulseth, Hanne Løvdal&lt;/author&gt;&lt;author&gt;Ruiz, Paz Lopez-Doriga&lt;/author&gt;&lt;author&gt;Watle, Sara Viksmoen&lt;/author&gt;&lt;author&gt;Mikkelsen, Anders Pretzmann&lt;/author&gt;&lt;author&gt;Pedersen, Lars&lt;/author&gt;&lt;author&gt;Sørensen, Henrik Toft&lt;/author&gt;&lt;author&gt;Thomsen, Reimar Wernich&lt;/author&gt;&lt;author&gt;Hviid, Anders&lt;/author&gt;&lt;/authors&gt;&lt;/contributors&gt;&lt;titles&gt;&lt;title&gt;Arterial events, venous thromboembolism, thrombocytopenia, and bleeding after vaccination with Oxford-AstraZeneca ChAdOx1-S in Denmark and Norway: population based cohort study&lt;/title&gt;&lt;secondary-title&gt;BMJ&lt;/secondary-title&gt;&lt;/titles&gt;&lt;periodical&gt;&lt;full-title&gt;BMJ&lt;/full-title&gt;&lt;/periodical&gt;&lt;pages&gt;n1114&lt;/pages&gt;&lt;volume&gt;373&lt;/volume&gt;&lt;dates&gt;&lt;year&gt;2021&lt;/year&gt;&lt;/dates&gt;&lt;urls&gt;&lt;related-urls&gt;&lt;url&gt;https://www.bmj.com/content/bmj/373/bmj.n1114.full.pdf&lt;/url&gt;&lt;/related-urls&gt;&lt;/urls&gt;&lt;electronic-resource-num&gt;10.1136/bmj.n1114&lt;/electronic-resource-num&gt;&lt;/record&gt;&lt;/Cite&gt;&lt;/EndNote&gt;</w:instrText>
      </w:r>
      <w:r w:rsidRPr="007B5CE2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7B5CE2">
        <w:rPr>
          <w:rFonts w:ascii="Arial" w:hAnsi="Arial" w:cs="Arial"/>
          <w:noProof/>
          <w:color w:val="000000" w:themeColor="text1"/>
          <w:sz w:val="18"/>
          <w:szCs w:val="18"/>
          <w:vertAlign w:val="superscript"/>
        </w:rPr>
        <w:t>4</w:t>
      </w:r>
      <w:r w:rsidRPr="007B5CE2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7B5CE2">
        <w:rPr>
          <w:rFonts w:ascii="Arial" w:hAnsi="Arial" w:cs="Arial"/>
          <w:color w:val="000000" w:themeColor="text1"/>
          <w:sz w:val="18"/>
          <w:szCs w:val="18"/>
        </w:rPr>
        <w:t xml:space="preserve"> outline the following definitions for events of interest (</w:t>
      </w:r>
      <w:r w:rsidRPr="007B5CE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Table </w:t>
      </w:r>
      <w:r w:rsidR="00481BC4">
        <w:rPr>
          <w:rFonts w:ascii="Arial" w:hAnsi="Arial" w:cs="Arial"/>
          <w:b/>
          <w:bCs/>
          <w:color w:val="000000" w:themeColor="text1"/>
          <w:sz w:val="18"/>
          <w:szCs w:val="18"/>
        </w:rPr>
        <w:t>A2</w:t>
      </w:r>
      <w:r w:rsidRPr="007B5CE2">
        <w:rPr>
          <w:rFonts w:ascii="Arial" w:hAnsi="Arial" w:cs="Arial"/>
          <w:color w:val="000000" w:themeColor="text1"/>
          <w:sz w:val="18"/>
          <w:szCs w:val="18"/>
        </w:rPr>
        <w:t xml:space="preserve"> and </w:t>
      </w:r>
      <w:r w:rsidR="00481BC4">
        <w:rPr>
          <w:rFonts w:ascii="Arial" w:hAnsi="Arial" w:cs="Arial"/>
          <w:b/>
          <w:bCs/>
          <w:color w:val="000000" w:themeColor="text1"/>
          <w:sz w:val="18"/>
          <w:szCs w:val="18"/>
        </w:rPr>
        <w:t>A3</w:t>
      </w:r>
      <w:r w:rsidRPr="007B5CE2">
        <w:rPr>
          <w:rFonts w:ascii="Arial" w:hAnsi="Arial" w:cs="Arial"/>
          <w:color w:val="000000" w:themeColor="text1"/>
          <w:sz w:val="18"/>
          <w:szCs w:val="18"/>
        </w:rPr>
        <w:t xml:space="preserve">): </w:t>
      </w:r>
    </w:p>
    <w:p w14:paraId="3BF43A94" w14:textId="77777777" w:rsidR="003444DD" w:rsidRPr="007B5CE2" w:rsidRDefault="003444DD" w:rsidP="003444DD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9959" w:type="dxa"/>
        <w:tblLook w:val="04A0" w:firstRow="1" w:lastRow="0" w:firstColumn="1" w:lastColumn="0" w:noHBand="0" w:noVBand="1"/>
      </w:tblPr>
      <w:tblGrid>
        <w:gridCol w:w="5460"/>
        <w:gridCol w:w="2264"/>
        <w:gridCol w:w="2235"/>
      </w:tblGrid>
      <w:tr w:rsidR="007B5CE2" w:rsidRPr="007B5CE2" w14:paraId="4E39867C" w14:textId="77777777" w:rsidTr="00882077">
        <w:trPr>
          <w:trHeight w:val="319"/>
        </w:trPr>
        <w:tc>
          <w:tcPr>
            <w:tcW w:w="9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0CCD32" w14:textId="66E36FAE" w:rsidR="003444DD" w:rsidRDefault="00616A94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Supplementary </w:t>
            </w:r>
            <w:r w:rsidR="003444DD"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Table </w:t>
            </w:r>
            <w:r w:rsidR="00481BC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A2</w:t>
            </w:r>
            <w:r w:rsidR="004B1269"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3444DD"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444DD"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ICD-9, ICD-10, ICD-10-CM codes used </w:t>
            </w:r>
            <w:r w:rsidR="00481BC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by </w:t>
            </w:r>
            <w:r w:rsidR="00481BC4" w:rsidRPr="007B5CE2">
              <w:rPr>
                <w:rFonts w:ascii="Arial" w:hAnsi="Arial" w:cs="Arial"/>
                <w:color w:val="000000" w:themeColor="text1"/>
                <w:sz w:val="18"/>
                <w:szCs w:val="18"/>
              </w:rPr>
              <w:t>Prieto-Alhambra and colleagues</w:t>
            </w:r>
            <w:r w:rsidR="00481BC4" w:rsidRPr="007B5C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 w:rsidR="00481BC4" w:rsidRPr="007B5CE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ADDIN EN.CITE &lt;EndNote&gt;&lt;Cite&gt;&lt;Author&gt;Pottegård&lt;/Author&gt;&lt;Year&gt;2021&lt;/Year&gt;&lt;RecNum&gt;2&lt;/RecNum&gt;&lt;DisplayText&gt;&lt;style face="superscript"&gt;4&lt;/style&gt;&lt;/DisplayText&gt;&lt;record&gt;&lt;rec-number&gt;2&lt;/rec-number&gt;&lt;foreign-keys&gt;&lt;key app="EN" db-id="tvz5pd20sv5vrlea5ryvwr5ap0w0rrs0pw9r" timestamp="1662656959"&gt;2&lt;/key&gt;&lt;/foreign-keys&gt;&lt;ref-type name="Journal Article"&gt;17&lt;/ref-type&gt;&lt;contributors&gt;&lt;authors&gt;&lt;author&gt;Pottegård, Anton&lt;/author&gt;&lt;author&gt;Lund, Lars Christian&lt;/author&gt;&lt;author&gt;Karlstad, Øystein&lt;/author&gt;&lt;author&gt;Dahl, Jesper&lt;/author&gt;&lt;author&gt;Andersen, Morten&lt;/author&gt;&lt;author&gt;Hallas, Jesper&lt;/author&gt;&lt;author&gt;Lidegaard, Øjvind&lt;/author&gt;&lt;author&gt;Tapia, German&lt;/author&gt;&lt;author&gt;Gulseth, Hanne Løvdal&lt;/author&gt;&lt;author&gt;Ruiz, Paz Lopez-Doriga&lt;/author&gt;&lt;author&gt;Watle, Sara Viksmoen&lt;/author&gt;&lt;author&gt;Mikkelsen, Anders Pretzmann&lt;/author&gt;&lt;author&gt;Pedersen, Lars&lt;/author&gt;&lt;author&gt;Sørensen, Henrik Toft&lt;/author&gt;&lt;author&gt;Thomsen, Reimar Wernich&lt;/author&gt;&lt;author&gt;Hviid, Anders&lt;/author&gt;&lt;/authors&gt;&lt;/contributors&gt;&lt;titles&gt;&lt;title&gt;Arterial events, venous thromboembolism, thrombocytopenia, and bleeding after vaccination with Oxford-AstraZeneca ChAdOx1-S in Denmark and Norway: population based cohort study&lt;/title&gt;&lt;secondary-title&gt;BMJ&lt;/secondary-title&gt;&lt;/titles&gt;&lt;periodical&gt;&lt;full-title&gt;BMJ&lt;/full-title&gt;&lt;/periodical&gt;&lt;pages&gt;n1114&lt;/pages&gt;&lt;volume&gt;373&lt;/volume&gt;&lt;dates&gt;&lt;year&gt;2021&lt;/year&gt;&lt;/dates&gt;&lt;urls&gt;&lt;related-urls&gt;&lt;url&gt;https://www.bmj.com/content/bmj/373/bmj.n1114.full.pdf&lt;/url&gt;&lt;/related-urls&gt;&lt;/urls&gt;&lt;electronic-resource-num&gt;10.1136/bmj.n1114&lt;/electronic-resource-num&gt;&lt;/record&gt;&lt;/Cite&gt;&lt;/EndNote&gt;</w:instrText>
            </w:r>
            <w:r w:rsidR="00481BC4" w:rsidRPr="007B5C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481BC4" w:rsidRPr="007B5CE2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="00481BC4" w:rsidRPr="007B5C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481BC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444DD"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to identify thrombotic events of interest</w:t>
            </w:r>
          </w:p>
          <w:p w14:paraId="237803E1" w14:textId="4BF249FA" w:rsidR="00481BC4" w:rsidRPr="00882077" w:rsidRDefault="00481BC4" w:rsidP="007B5CE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5CE2" w:rsidRPr="007B5CE2" w14:paraId="24DBB2B6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2249" w14:textId="77777777" w:rsidR="003444DD" w:rsidRPr="00882077" w:rsidRDefault="003444DD" w:rsidP="007B5CE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Outcome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F8D2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Coding System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9A3B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Code</w:t>
            </w:r>
          </w:p>
        </w:tc>
      </w:tr>
      <w:tr w:rsidR="007B5CE2" w:rsidRPr="007B5CE2" w14:paraId="59B8822E" w14:textId="77777777" w:rsidTr="00882077">
        <w:trPr>
          <w:trHeight w:val="359"/>
        </w:trPr>
        <w:tc>
          <w:tcPr>
            <w:tcW w:w="9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AB8A" w14:textId="77777777" w:rsidR="003444DD" w:rsidRPr="00882077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Hepatic Vein Thrombosis</w:t>
            </w:r>
          </w:p>
        </w:tc>
      </w:tr>
      <w:tr w:rsidR="007B5CE2" w:rsidRPr="007B5CE2" w14:paraId="2865BCCF" w14:textId="77777777" w:rsidTr="00882077">
        <w:trPr>
          <w:trHeight w:val="35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0FA1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Budd-Chiari syndrome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6311" w14:textId="23D43540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32E8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I82.0</w:t>
            </w:r>
          </w:p>
        </w:tc>
      </w:tr>
      <w:tr w:rsidR="007B5CE2" w:rsidRPr="007B5CE2" w14:paraId="2172204A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1276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Budd-Chiari syndrome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1ABA" w14:textId="1F0B8CED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ICD-9-CM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0D97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453</w:t>
            </w:r>
          </w:p>
        </w:tc>
      </w:tr>
      <w:tr w:rsidR="007B5CE2" w:rsidRPr="007B5CE2" w14:paraId="2BE33C73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86D5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Budd-Chiari syndrome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6BF3" w14:textId="192A2E2D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298F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I82.0</w:t>
            </w:r>
          </w:p>
        </w:tc>
      </w:tr>
      <w:tr w:rsidR="00481BC4" w:rsidRPr="007B5CE2" w14:paraId="3360F9BC" w14:textId="77777777" w:rsidTr="006F02AF">
        <w:trPr>
          <w:trHeight w:val="319"/>
        </w:trPr>
        <w:tc>
          <w:tcPr>
            <w:tcW w:w="9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5ED" w14:textId="0DA3497B" w:rsidR="00481BC4" w:rsidRPr="00882077" w:rsidRDefault="00481BC4" w:rsidP="008820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Portal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</w:t>
            </w: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ein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hrombosis</w:t>
            </w:r>
          </w:p>
        </w:tc>
      </w:tr>
      <w:tr w:rsidR="007B5CE2" w:rsidRPr="007B5CE2" w14:paraId="21C5FB36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6376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Portal vein thrombosis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6841" w14:textId="4C46AD75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5CE8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I81</w:t>
            </w:r>
          </w:p>
        </w:tc>
      </w:tr>
      <w:tr w:rsidR="007B5CE2" w:rsidRPr="007B5CE2" w14:paraId="756DA0A6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12AB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Portal vein thrombosis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11F8" w14:textId="4E792DB5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4DDA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I81</w:t>
            </w:r>
          </w:p>
        </w:tc>
      </w:tr>
      <w:tr w:rsidR="007B5CE2" w:rsidRPr="007B5CE2" w14:paraId="11E5399E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F545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Portal vein thrombosis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2060" w14:textId="19DB482E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ICD-9-CM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C137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452</w:t>
            </w:r>
          </w:p>
        </w:tc>
      </w:tr>
      <w:tr w:rsidR="007B5CE2" w:rsidRPr="007B5CE2" w14:paraId="2F1288C3" w14:textId="77777777" w:rsidTr="00882077">
        <w:trPr>
          <w:trHeight w:val="319"/>
        </w:trPr>
        <w:tc>
          <w:tcPr>
            <w:tcW w:w="9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25B0" w14:textId="77777777" w:rsidR="003444DD" w:rsidRPr="00882077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Splanchnic Vein Thrombosis</w:t>
            </w:r>
          </w:p>
        </w:tc>
      </w:tr>
      <w:tr w:rsidR="007B5CE2" w:rsidRPr="007B5CE2" w14:paraId="346CBA83" w14:textId="77777777" w:rsidTr="00882077">
        <w:trPr>
          <w:trHeight w:val="35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60AD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Portal vein thrombosis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C3C2" w14:textId="0C6CD4DF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CD82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I81</w:t>
            </w:r>
          </w:p>
        </w:tc>
      </w:tr>
      <w:tr w:rsidR="007B5CE2" w:rsidRPr="007B5CE2" w14:paraId="54B5CE58" w14:textId="77777777" w:rsidTr="00882077">
        <w:trPr>
          <w:trHeight w:val="35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F59A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Budd-Chiari syndrome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EFC1" w14:textId="462F1F6A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C503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I82.0</w:t>
            </w:r>
          </w:p>
        </w:tc>
      </w:tr>
      <w:tr w:rsidR="007B5CE2" w:rsidRPr="007B5CE2" w14:paraId="172A4341" w14:textId="77777777" w:rsidTr="00882077">
        <w:trPr>
          <w:trHeight w:val="35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E008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Portal vein thrombosis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797C" w14:textId="18D50C63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ICD-9-CM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5712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452</w:t>
            </w:r>
          </w:p>
        </w:tc>
      </w:tr>
      <w:tr w:rsidR="007B5CE2" w:rsidRPr="007B5CE2" w14:paraId="593BC15B" w14:textId="77777777" w:rsidTr="00882077">
        <w:trPr>
          <w:trHeight w:val="35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D5E0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Budd-Chiari syndrome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D43C" w14:textId="4048F480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ICD-9-CM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BDD0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453</w:t>
            </w:r>
          </w:p>
        </w:tc>
      </w:tr>
      <w:tr w:rsidR="007B5CE2" w:rsidRPr="007B5CE2" w14:paraId="328DFA25" w14:textId="77777777" w:rsidTr="00882077">
        <w:trPr>
          <w:trHeight w:val="35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B65E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Budd-Chiari syndrome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2D16" w14:textId="49D8B7BA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5EEA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I82.0</w:t>
            </w:r>
          </w:p>
        </w:tc>
      </w:tr>
      <w:tr w:rsidR="007B5CE2" w:rsidRPr="007B5CE2" w14:paraId="1658760E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2DB1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Portal vein thrombosis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A762" w14:textId="1A0D439F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2A66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I81</w:t>
            </w:r>
          </w:p>
        </w:tc>
      </w:tr>
      <w:tr w:rsidR="007B5CE2" w:rsidRPr="007B5CE2" w14:paraId="08908EA4" w14:textId="77777777" w:rsidTr="00882077">
        <w:trPr>
          <w:trHeight w:val="319"/>
        </w:trPr>
        <w:tc>
          <w:tcPr>
            <w:tcW w:w="9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B93F" w14:textId="2311301F" w:rsidR="003444DD" w:rsidRPr="00882077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Visceral </w:t>
            </w:r>
            <w:r w:rsidR="007B5CE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</w:t>
            </w: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enous </w:t>
            </w:r>
            <w:r w:rsidR="007B5CE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hrombosis</w:t>
            </w:r>
          </w:p>
        </w:tc>
      </w:tr>
      <w:tr w:rsidR="007B5CE2" w:rsidRPr="007B5CE2" w14:paraId="2CF7D5FB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DA82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Embolism and thrombosis of abdominal aorta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7827" w14:textId="656FE2CF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6295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I74.0</w:t>
            </w:r>
          </w:p>
        </w:tc>
      </w:tr>
      <w:tr w:rsidR="007B5CE2" w:rsidRPr="007B5CE2" w14:paraId="21294A94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CEBB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Budd-Chiari syndrome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BFE4" w14:textId="105D1F54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4D26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I82.0</w:t>
            </w:r>
          </w:p>
        </w:tc>
      </w:tr>
      <w:tr w:rsidR="007B5CE2" w:rsidRPr="007B5CE2" w14:paraId="743CF9DD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C3D8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Embolism and thrombosis of renal vein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0929" w14:textId="5F87A438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65FB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I82.3</w:t>
            </w:r>
          </w:p>
        </w:tc>
      </w:tr>
      <w:tr w:rsidR="007B5CE2" w:rsidRPr="007B5CE2" w14:paraId="6ECD909E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8F84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Embolism and thrombosis of renal vein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B203" w14:textId="71B3D5DA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0EFB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I82.3</w:t>
            </w:r>
          </w:p>
        </w:tc>
      </w:tr>
      <w:tr w:rsidR="007B5CE2" w:rsidRPr="007B5CE2" w14:paraId="18571018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EAA4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Budd-Chiari syndrome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8F7D" w14:textId="1B200069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7631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I82.0</w:t>
            </w:r>
          </w:p>
        </w:tc>
      </w:tr>
      <w:tr w:rsidR="007B5CE2" w:rsidRPr="007B5CE2" w14:paraId="54F81BCD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1779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Other arterial embolism and thrombosis of abdominal aorta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63FC" w14:textId="35BC8B7F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8B04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I74.09</w:t>
            </w:r>
          </w:p>
        </w:tc>
      </w:tr>
      <w:tr w:rsidR="007B5CE2" w:rsidRPr="007B5CE2" w14:paraId="7BBC300E" w14:textId="77777777" w:rsidTr="00882077">
        <w:trPr>
          <w:trHeight w:val="319"/>
        </w:trPr>
        <w:tc>
          <w:tcPr>
            <w:tcW w:w="9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7159" w14:textId="1D404854" w:rsidR="003444DD" w:rsidRPr="00882077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Cerebral Venous </w:t>
            </w:r>
            <w:r w:rsidR="007B5CE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hrombosis</w:t>
            </w:r>
          </w:p>
        </w:tc>
      </w:tr>
      <w:tr w:rsidR="007B5CE2" w:rsidRPr="007B5CE2" w14:paraId="237503CF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8949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Nonpyogenic thrombosis of intracranial venous system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ADA2" w14:textId="4623730A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D9ED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I67.6</w:t>
            </w:r>
          </w:p>
        </w:tc>
      </w:tr>
      <w:tr w:rsidR="007B5CE2" w:rsidRPr="007B5CE2" w14:paraId="4750499D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E434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Cerebral infarction due to cerebral venous thrombosis, nonpyogenic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8E15" w14:textId="59012D22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AAC0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I63.6</w:t>
            </w:r>
          </w:p>
        </w:tc>
      </w:tr>
      <w:tr w:rsidR="007B5CE2" w:rsidRPr="007B5CE2" w14:paraId="0D8D65C5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D8E9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Nonpyogenic thrombosis of intracranial venous sinus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A6C" w14:textId="1D2D5DC6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ICD-9-CM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DABD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437.6</w:t>
            </w:r>
          </w:p>
        </w:tc>
      </w:tr>
      <w:tr w:rsidR="007B5CE2" w:rsidRPr="007B5CE2" w14:paraId="24B58FFE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F9A2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Nonpyogenic thrombosis of intracranial venous system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5EC5" w14:textId="70734866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77C5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I67.6</w:t>
            </w:r>
          </w:p>
        </w:tc>
      </w:tr>
      <w:tr w:rsidR="007B5CE2" w:rsidRPr="007B5CE2" w14:paraId="51624550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CB6D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Cerebral infarction due to cerebral venous thrombosis, nonpyogenic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11BB" w14:textId="11AD583C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F372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I63.6</w:t>
            </w:r>
          </w:p>
        </w:tc>
      </w:tr>
      <w:tr w:rsidR="007B5CE2" w:rsidRPr="007B5CE2" w14:paraId="4A3FD9EF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F34A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Cerebral venous sinus thrombosis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46EF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0BA1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5CE2" w:rsidRPr="007B5CE2" w14:paraId="1590251A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7361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Nonpyogenic thrombosis of intracranial venous system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1AA5" w14:textId="421EADEB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ED94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I67.6</w:t>
            </w:r>
          </w:p>
        </w:tc>
      </w:tr>
      <w:tr w:rsidR="007B5CE2" w:rsidRPr="007B5CE2" w14:paraId="2EAFC462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2438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Cerebral infarction due to cerebral venous thrombosis, nonpyogenic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6703" w14:textId="2E02EC16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C2CB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I63.6</w:t>
            </w:r>
          </w:p>
        </w:tc>
      </w:tr>
      <w:tr w:rsidR="007B5CE2" w:rsidRPr="007B5CE2" w14:paraId="69DAE9C6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A6E4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Nonpyogenic thrombosis of intracranial venous sinus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30A7" w14:textId="4127C80E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ICD-9-CM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3682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437.6</w:t>
            </w:r>
          </w:p>
        </w:tc>
      </w:tr>
      <w:tr w:rsidR="007B5CE2" w:rsidRPr="007B5CE2" w14:paraId="709844D2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4E3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Nonpyogenic thrombosis of intracranial venous system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A7C7" w14:textId="2E32A68A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69C9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I67.6</w:t>
            </w:r>
          </w:p>
        </w:tc>
      </w:tr>
      <w:tr w:rsidR="007B5CE2" w:rsidRPr="007B5CE2" w14:paraId="72506547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0F6C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Cerebral infarction due to cerebral venous thrombosis, nonpyogenic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61B3" w14:textId="682BD3B9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E418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I63.6</w:t>
            </w:r>
          </w:p>
        </w:tc>
      </w:tr>
      <w:tr w:rsidR="007B5CE2" w:rsidRPr="007B5CE2" w14:paraId="676CFD44" w14:textId="77777777" w:rsidTr="00882077">
        <w:trPr>
          <w:trHeight w:val="422"/>
        </w:trPr>
        <w:tc>
          <w:tcPr>
            <w:tcW w:w="9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38AD" w14:textId="12BEF9A9" w:rsidR="003444DD" w:rsidRPr="00882077" w:rsidRDefault="003444DD" w:rsidP="007B5CE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Venous </w:t>
            </w:r>
            <w:r w:rsidR="007B5CE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hromboembolism - </w:t>
            </w:r>
            <w:r w:rsidR="007B5CE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</w:t>
            </w: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road</w:t>
            </w:r>
          </w:p>
        </w:tc>
      </w:tr>
      <w:tr w:rsidR="007B5CE2" w:rsidRPr="007B5CE2" w14:paraId="198BF5D1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114A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Phlebitis and thrombophlebitis of lower extremities, unspecified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19D3" w14:textId="437C8B75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9A9A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I80.3</w:t>
            </w:r>
          </w:p>
        </w:tc>
      </w:tr>
      <w:tr w:rsidR="007B5CE2" w:rsidRPr="007B5CE2" w14:paraId="14E73748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0DAC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Phlebitis and thrombophlebitis of unspecified site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428C" w14:textId="1BFED0C9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BE24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I80.9</w:t>
            </w:r>
          </w:p>
        </w:tc>
      </w:tr>
      <w:tr w:rsidR="007B5CE2" w:rsidRPr="007B5CE2" w14:paraId="22650266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9496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Embolism and thrombosis of vena cava*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E04A" w14:textId="199C7B39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2749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I82.2</w:t>
            </w:r>
          </w:p>
        </w:tc>
      </w:tr>
      <w:tr w:rsidR="007B5CE2" w:rsidRPr="007B5CE2" w14:paraId="4E4B0503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C598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Phlebitis and thrombophlebitis of femoral vein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1716" w14:textId="23300922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69AE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I80.1</w:t>
            </w:r>
          </w:p>
        </w:tc>
      </w:tr>
      <w:tr w:rsidR="007B5CE2" w:rsidRPr="007B5CE2" w14:paraId="3EAEE442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24E6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Thrombophlebitis migrans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591A" w14:textId="04DB2583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3A93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I82.1</w:t>
            </w:r>
          </w:p>
        </w:tc>
      </w:tr>
      <w:tr w:rsidR="007B5CE2" w:rsidRPr="007B5CE2" w14:paraId="5A1E9484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7D0F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Phlebitis and thrombophlebitis of other deep vessels of lower extremities*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946C" w14:textId="663AC2FE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C343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I80.2</w:t>
            </w:r>
          </w:p>
        </w:tc>
      </w:tr>
      <w:tr w:rsidR="007B5CE2" w:rsidRPr="007B5CE2" w14:paraId="014886DB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681D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Phlebitis and thrombophlebitis of other sites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0A6A" w14:textId="77577126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2ADF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I80.8</w:t>
            </w:r>
          </w:p>
        </w:tc>
      </w:tr>
      <w:tr w:rsidR="007B5CE2" w:rsidRPr="007B5CE2" w14:paraId="3ACA2E19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2ADE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Phlebitis and thrombophlebitis of other (or unspecified) deep vessels of left, right, bilateral or unspecified lower extremity 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600A" w14:textId="709CA7B4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03952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I80.201-3,9; I80.291-3,9</w:t>
            </w:r>
          </w:p>
          <w:p w14:paraId="14C3E8E4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5CE2" w:rsidRPr="007B5CE2" w14:paraId="66E1549F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428E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Acute (or chronic) embolism and thrombosis of superior (or inferior) vena cava 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3ABF" w14:textId="44DA899E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8048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I82.210-1; I82.220-1</w:t>
            </w:r>
          </w:p>
        </w:tc>
      </w:tr>
      <w:tr w:rsidR="007B5CE2" w:rsidRPr="007B5CE2" w14:paraId="68C60919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4B60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Phlebitis and thrombophlebitis of left, right or unspecified femoral vein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08621" w14:textId="0EDE5B87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7B54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I80.10-2</w:t>
            </w:r>
          </w:p>
        </w:tc>
      </w:tr>
      <w:tr w:rsidR="007B5CE2" w:rsidRPr="007B5CE2" w14:paraId="48043130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FE25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Acute embolism and thrombosis of left, right, bilateral or unspecified iliac vein 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80CC" w14:textId="0369F774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E427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I82.421-3,9</w:t>
            </w:r>
          </w:p>
          <w:p w14:paraId="50F7A866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5CE2" w:rsidRPr="007B5CE2" w14:paraId="0CE421A7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D9FF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Acute (or chronic) embolism and thrombosis of unspecified vein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0A7E" w14:textId="1346D377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4B1B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I82.90-1</w:t>
            </w:r>
          </w:p>
        </w:tc>
      </w:tr>
      <w:tr w:rsidR="007B5CE2" w:rsidRPr="007B5CE2" w14:paraId="5FF35D76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CB27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Acute (or chronic) embolism and thrombosis of other specified veins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5595" w14:textId="1F2B4A29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1ABB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I82.890-1</w:t>
            </w:r>
          </w:p>
        </w:tc>
      </w:tr>
      <w:tr w:rsidR="007B5CE2" w:rsidRPr="007B5CE2" w14:paraId="11A3F8EA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566E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Chronic embolism and thrombosis of vein in left, right or unspecified lower extremity 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7647" w14:textId="5AC8B6C6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6418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I82.591,2,9</w:t>
            </w:r>
          </w:p>
        </w:tc>
      </w:tr>
      <w:tr w:rsidR="007B5CE2" w:rsidRPr="007B5CE2" w14:paraId="56CE9A9D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D6CA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Acute embolism and thrombosis of left, right, bilateral or unspecified deep veins of left lower extremity 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CDC8D" w14:textId="6118A664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C68C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I82.401-3,9</w:t>
            </w:r>
          </w:p>
        </w:tc>
      </w:tr>
      <w:tr w:rsidR="007B5CE2" w:rsidRPr="007B5CE2" w14:paraId="3E9A7D91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4F64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Acute embolism and thrombosis of other specified deep vein of left, right, bilateral or unspecified lower extremity 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8318" w14:textId="09B429B7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32C5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I82.491-3,9</w:t>
            </w:r>
          </w:p>
        </w:tc>
      </w:tr>
      <w:tr w:rsidR="007B5CE2" w:rsidRPr="007B5CE2" w14:paraId="7382684D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00E3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Chronic embolism and thrombosis of unspecified deep veins of right, bilateral or unspecified lower extremity 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DCCF" w14:textId="5FB10DB9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AA98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I82.501,3,9</w:t>
            </w:r>
          </w:p>
        </w:tc>
      </w:tr>
      <w:tr w:rsidR="007B5CE2" w:rsidRPr="007B5CE2" w14:paraId="04FFFAA6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3F11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Embolism and thrombosis of superficial veins of left, right, bilateral or unspecified lower extremity *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5B00" w14:textId="26684D8C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D12A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I82.811-3,9</w:t>
            </w:r>
          </w:p>
        </w:tc>
      </w:tr>
      <w:tr w:rsidR="007B5CE2" w:rsidRPr="007B5CE2" w14:paraId="49A3D1B0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633B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Chronic embolism and thrombosis of unspecified deep veins of left or right proximal lower extremity 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EBFB9" w14:textId="0A73B773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0EA0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I82.5Y1-2</w:t>
            </w:r>
          </w:p>
        </w:tc>
      </w:tr>
      <w:tr w:rsidR="007B5CE2" w:rsidRPr="007B5CE2" w14:paraId="31181ECC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244E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Acute embolism and thrombosis of unspecified deep veins of left, right, bilateral, or unspecified distal lower extremity 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963B" w14:textId="1451641D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43BB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I82.4Z1-3,9</w:t>
            </w:r>
          </w:p>
        </w:tc>
      </w:tr>
      <w:tr w:rsidR="007B5CE2" w:rsidRPr="007B5CE2" w14:paraId="75D57A44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44FD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Acute embolism and thrombosis of unspecified deep veins of left, right, bilateral or unspecified proximal lower extremity*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5F53" w14:textId="117A5BE5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BC96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I82.4Y1-3,9</w:t>
            </w:r>
          </w:p>
        </w:tc>
      </w:tr>
      <w:tr w:rsidR="007B5CE2" w:rsidRPr="007B5CE2" w14:paraId="29BFDB6D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7040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Acute embolism and thrombosis of deep veins of left, right or unspecified upper extremity *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104F" w14:textId="1E240BE1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5E00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I82.621,2,9</w:t>
            </w:r>
          </w:p>
        </w:tc>
      </w:tr>
      <w:tr w:rsidR="007B5CE2" w:rsidRPr="007B5CE2" w14:paraId="6F0AD0E4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ABA1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Acute embolism and thrombosis of left, right, bilateral or unspecified popliteal vein *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20D3" w14:textId="67E8663E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F041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I82.431-3,9</w:t>
            </w:r>
          </w:p>
        </w:tc>
      </w:tr>
      <w:tr w:rsidR="007B5CE2" w:rsidRPr="007B5CE2" w14:paraId="6A0AD0E4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AE85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Acute embolism and thrombosis of left, right or bilateral tibial vein 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E92D" w14:textId="59A73881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3A6A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I82.441-3</w:t>
            </w:r>
          </w:p>
        </w:tc>
      </w:tr>
      <w:tr w:rsidR="007B5CE2" w:rsidRPr="007B5CE2" w14:paraId="3D292EE8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B99B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Acute embolism and thrombosis of left, right, bilateral, or unspecified femoral vein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5608" w14:textId="7F2FA0D9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723C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I82.411-3,9</w:t>
            </w:r>
          </w:p>
        </w:tc>
      </w:tr>
      <w:tr w:rsidR="007B5CE2" w:rsidRPr="007B5CE2" w14:paraId="7D3C0764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3C37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Acute embolism and thrombosis of left, right or unspecified axillary vein *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80430" w14:textId="613AABED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892B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I82.A11,2,9</w:t>
            </w:r>
          </w:p>
        </w:tc>
      </w:tr>
      <w:tr w:rsidR="007B5CE2" w:rsidRPr="007B5CE2" w14:paraId="2EFDEE5B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8031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Acute embolism and thrombosis of left, right, bilateral or unspecified internal jugular vein*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8AD3" w14:textId="22E2901F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B53E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I82.C11-3,9</w:t>
            </w:r>
          </w:p>
        </w:tc>
      </w:tr>
      <w:tr w:rsidR="007B5CE2" w:rsidRPr="007B5CE2" w14:paraId="5269EEE7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E2F0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Acute embolism and thrombosis of left, right, bilateral or unspecified  subclavian vein*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EEC6" w14:textId="68BFB3C0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F6C0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I82.B11-3,9</w:t>
            </w:r>
          </w:p>
        </w:tc>
      </w:tr>
      <w:tr w:rsidR="007B5CE2" w:rsidRPr="007B5CE2" w14:paraId="211F33A7" w14:textId="77777777" w:rsidTr="00882077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EF4E0" w14:textId="77777777" w:rsidR="003444DD" w:rsidRPr="00882077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* Included in narrow outcome definition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10DE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BFCE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DC75DB8" w14:textId="77777777" w:rsidR="003444DD" w:rsidRPr="007B5CE2" w:rsidRDefault="003444DD" w:rsidP="003444DD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4536"/>
        <w:gridCol w:w="2410"/>
        <w:gridCol w:w="1985"/>
      </w:tblGrid>
      <w:tr w:rsidR="007B5CE2" w:rsidRPr="007B5CE2" w14:paraId="7C09B803" w14:textId="77777777" w:rsidTr="00882077">
        <w:trPr>
          <w:trHeight w:val="320"/>
        </w:trPr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E4647" w14:textId="2BC46B0B" w:rsidR="003444DD" w:rsidRDefault="00616A94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Supplementary </w:t>
            </w:r>
            <w:r w:rsidR="003444DD"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Table </w:t>
            </w:r>
            <w:r w:rsidR="00481BC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A3</w:t>
            </w:r>
            <w:r w:rsidR="004B1269"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3444DD"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444DD"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ICD-9, ICD-10, ICD-10-CM codes used </w:t>
            </w:r>
            <w:r w:rsidR="00481BC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by </w:t>
            </w:r>
            <w:r w:rsidR="00481BC4" w:rsidRPr="007B5CE2">
              <w:rPr>
                <w:rFonts w:ascii="Arial" w:hAnsi="Arial" w:cs="Arial"/>
                <w:color w:val="000000" w:themeColor="text1"/>
                <w:sz w:val="18"/>
                <w:szCs w:val="18"/>
              </w:rPr>
              <w:t>Prieto-Alhambra and colleagues</w:t>
            </w:r>
            <w:r w:rsidR="00481BC4" w:rsidRPr="007B5C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 w:rsidR="00481BC4" w:rsidRPr="007B5CE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ADDIN EN.CITE &lt;EndNote&gt;&lt;Cite&gt;&lt;Author&gt;Pottegård&lt;/Author&gt;&lt;Year&gt;2021&lt;/Year&gt;&lt;RecNum&gt;2&lt;/RecNum&gt;&lt;DisplayText&gt;&lt;style face="superscript"&gt;4&lt;/style&gt;&lt;/DisplayText&gt;&lt;record&gt;&lt;rec-number&gt;2&lt;/rec-number&gt;&lt;foreign-keys&gt;&lt;key app="EN" db-id="tvz5pd20sv5vrlea5ryvwr5ap0w0rrs0pw9r" timestamp="1662656959"&gt;2&lt;/key&gt;&lt;/foreign-keys&gt;&lt;ref-type name="Journal Article"&gt;17&lt;/ref-type&gt;&lt;contributors&gt;&lt;authors&gt;&lt;author&gt;Pottegård, Anton&lt;/author&gt;&lt;author&gt;Lund, Lars Christian&lt;/author&gt;&lt;author&gt;Karlstad, Øystein&lt;/author&gt;&lt;author&gt;Dahl, Jesper&lt;/author&gt;&lt;author&gt;Andersen, Morten&lt;/author&gt;&lt;author&gt;Hallas, Jesper&lt;/author&gt;&lt;author&gt;Lidegaard, Øjvind&lt;/author&gt;&lt;author&gt;Tapia, German&lt;/author&gt;&lt;author&gt;Gulseth, Hanne Løvdal&lt;/author&gt;&lt;author&gt;Ruiz, Paz Lopez-Doriga&lt;/author&gt;&lt;author&gt;Watle, Sara Viksmoen&lt;/author&gt;&lt;author&gt;Mikkelsen, Anders Pretzmann&lt;/author&gt;&lt;author&gt;Pedersen, Lars&lt;/author&gt;&lt;author&gt;Sørensen, Henrik Toft&lt;/author&gt;&lt;author&gt;Thomsen, Reimar Wernich&lt;/author&gt;&lt;author&gt;Hviid, Anders&lt;/author&gt;&lt;/authors&gt;&lt;/contributors&gt;&lt;titles&gt;&lt;title&gt;Arterial events, venous thromboembolism, thrombocytopenia, and bleeding after vaccination with Oxford-AstraZeneca ChAdOx1-S in Denmark and Norway: population based cohort study&lt;/title&gt;&lt;secondary-title&gt;BMJ&lt;/secondary-title&gt;&lt;/titles&gt;&lt;periodical&gt;&lt;full-title&gt;BMJ&lt;/full-title&gt;&lt;/periodical&gt;&lt;pages&gt;n1114&lt;/pages&gt;&lt;volume&gt;373&lt;/volume&gt;&lt;dates&gt;&lt;year&gt;2021&lt;/year&gt;&lt;/dates&gt;&lt;urls&gt;&lt;related-urls&gt;&lt;url&gt;https://www.bmj.com/content/bmj/373/bmj.n1114.full.pdf&lt;/url&gt;&lt;/related-urls&gt;&lt;/urls&gt;&lt;electronic-resource-num&gt;10.1136/bmj.n1114&lt;/electronic-resource-num&gt;&lt;/record&gt;&lt;/Cite&gt;&lt;/EndNote&gt;</w:instrText>
            </w:r>
            <w:r w:rsidR="00481BC4" w:rsidRPr="007B5C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481BC4" w:rsidRPr="007B5CE2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="00481BC4" w:rsidRPr="007B5C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481BC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444DD"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to identify thrombocytopenia outcomes</w:t>
            </w:r>
          </w:p>
          <w:p w14:paraId="54632EDD" w14:textId="5E123594" w:rsidR="00481BC4" w:rsidRPr="00882077" w:rsidRDefault="00481BC4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5CE2" w:rsidRPr="007B5CE2" w14:paraId="64C6374F" w14:textId="77777777" w:rsidTr="0088207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423A" w14:textId="77777777" w:rsidR="003444DD" w:rsidRPr="00882077" w:rsidRDefault="003444DD" w:rsidP="007B5CE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Outcome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7DB7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Coding System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BCBC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Code</w:t>
            </w:r>
          </w:p>
        </w:tc>
      </w:tr>
      <w:tr w:rsidR="007B5CE2" w:rsidRPr="007B5CE2" w14:paraId="20D3CC80" w14:textId="77777777" w:rsidTr="00882077">
        <w:trPr>
          <w:trHeight w:val="36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C8B0" w14:textId="3E2CC751" w:rsidR="003444DD" w:rsidRPr="00882077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Immune </w:t>
            </w:r>
            <w:r w:rsidR="007B5CE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hrombocytopenia</w:t>
            </w:r>
          </w:p>
        </w:tc>
      </w:tr>
      <w:tr w:rsidR="007B5CE2" w:rsidRPr="007B5CE2" w14:paraId="171AA63E" w14:textId="77777777" w:rsidTr="0088207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05B1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Idiopathic thrombocytopenic purpura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442D" w14:textId="56E7432B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22FA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D69.3</w:t>
            </w:r>
          </w:p>
        </w:tc>
      </w:tr>
      <w:tr w:rsidR="007B5CE2" w:rsidRPr="007B5CE2" w14:paraId="3257BEA4" w14:textId="77777777" w:rsidTr="0088207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4EB2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Heparin induced thrombocytopenia (HIT)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E904" w14:textId="0108B32C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1D16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D75.82</w:t>
            </w:r>
          </w:p>
        </w:tc>
      </w:tr>
      <w:tr w:rsidR="007B5CE2" w:rsidRPr="007B5CE2" w14:paraId="3B91A099" w14:textId="77777777" w:rsidTr="0088207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77E9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Evans syndrome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19C9" w14:textId="45CE5DB3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ICD-10-CM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FC79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D69.41</w:t>
            </w:r>
          </w:p>
        </w:tc>
      </w:tr>
      <w:tr w:rsidR="007B5CE2" w:rsidRPr="007B5CE2" w14:paraId="6E9E7198" w14:textId="77777777" w:rsidTr="00882077">
        <w:trPr>
          <w:trHeight w:val="32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E41F" w14:textId="18ED7725" w:rsidR="003444DD" w:rsidRPr="00882077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Throbocytopenic </w:t>
            </w:r>
            <w:r w:rsidR="007B5CE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urpura</w:t>
            </w:r>
          </w:p>
        </w:tc>
      </w:tr>
      <w:tr w:rsidR="007B5CE2" w:rsidRPr="007B5CE2" w14:paraId="7B426DFE" w14:textId="77777777" w:rsidTr="00882077">
        <w:trPr>
          <w:trHeight w:val="3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C97B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Idiopathic thrombocytopenic purpura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57DC" w14:textId="69008095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8D82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D69.3</w:t>
            </w:r>
          </w:p>
        </w:tc>
      </w:tr>
      <w:tr w:rsidR="007B5CE2" w:rsidRPr="007B5CE2" w14:paraId="3317E36E" w14:textId="77777777" w:rsidTr="0088207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AB33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Thrombotic microangiopathy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9C2B" w14:textId="5351D288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F2E4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M31.1</w:t>
            </w:r>
          </w:p>
        </w:tc>
      </w:tr>
      <w:tr w:rsidR="007B5CE2" w:rsidRPr="007B5CE2" w14:paraId="4886C3F4" w14:textId="77777777" w:rsidTr="0088207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BB31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Thrombotic microangiopathy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2489" w14:textId="050695A9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ICD-9-CM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7E86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446.6</w:t>
            </w:r>
          </w:p>
        </w:tc>
      </w:tr>
      <w:tr w:rsidR="007B5CE2" w:rsidRPr="007B5CE2" w14:paraId="3FC2AFC7" w14:textId="77777777" w:rsidTr="00882077">
        <w:trPr>
          <w:trHeight w:val="36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4958" w14:textId="13904466" w:rsidR="003444DD" w:rsidRPr="00882077" w:rsidRDefault="003444DD" w:rsidP="007B5C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Thrombotic </w:t>
            </w:r>
            <w:r w:rsidR="007B5CE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hrombocytopenia </w:t>
            </w:r>
            <w:r w:rsidR="007B5CE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8820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urpura</w:t>
            </w:r>
          </w:p>
        </w:tc>
      </w:tr>
      <w:tr w:rsidR="007B5CE2" w:rsidRPr="007B5CE2" w14:paraId="06BEA942" w14:textId="77777777" w:rsidTr="0088207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340B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Haemolytic-uraemic syndrome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602A" w14:textId="209CAA3D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00C1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D59.3</w:t>
            </w:r>
          </w:p>
        </w:tc>
      </w:tr>
      <w:tr w:rsidR="007B5CE2" w:rsidRPr="007B5CE2" w14:paraId="1196E0A7" w14:textId="77777777" w:rsidTr="0088207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04D8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Thrombotic microangiopathy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B153" w14:textId="353BADF1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BBB5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M31.1</w:t>
            </w:r>
          </w:p>
        </w:tc>
      </w:tr>
      <w:tr w:rsidR="007B5CE2" w:rsidRPr="007B5CE2" w14:paraId="14842DAE" w14:textId="77777777" w:rsidTr="0088207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2E99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Thrombotic microangiopathy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8BCE" w14:textId="4D8CD0D7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ICD-9-CM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5114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446.6</w:t>
            </w:r>
          </w:p>
        </w:tc>
      </w:tr>
      <w:tr w:rsidR="007B5CE2" w:rsidRPr="007B5CE2" w14:paraId="00942574" w14:textId="77777777" w:rsidTr="0088207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35A4" w14:textId="77777777" w:rsidR="003444DD" w:rsidRPr="00882077" w:rsidRDefault="003444DD" w:rsidP="007B5CE2">
            <w:pPr>
              <w:ind w:left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Hemolytic-uremic syndrome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AEB9" w14:textId="2E349D3A" w:rsidR="003444DD" w:rsidRPr="00882077" w:rsidRDefault="00170A64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ICD-9-CM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9006" w14:textId="77777777" w:rsidR="003444DD" w:rsidRPr="00882077" w:rsidRDefault="003444DD" w:rsidP="007B5CE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 w:themeColor="text1"/>
                <w:sz w:val="18"/>
                <w:szCs w:val="18"/>
              </w:rPr>
              <w:t>283.11</w:t>
            </w:r>
          </w:p>
        </w:tc>
      </w:tr>
    </w:tbl>
    <w:p w14:paraId="23CE9D5C" w14:textId="77777777" w:rsidR="003444DD" w:rsidRDefault="003444DD" w:rsidP="003444D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3274107" w14:textId="77777777" w:rsidR="00481BC4" w:rsidRDefault="00481BC4" w:rsidP="00481BC4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96BBE3E" w14:textId="5290C640" w:rsidR="00481BC4" w:rsidRPr="00D23C26" w:rsidRDefault="00481BC4" w:rsidP="00481BC4">
      <w:pPr>
        <w:rPr>
          <w:rFonts w:ascii="Arial" w:eastAsiaTheme="minorHAnsi" w:hAnsi="Arial" w:cs="Arial"/>
          <w:b/>
          <w:bCs/>
          <w:sz w:val="32"/>
          <w:szCs w:val="32"/>
        </w:rPr>
      </w:pPr>
      <w:r w:rsidRPr="00D23C26">
        <w:rPr>
          <w:rFonts w:ascii="Arial" w:eastAsiaTheme="minorHAnsi" w:hAnsi="Arial" w:cs="Arial"/>
          <w:b/>
          <w:bCs/>
          <w:sz w:val="32"/>
          <w:szCs w:val="32"/>
        </w:rPr>
        <w:t xml:space="preserve">Appendix </w:t>
      </w:r>
      <w:r>
        <w:rPr>
          <w:rFonts w:ascii="Arial" w:eastAsiaTheme="minorHAnsi" w:hAnsi="Arial" w:cs="Arial"/>
          <w:b/>
          <w:bCs/>
          <w:sz w:val="32"/>
          <w:szCs w:val="32"/>
        </w:rPr>
        <w:t>B</w:t>
      </w:r>
      <w:r w:rsidRPr="00D23C26">
        <w:rPr>
          <w:rFonts w:ascii="Arial" w:eastAsiaTheme="minorHAnsi" w:hAnsi="Arial" w:cs="Arial"/>
          <w:b/>
          <w:bCs/>
          <w:sz w:val="32"/>
          <w:szCs w:val="32"/>
        </w:rPr>
        <w:t xml:space="preserve">. </w:t>
      </w:r>
      <w:r>
        <w:rPr>
          <w:rFonts w:ascii="Arial" w:eastAsiaTheme="minorHAnsi" w:hAnsi="Arial" w:cs="Arial"/>
          <w:b/>
          <w:bCs/>
          <w:sz w:val="32"/>
          <w:szCs w:val="32"/>
        </w:rPr>
        <w:t>ICD-10-CM Algorithm fo</w:t>
      </w:r>
      <w:r w:rsidRPr="00481BC4">
        <w:rPr>
          <w:rFonts w:ascii="Arial" w:eastAsiaTheme="minorHAnsi" w:hAnsi="Arial" w:cs="Arial"/>
          <w:b/>
          <w:bCs/>
          <w:sz w:val="32"/>
          <w:szCs w:val="32"/>
        </w:rPr>
        <w:t xml:space="preserve">r </w:t>
      </w:r>
      <w:r>
        <w:rPr>
          <w:rFonts w:ascii="Arial" w:eastAsiaTheme="minorHAnsi" w:hAnsi="Arial" w:cs="Arial"/>
          <w:b/>
          <w:bCs/>
          <w:sz w:val="32"/>
          <w:szCs w:val="32"/>
        </w:rPr>
        <w:t>T</w:t>
      </w:r>
      <w:r w:rsidRPr="00481BC4">
        <w:rPr>
          <w:rFonts w:ascii="Arial" w:eastAsiaTheme="minorHAnsi" w:hAnsi="Arial" w:cs="Arial"/>
          <w:b/>
          <w:bCs/>
          <w:sz w:val="32"/>
          <w:szCs w:val="32"/>
        </w:rPr>
        <w:t xml:space="preserve">hrombosis with </w:t>
      </w:r>
      <w:r>
        <w:rPr>
          <w:rFonts w:ascii="Arial" w:eastAsiaTheme="minorHAnsi" w:hAnsi="Arial" w:cs="Arial"/>
          <w:b/>
          <w:bCs/>
          <w:sz w:val="32"/>
          <w:szCs w:val="32"/>
        </w:rPr>
        <w:t>T</w:t>
      </w:r>
      <w:r w:rsidRPr="00481BC4">
        <w:rPr>
          <w:rFonts w:ascii="Arial" w:eastAsiaTheme="minorHAnsi" w:hAnsi="Arial" w:cs="Arial"/>
          <w:b/>
          <w:bCs/>
          <w:sz w:val="32"/>
          <w:szCs w:val="32"/>
        </w:rPr>
        <w:t xml:space="preserve">hrombocytopenia </w:t>
      </w:r>
      <w:r>
        <w:rPr>
          <w:rFonts w:ascii="Arial" w:eastAsiaTheme="minorHAnsi" w:hAnsi="Arial" w:cs="Arial"/>
          <w:b/>
          <w:bCs/>
          <w:sz w:val="32"/>
          <w:szCs w:val="32"/>
        </w:rPr>
        <w:t>S</w:t>
      </w:r>
      <w:r w:rsidRPr="00481BC4">
        <w:rPr>
          <w:rFonts w:ascii="Arial" w:eastAsiaTheme="minorHAnsi" w:hAnsi="Arial" w:cs="Arial"/>
          <w:b/>
          <w:bCs/>
          <w:sz w:val="32"/>
          <w:szCs w:val="32"/>
        </w:rPr>
        <w:t xml:space="preserve">yndrome (TTS) at </w:t>
      </w:r>
      <w:r>
        <w:rPr>
          <w:rFonts w:ascii="Arial" w:eastAsiaTheme="minorHAnsi" w:hAnsi="Arial" w:cs="Arial"/>
          <w:b/>
          <w:bCs/>
          <w:sz w:val="32"/>
          <w:szCs w:val="32"/>
        </w:rPr>
        <w:t>U</w:t>
      </w:r>
      <w:r w:rsidRPr="00481BC4">
        <w:rPr>
          <w:rFonts w:ascii="Arial" w:eastAsiaTheme="minorHAnsi" w:hAnsi="Arial" w:cs="Arial"/>
          <w:b/>
          <w:bCs/>
          <w:sz w:val="32"/>
          <w:szCs w:val="32"/>
        </w:rPr>
        <w:t xml:space="preserve">nusual </w:t>
      </w:r>
      <w:r>
        <w:rPr>
          <w:rFonts w:ascii="Arial" w:eastAsiaTheme="minorHAnsi" w:hAnsi="Arial" w:cs="Arial"/>
          <w:b/>
          <w:bCs/>
          <w:sz w:val="32"/>
          <w:szCs w:val="32"/>
        </w:rPr>
        <w:t>S</w:t>
      </w:r>
      <w:r w:rsidRPr="00481BC4">
        <w:rPr>
          <w:rFonts w:ascii="Arial" w:eastAsiaTheme="minorHAnsi" w:hAnsi="Arial" w:cs="Arial"/>
          <w:b/>
          <w:bCs/>
          <w:sz w:val="32"/>
          <w:szCs w:val="32"/>
        </w:rPr>
        <w:t>ites</w:t>
      </w:r>
      <w:r>
        <w:rPr>
          <w:rFonts w:ascii="Arial" w:eastAsiaTheme="minorHAnsi" w:hAnsi="Arial" w:cs="Arial"/>
          <w:b/>
          <w:bCs/>
          <w:sz w:val="32"/>
          <w:szCs w:val="32"/>
        </w:rPr>
        <w:t xml:space="preserve"> </w:t>
      </w:r>
    </w:p>
    <w:p w14:paraId="6A9D39A7" w14:textId="77777777" w:rsidR="00481BC4" w:rsidRDefault="00481BC4" w:rsidP="00481BC4">
      <w:pPr>
        <w:rPr>
          <w:rFonts w:ascii="Arial" w:hAnsi="Arial" w:cs="Arial"/>
          <w:sz w:val="18"/>
          <w:szCs w:val="18"/>
        </w:rPr>
      </w:pPr>
    </w:p>
    <w:p w14:paraId="62939267" w14:textId="06C0D799" w:rsidR="00481BC4" w:rsidRDefault="00616A94" w:rsidP="00481BC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Supplementary </w:t>
      </w:r>
      <w:r w:rsidR="00481BC4">
        <w:rPr>
          <w:rFonts w:ascii="Arial" w:hAnsi="Arial" w:cs="Arial"/>
          <w:b/>
          <w:bCs/>
          <w:sz w:val="18"/>
          <w:szCs w:val="18"/>
        </w:rPr>
        <w:t xml:space="preserve">Table B1: </w:t>
      </w:r>
      <w:r w:rsidR="00481BC4" w:rsidRPr="00481BC4">
        <w:rPr>
          <w:rFonts w:ascii="Arial" w:hAnsi="Arial" w:cs="Arial"/>
          <w:sz w:val="18"/>
          <w:szCs w:val="18"/>
        </w:rPr>
        <w:t>Algorithm component 1 (unusual site thrombosis): Requires ≥1 ICD-10-CM diagnosis code indicating unusual site thrombosis (intracranial venous thrombosis OR intraabdominal venous thrombosis).</w:t>
      </w:r>
      <w:r w:rsidR="00F751CF">
        <w:rPr>
          <w:rFonts w:ascii="Arial" w:hAnsi="Arial" w:cs="Arial"/>
          <w:sz w:val="18"/>
          <w:szCs w:val="18"/>
        </w:rPr>
        <w:t xml:space="preserve"> </w:t>
      </w:r>
      <w:r w:rsidR="00F751CF" w:rsidRPr="00F751CF">
        <w:rPr>
          <w:rFonts w:ascii="Arial" w:hAnsi="Arial" w:cs="Arial"/>
          <w:sz w:val="18"/>
          <w:szCs w:val="18"/>
        </w:rPr>
        <w:t>While not specific to intraabdominal venous thrombosis, the I82.890 code is indicated to diagnose splenic vein thrombosis, and other splanchnic vein thromboses.</w:t>
      </w:r>
    </w:p>
    <w:p w14:paraId="5EDABB52" w14:textId="77777777" w:rsidR="009460E5" w:rsidRDefault="009460E5" w:rsidP="00481BC4">
      <w:pPr>
        <w:rPr>
          <w:rFonts w:ascii="Arial" w:hAnsi="Arial" w:cs="Arial"/>
          <w:sz w:val="18"/>
          <w:szCs w:val="18"/>
        </w:rPr>
      </w:pPr>
    </w:p>
    <w:tbl>
      <w:tblPr>
        <w:tblW w:w="5063" w:type="pct"/>
        <w:tblLayout w:type="fixed"/>
        <w:tblLook w:val="04A0" w:firstRow="1" w:lastRow="0" w:firstColumn="1" w:lastColumn="0" w:noHBand="0" w:noVBand="1"/>
      </w:tblPr>
      <w:tblGrid>
        <w:gridCol w:w="966"/>
        <w:gridCol w:w="3961"/>
        <w:gridCol w:w="1549"/>
        <w:gridCol w:w="2992"/>
      </w:tblGrid>
      <w:tr w:rsidR="007844BF" w:rsidRPr="00170A64" w14:paraId="501295D4" w14:textId="77777777" w:rsidTr="00882077">
        <w:trPr>
          <w:trHeight w:val="264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DCDD" w14:textId="77777777" w:rsidR="007844BF" w:rsidRPr="00882077" w:rsidRDefault="007844BF" w:rsidP="007844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2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F7FA" w14:textId="1E310118" w:rsidR="007844BF" w:rsidRPr="00882077" w:rsidRDefault="007844BF" w:rsidP="007844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Code </w:t>
            </w:r>
            <w:r w:rsidRPr="0088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7FE29" w14:textId="60B201E5" w:rsidR="007844BF" w:rsidRPr="007844BF" w:rsidRDefault="007844BF" w:rsidP="007844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Coding System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2F07" w14:textId="3556E550" w:rsidR="007844BF" w:rsidRPr="00882077" w:rsidRDefault="007844BF" w:rsidP="007844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Thrombosis Type</w:t>
            </w:r>
          </w:p>
        </w:tc>
      </w:tr>
      <w:tr w:rsidR="007844BF" w:rsidRPr="00170A64" w14:paraId="2F105FA6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C7A5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I67.6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F8C7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Nonpyogenic thrombosis of intracranial venous system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1FEC1" w14:textId="27FFA16F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E39B" w14:textId="04CE6269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Intracranial venous thrombosis</w:t>
            </w:r>
          </w:p>
        </w:tc>
      </w:tr>
      <w:tr w:rsidR="007844BF" w:rsidRPr="00170A64" w14:paraId="466135A4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356E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I63.6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736E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Cerebral infarction due to cerebral venous thrombosis, nonpyogenic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783A5" w14:textId="14E0F7BE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4530" w14:textId="6DB71D2F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Intracranial venous thrombosis</w:t>
            </w:r>
          </w:p>
        </w:tc>
      </w:tr>
      <w:tr w:rsidR="007844BF" w:rsidRPr="00170A64" w14:paraId="77056315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A4AE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O22.50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615C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Cerebral venous thrombosis in pregnancy, unspecified trimester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6FC4" w14:textId="158CF464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B81A" w14:textId="60B21640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Intracranial venous thrombosis</w:t>
            </w:r>
          </w:p>
        </w:tc>
      </w:tr>
      <w:tr w:rsidR="007844BF" w:rsidRPr="00170A64" w14:paraId="1AF3C79B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1F3B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O22.51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E4FD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Cerebral venous thrombosis in pregnancy, first trimester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79F4" w14:textId="5B8854ED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8D7C" w14:textId="172875DE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Intracranial venous thrombosis</w:t>
            </w:r>
          </w:p>
        </w:tc>
      </w:tr>
      <w:tr w:rsidR="007844BF" w:rsidRPr="00170A64" w14:paraId="32663590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4693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O22.52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30E5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Cerebral venous thrombosis in pregnancy, second trimester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D3CD" w14:textId="182EF592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A393" w14:textId="25D930E0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Intracranial venous thrombosis</w:t>
            </w:r>
          </w:p>
        </w:tc>
      </w:tr>
      <w:tr w:rsidR="007844BF" w:rsidRPr="00170A64" w14:paraId="702D1E73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A3C4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O22.53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5080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Cerebral venous thrombosis in pregnancy, third trimester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52E1" w14:textId="5C8FA3F9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FE1E" w14:textId="3DAE0B75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Intracranial venous thrombosis</w:t>
            </w:r>
          </w:p>
        </w:tc>
      </w:tr>
      <w:tr w:rsidR="007844BF" w:rsidRPr="00170A64" w14:paraId="4B943ADD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0656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O87.3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BBBA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Cerebral venous thrombosis in the puerperium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1E12" w14:textId="0D9281AB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A809" w14:textId="164A779A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Intracranial venous thrombosis</w:t>
            </w:r>
          </w:p>
        </w:tc>
      </w:tr>
      <w:tr w:rsidR="007844BF" w:rsidRPr="00170A64" w14:paraId="796B0467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FCA4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G08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D693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Intracranial and intraspinal phlebitis and thrombophlebitis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5D154" w14:textId="48853A6A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ABAD" w14:textId="0E1D6B30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Intracranial venous thrombosis</w:t>
            </w:r>
          </w:p>
        </w:tc>
      </w:tr>
      <w:tr w:rsidR="007844BF" w:rsidRPr="00170A64" w14:paraId="132FE0F4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C979" w14:textId="79E0F8FA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I82.890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E9B7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Acute embolism and thrombosis of other specified veins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2C08" w14:textId="3A1EBE50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0B9C" w14:textId="095C4289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Intraabdominal venous thrombosis</w:t>
            </w:r>
          </w:p>
        </w:tc>
      </w:tr>
      <w:tr w:rsidR="007844BF" w:rsidRPr="00170A64" w14:paraId="05B0AE36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9F3F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I81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0CFA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Portal vein thrombosis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FDC9" w14:textId="4877D9AE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AB89" w14:textId="17B2F378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Intraabdominal venous thrombosis</w:t>
            </w:r>
          </w:p>
        </w:tc>
      </w:tr>
      <w:tr w:rsidR="007844BF" w:rsidRPr="00170A64" w14:paraId="2A1E0B2A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F002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I82.0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64E1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Budd-Chiari Syndrome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5A5BF" w14:textId="38E6C127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D1A5" w14:textId="0A3EF4E5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Intraabdominal venous thrombosis</w:t>
            </w:r>
          </w:p>
        </w:tc>
      </w:tr>
      <w:tr w:rsidR="007844BF" w:rsidRPr="00170A64" w14:paraId="0EC30101" w14:textId="77777777" w:rsidTr="00882077">
        <w:trPr>
          <w:trHeight w:val="2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018E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I82.3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8060" w14:textId="7777777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Embolism and thrombosis of renal vein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1866" w14:textId="078CBFF3" w:rsidR="007844BF" w:rsidRPr="007844BF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A9E9" w14:textId="06F45ED7" w:rsidR="007844BF" w:rsidRPr="00882077" w:rsidRDefault="007844BF" w:rsidP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077">
              <w:rPr>
                <w:rFonts w:ascii="Arial" w:hAnsi="Arial" w:cs="Arial"/>
                <w:color w:val="000000"/>
                <w:sz w:val="18"/>
                <w:szCs w:val="18"/>
              </w:rPr>
              <w:t>Intraabdominal venous thrombosis</w:t>
            </w:r>
          </w:p>
        </w:tc>
      </w:tr>
    </w:tbl>
    <w:p w14:paraId="1C951F27" w14:textId="77777777" w:rsidR="009460E5" w:rsidRDefault="009460E5" w:rsidP="00481BC4">
      <w:pPr>
        <w:rPr>
          <w:rFonts w:ascii="Arial" w:hAnsi="Arial" w:cs="Arial"/>
          <w:sz w:val="18"/>
          <w:szCs w:val="18"/>
        </w:rPr>
      </w:pPr>
    </w:p>
    <w:p w14:paraId="65527997" w14:textId="46BC76F8" w:rsidR="00170A64" w:rsidRDefault="00616A94" w:rsidP="00170A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Supplementary </w:t>
      </w:r>
      <w:r w:rsidR="00170A64">
        <w:rPr>
          <w:rFonts w:ascii="Arial" w:hAnsi="Arial" w:cs="Arial"/>
          <w:b/>
          <w:bCs/>
          <w:sz w:val="18"/>
          <w:szCs w:val="18"/>
        </w:rPr>
        <w:t xml:space="preserve">Table B2: </w:t>
      </w:r>
      <w:r w:rsidR="00170A64" w:rsidRPr="00170A64">
        <w:rPr>
          <w:rFonts w:ascii="Arial" w:hAnsi="Arial" w:cs="Arial"/>
          <w:sz w:val="18"/>
          <w:szCs w:val="18"/>
        </w:rPr>
        <w:t>Algorithm component 2 (thrombocytopenia): Requires ≥1 ICD-10-CM diagnosis code indicating thrombocytopenia within 14 days of an unusual site thrombosis diagnosis code (algorithm component 1)</w:t>
      </w:r>
      <w:r w:rsidR="00170A64" w:rsidRPr="00481BC4">
        <w:rPr>
          <w:rFonts w:ascii="Arial" w:hAnsi="Arial" w:cs="Arial"/>
          <w:sz w:val="18"/>
          <w:szCs w:val="18"/>
        </w:rPr>
        <w:t>.</w:t>
      </w:r>
    </w:p>
    <w:p w14:paraId="5F6D5438" w14:textId="125C2818" w:rsidR="00170A64" w:rsidRDefault="00170A64" w:rsidP="00170A64">
      <w:pPr>
        <w:rPr>
          <w:rFonts w:ascii="Arial" w:hAnsi="Arial" w:cs="Arial"/>
          <w:sz w:val="18"/>
          <w:szCs w:val="18"/>
        </w:rPr>
      </w:pPr>
    </w:p>
    <w:tbl>
      <w:tblPr>
        <w:tblW w:w="6745" w:type="dxa"/>
        <w:tblLook w:val="04A0" w:firstRow="1" w:lastRow="0" w:firstColumn="1" w:lastColumn="0" w:noHBand="0" w:noVBand="1"/>
      </w:tblPr>
      <w:tblGrid>
        <w:gridCol w:w="1165"/>
        <w:gridCol w:w="3960"/>
        <w:gridCol w:w="1620"/>
      </w:tblGrid>
      <w:tr w:rsidR="007844BF" w14:paraId="2CC34B21" w14:textId="77777777" w:rsidTr="00471447">
        <w:trPr>
          <w:trHeight w:val="27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B14C" w14:textId="77777777" w:rsidR="007844BF" w:rsidRDefault="007844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7AB8" w14:textId="77777777" w:rsidR="007844BF" w:rsidRDefault="007844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Code Description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8A9C" w14:textId="77777777" w:rsidR="007844BF" w:rsidRDefault="007844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Coding System</w:t>
            </w:r>
          </w:p>
        </w:tc>
      </w:tr>
      <w:tr w:rsidR="007844BF" w14:paraId="5E285D0A" w14:textId="77777777" w:rsidTr="00471447">
        <w:trPr>
          <w:trHeight w:val="279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FD44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D69.3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F018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Immune thrombocytopenic purpura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B31E" w14:textId="06C0A29D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</w:tr>
      <w:tr w:rsidR="007844BF" w14:paraId="5D5139B7" w14:textId="77777777" w:rsidTr="00471447">
        <w:trPr>
          <w:trHeight w:val="279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2BFD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D69.49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5D35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Other primary thrombocytopenia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7AFF" w14:textId="0C8FC6C2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</w:tr>
      <w:tr w:rsidR="007844BF" w14:paraId="74DB2190" w14:textId="77777777" w:rsidTr="00471447">
        <w:trPr>
          <w:trHeight w:val="279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FA59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D69.59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EC25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Other secondary thrombocytopenia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09AE" w14:textId="6C2194CB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</w:tr>
      <w:tr w:rsidR="007844BF" w14:paraId="62DF24E9" w14:textId="77777777" w:rsidTr="00471447">
        <w:trPr>
          <w:trHeight w:val="279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8AD9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M31.1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7249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Thrombotic microangiopathy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30FC" w14:textId="1CEC2E65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</w:tr>
      <w:tr w:rsidR="007844BF" w14:paraId="5DF93B63" w14:textId="77777777" w:rsidTr="00471447">
        <w:trPr>
          <w:trHeight w:val="279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F808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D75.82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0846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Heparin induced thrombocytopenia (HIT)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3634" w14:textId="6607D2CE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ICD-10-CM</w:t>
            </w:r>
          </w:p>
        </w:tc>
      </w:tr>
      <w:tr w:rsidR="007844BF" w14:paraId="55FA9434" w14:textId="77777777" w:rsidTr="00471447">
        <w:trPr>
          <w:trHeight w:val="279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1E48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D69.6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7769" w14:textId="77777777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Thrombocytopenia, unspecified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ED61" w14:textId="659C778F" w:rsidR="007844BF" w:rsidRDefault="00784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18"/>
              </w:rPr>
              <w:t>ICD-f10-CM</w:t>
            </w:r>
          </w:p>
        </w:tc>
      </w:tr>
    </w:tbl>
    <w:p w14:paraId="747ADC6F" w14:textId="77777777" w:rsidR="007844BF" w:rsidRDefault="007844BF" w:rsidP="00170A64">
      <w:pPr>
        <w:rPr>
          <w:rFonts w:ascii="Arial" w:hAnsi="Arial" w:cs="Arial"/>
          <w:sz w:val="18"/>
          <w:szCs w:val="18"/>
        </w:rPr>
      </w:pPr>
    </w:p>
    <w:p w14:paraId="6A7B23FE" w14:textId="77777777" w:rsidR="00170A64" w:rsidRDefault="00170A64" w:rsidP="00170A64">
      <w:pPr>
        <w:rPr>
          <w:rFonts w:ascii="Arial" w:hAnsi="Arial" w:cs="Arial"/>
          <w:sz w:val="18"/>
          <w:szCs w:val="18"/>
        </w:rPr>
      </w:pPr>
    </w:p>
    <w:p w14:paraId="4E6D881D" w14:textId="0044CD0D" w:rsidR="00170A64" w:rsidRPr="00471447" w:rsidRDefault="00170A64" w:rsidP="00170A64">
      <w:pPr>
        <w:rPr>
          <w:rFonts w:ascii="Arial" w:hAnsi="Arial" w:cs="Arial"/>
          <w:sz w:val="18"/>
          <w:szCs w:val="18"/>
        </w:rPr>
        <w:sectPr w:rsidR="00170A64" w:rsidRPr="00471447" w:rsidSect="007B5CE2">
          <w:footnotePr>
            <w:numFmt w:val="lowerRoman"/>
          </w:footnotePr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B0BAA7C" w14:textId="77777777" w:rsidR="003444DD" w:rsidRPr="00D23C26" w:rsidRDefault="003444DD" w:rsidP="003444DD">
      <w:pPr>
        <w:rPr>
          <w:rFonts w:ascii="Arial" w:hAnsi="Arial" w:cs="Arial"/>
          <w:b/>
          <w:bCs/>
          <w:sz w:val="32"/>
          <w:szCs w:val="32"/>
        </w:rPr>
      </w:pPr>
      <w:r w:rsidRPr="00D23C26">
        <w:rPr>
          <w:rFonts w:ascii="Arial" w:hAnsi="Arial" w:cs="Arial"/>
          <w:b/>
          <w:bCs/>
          <w:sz w:val="32"/>
          <w:szCs w:val="32"/>
        </w:rPr>
        <w:lastRenderedPageBreak/>
        <w:t>Appendix C. Algorithm validation results, with thrombosis and thrombocytopenia evaluated as independent events</w:t>
      </w:r>
    </w:p>
    <w:p w14:paraId="69983634" w14:textId="77777777" w:rsidR="003444DD" w:rsidRPr="00AF761E" w:rsidRDefault="003444DD" w:rsidP="003444DD">
      <w:pPr>
        <w:rPr>
          <w:rFonts w:ascii="Arial" w:hAnsi="Arial" w:cs="Arial"/>
          <w:b/>
          <w:bCs/>
          <w:sz w:val="20"/>
          <w:szCs w:val="20"/>
        </w:rPr>
      </w:pPr>
    </w:p>
    <w:p w14:paraId="0F645CF5" w14:textId="2049EBE3" w:rsidR="003444DD" w:rsidRPr="00AF761E" w:rsidRDefault="003444DD" w:rsidP="003444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Pr="00AF761E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DC1038">
        <w:rPr>
          <w:rFonts w:ascii="Arial" w:hAnsi="Arial" w:cs="Arial"/>
          <w:b/>
          <w:bCs/>
          <w:sz w:val="20"/>
          <w:szCs w:val="20"/>
        </w:rPr>
        <w:t>C1</w:t>
      </w:r>
      <w:r w:rsidRPr="00AF761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24761">
        <w:rPr>
          <w:rFonts w:ascii="Arial" w:hAnsi="Arial" w:cs="Arial"/>
          <w:b/>
          <w:bCs/>
          <w:sz w:val="20"/>
          <w:szCs w:val="20"/>
        </w:rPr>
        <w:t>Algorithm validation results, with thrombosis and thrombocytopenia evaluated as independent events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1176"/>
        <w:gridCol w:w="1081"/>
        <w:gridCol w:w="902"/>
        <w:gridCol w:w="1258"/>
        <w:gridCol w:w="1081"/>
        <w:gridCol w:w="1081"/>
        <w:gridCol w:w="1440"/>
        <w:gridCol w:w="1350"/>
        <w:gridCol w:w="1121"/>
      </w:tblGrid>
      <w:tr w:rsidR="00102B2E" w:rsidRPr="00AF761E" w14:paraId="10188962" w14:textId="77777777" w:rsidTr="00102B2E">
        <w:trPr>
          <w:cantSplit/>
          <w:trHeight w:val="52"/>
          <w:tblHeader/>
        </w:trPr>
        <w:tc>
          <w:tcPr>
            <w:tcW w:w="1022" w:type="pct"/>
            <w:shd w:val="clear" w:color="auto" w:fill="BFBFBF" w:themeFill="background1" w:themeFillShade="BF"/>
            <w:noWrap/>
            <w:vAlign w:val="center"/>
            <w:hideMark/>
          </w:tcPr>
          <w:p w14:paraId="184EE458" w14:textId="77777777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Metric</w:t>
            </w:r>
          </w:p>
        </w:tc>
        <w:tc>
          <w:tcPr>
            <w:tcW w:w="446" w:type="pct"/>
            <w:vMerge w:val="restart"/>
            <w:shd w:val="clear" w:color="auto" w:fill="BFBFBF" w:themeFill="background1" w:themeFillShade="BF"/>
            <w:vAlign w:val="center"/>
          </w:tcPr>
          <w:p w14:paraId="315361BB" w14:textId="58A2C196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All patients identified with unusual site TTS</w:t>
            </w:r>
          </w:p>
        </w:tc>
        <w:tc>
          <w:tcPr>
            <w:tcW w:w="2049" w:type="pct"/>
            <w:gridSpan w:val="5"/>
            <w:shd w:val="clear" w:color="auto" w:fill="BFBFBF" w:themeFill="background1" w:themeFillShade="BF"/>
            <w:vAlign w:val="center"/>
            <w:hideMark/>
          </w:tcPr>
          <w:p w14:paraId="259AC66F" w14:textId="67D504F5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Patients with incident intraabdominal venous thrombosis and co-occurring thrombocytopenia diagnoses</w:t>
            </w:r>
          </w:p>
        </w:tc>
        <w:tc>
          <w:tcPr>
            <w:tcW w:w="1484" w:type="pct"/>
            <w:gridSpan w:val="3"/>
            <w:shd w:val="clear" w:color="auto" w:fill="BFBFBF" w:themeFill="background1" w:themeFillShade="BF"/>
            <w:vAlign w:val="center"/>
            <w:hideMark/>
          </w:tcPr>
          <w:p w14:paraId="3DBB4839" w14:textId="77777777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Patients with incident intracranial venous thrombosis and co-occurring thrombocytopenia diagnoses</w:t>
            </w:r>
          </w:p>
        </w:tc>
      </w:tr>
      <w:tr w:rsidR="00102B2E" w:rsidRPr="00AF761E" w14:paraId="341610D3" w14:textId="77777777" w:rsidTr="00102B2E">
        <w:trPr>
          <w:cantSplit/>
          <w:trHeight w:val="52"/>
          <w:tblHeader/>
        </w:trPr>
        <w:tc>
          <w:tcPr>
            <w:tcW w:w="1022" w:type="pct"/>
            <w:shd w:val="clear" w:color="auto" w:fill="BFBFBF" w:themeFill="background1" w:themeFillShade="BF"/>
            <w:vAlign w:val="center"/>
            <w:hideMark/>
          </w:tcPr>
          <w:p w14:paraId="185B3292" w14:textId="77777777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 recorded ICD-10-CM diagnosis code</w:t>
            </w: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for thrombosis</w:t>
            </w:r>
          </w:p>
        </w:tc>
        <w:tc>
          <w:tcPr>
            <w:tcW w:w="446" w:type="pct"/>
            <w:vMerge/>
            <w:shd w:val="clear" w:color="auto" w:fill="BFBFBF" w:themeFill="background1" w:themeFillShade="BF"/>
          </w:tcPr>
          <w:p w14:paraId="2F82A883" w14:textId="77777777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14:paraId="45619385" w14:textId="05D759C8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42" w:type="pct"/>
            <w:shd w:val="clear" w:color="auto" w:fill="BFBFBF" w:themeFill="background1" w:themeFillShade="BF"/>
            <w:vAlign w:val="center"/>
            <w:hideMark/>
          </w:tcPr>
          <w:p w14:paraId="7DAFC6D4" w14:textId="3830DB80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I81</w:t>
            </w:r>
          </w:p>
        </w:tc>
        <w:tc>
          <w:tcPr>
            <w:tcW w:w="477" w:type="pct"/>
            <w:shd w:val="clear" w:color="auto" w:fill="BFBFBF" w:themeFill="background1" w:themeFillShade="BF"/>
            <w:vAlign w:val="center"/>
            <w:hideMark/>
          </w:tcPr>
          <w:p w14:paraId="5B6BB145" w14:textId="77777777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I82.890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  <w:hideMark/>
          </w:tcPr>
          <w:p w14:paraId="4D7C8074" w14:textId="77777777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I82.0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  <w:hideMark/>
          </w:tcPr>
          <w:p w14:paraId="3C58BA8E" w14:textId="77777777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I82.3</w:t>
            </w:r>
          </w:p>
        </w:tc>
        <w:tc>
          <w:tcPr>
            <w:tcW w:w="546" w:type="pct"/>
            <w:shd w:val="clear" w:color="auto" w:fill="BFBFBF" w:themeFill="background1" w:themeFillShade="BF"/>
            <w:vAlign w:val="center"/>
          </w:tcPr>
          <w:p w14:paraId="054CC6E4" w14:textId="6B7E981F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12" w:type="pct"/>
            <w:shd w:val="clear" w:color="auto" w:fill="BFBFBF" w:themeFill="background1" w:themeFillShade="BF"/>
            <w:vAlign w:val="center"/>
            <w:hideMark/>
          </w:tcPr>
          <w:p w14:paraId="32539807" w14:textId="3803CFEF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G08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  <w:hideMark/>
          </w:tcPr>
          <w:p w14:paraId="4BFC0BA6" w14:textId="77777777" w:rsidR="00102B2E" w:rsidRPr="00AF761E" w:rsidRDefault="00102B2E" w:rsidP="00102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I67.6</w:t>
            </w:r>
          </w:p>
        </w:tc>
      </w:tr>
      <w:tr w:rsidR="00102B2E" w:rsidRPr="00AF761E" w14:paraId="41EA7C1C" w14:textId="77777777" w:rsidTr="00102B2E">
        <w:trPr>
          <w:cantSplit/>
          <w:trHeight w:val="52"/>
        </w:trPr>
        <w:tc>
          <w:tcPr>
            <w:tcW w:w="1022" w:type="pct"/>
            <w:shd w:val="clear" w:color="auto" w:fill="BFBFBF" w:themeFill="background1" w:themeFillShade="BF"/>
            <w:vAlign w:val="center"/>
            <w:hideMark/>
          </w:tcPr>
          <w:p w14:paraId="4D903875" w14:textId="77777777" w:rsidR="00102B2E" w:rsidRPr="00AF761E" w:rsidRDefault="00102B2E" w:rsidP="00102B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patients selected for validation, N</w:t>
            </w: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14:paraId="61D89B01" w14:textId="6276D44C" w:rsidR="00102B2E" w:rsidRPr="00AF761E" w:rsidRDefault="00102B2E" w:rsidP="0047144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14:paraId="011182C3" w14:textId="2B60C7EE" w:rsidR="00102B2E" w:rsidRPr="00AF761E" w:rsidRDefault="00102B2E" w:rsidP="0047144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42" w:type="pct"/>
            <w:shd w:val="clear" w:color="auto" w:fill="BFBFBF" w:themeFill="background1" w:themeFillShade="BF"/>
            <w:vAlign w:val="center"/>
            <w:hideMark/>
          </w:tcPr>
          <w:p w14:paraId="30D2B71F" w14:textId="4B651CDF" w:rsidR="00102B2E" w:rsidRPr="00AF761E" w:rsidRDefault="00102B2E" w:rsidP="0047144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BFBFBF" w:themeFill="background1" w:themeFillShade="BF"/>
            <w:vAlign w:val="center"/>
            <w:hideMark/>
          </w:tcPr>
          <w:p w14:paraId="1EC7F934" w14:textId="77777777" w:rsidR="00102B2E" w:rsidRPr="00AF761E" w:rsidRDefault="00102B2E" w:rsidP="0047144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  <w:hideMark/>
          </w:tcPr>
          <w:p w14:paraId="78B00AAA" w14:textId="77777777" w:rsidR="00102B2E" w:rsidRPr="00AF761E" w:rsidRDefault="00102B2E" w:rsidP="0047144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  <w:hideMark/>
          </w:tcPr>
          <w:p w14:paraId="1496269A" w14:textId="77777777" w:rsidR="00102B2E" w:rsidRPr="00AF761E" w:rsidRDefault="00102B2E" w:rsidP="0047144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pct"/>
            <w:shd w:val="clear" w:color="auto" w:fill="BFBFBF" w:themeFill="background1" w:themeFillShade="BF"/>
            <w:vAlign w:val="center"/>
          </w:tcPr>
          <w:p w14:paraId="7F0D5A96" w14:textId="72EBFA9A" w:rsidR="00102B2E" w:rsidRPr="00AF761E" w:rsidRDefault="00102B2E" w:rsidP="0047144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2" w:type="pct"/>
            <w:shd w:val="clear" w:color="auto" w:fill="BFBFBF" w:themeFill="background1" w:themeFillShade="BF"/>
            <w:vAlign w:val="center"/>
            <w:hideMark/>
          </w:tcPr>
          <w:p w14:paraId="27F0BB5E" w14:textId="6D76BBBE" w:rsidR="00102B2E" w:rsidRPr="00AF761E" w:rsidRDefault="00102B2E" w:rsidP="0047144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  <w:hideMark/>
          </w:tcPr>
          <w:p w14:paraId="5950DE16" w14:textId="77777777" w:rsidR="00102B2E" w:rsidRPr="00AF761E" w:rsidRDefault="00102B2E" w:rsidP="0047144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102B2E" w:rsidRPr="00AF761E" w14:paraId="16E0B43C" w14:textId="77777777" w:rsidTr="00102B2E">
        <w:trPr>
          <w:cantSplit/>
          <w:trHeight w:val="52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BA80DD2" w14:textId="77777777" w:rsidR="00102B2E" w:rsidRPr="00AF761E" w:rsidRDefault="00102B2E" w:rsidP="00102B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Thrombosis diagnosis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29889AC" w14:textId="03BB4E7D" w:rsidR="00102B2E" w:rsidRPr="00AF761E" w:rsidRDefault="00102B2E" w:rsidP="00102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539F5E8" w14:textId="77777777" w:rsidR="00102B2E" w:rsidRPr="00AF761E" w:rsidRDefault="00102B2E" w:rsidP="00102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9270E59" w14:textId="17D22DF6" w:rsidR="00102B2E" w:rsidRPr="00AF761E" w:rsidRDefault="00102B2E" w:rsidP="00102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A5E5D19" w14:textId="77777777" w:rsidR="00102B2E" w:rsidRPr="00AF761E" w:rsidRDefault="00102B2E" w:rsidP="00102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1267016" w14:textId="77777777" w:rsidR="00102B2E" w:rsidRPr="00AF761E" w:rsidRDefault="00102B2E" w:rsidP="00102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AA6B3F6" w14:textId="77777777" w:rsidR="00102B2E" w:rsidRPr="00AF761E" w:rsidRDefault="00102B2E" w:rsidP="00102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C87CC41" w14:textId="77777777" w:rsidR="00102B2E" w:rsidRPr="00AF761E" w:rsidRDefault="00102B2E" w:rsidP="00102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D48BB89" w14:textId="3E59225B" w:rsidR="00102B2E" w:rsidRPr="00AF761E" w:rsidRDefault="00102B2E" w:rsidP="00102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F351C" w14:textId="77777777" w:rsidR="00102B2E" w:rsidRPr="00AF761E" w:rsidRDefault="00102B2E" w:rsidP="00102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02B2E" w:rsidRPr="00AF761E" w14:paraId="5F4361D1" w14:textId="77777777" w:rsidTr="00102B2E">
        <w:trPr>
          <w:cantSplit/>
          <w:trHeight w:val="52"/>
        </w:trPr>
        <w:tc>
          <w:tcPr>
            <w:tcW w:w="102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6F21A3" w14:textId="77777777" w:rsidR="00102B2E" w:rsidRPr="00AF761E" w:rsidRDefault="00102B2E" w:rsidP="00102B2E">
            <w:pPr>
              <w:ind w:left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 xml:space="preserve">Imaging report available, </w:t>
            </w:r>
          </w:p>
          <w:p w14:paraId="536A3AC3" w14:textId="77777777" w:rsidR="00102B2E" w:rsidRPr="00AF761E" w:rsidRDefault="00102B2E" w:rsidP="00102B2E">
            <w:pPr>
              <w:ind w:left="240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n (%)</w:t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46" w:type="pct"/>
            <w:tcBorders>
              <w:top w:val="single" w:sz="4" w:space="0" w:color="auto"/>
            </w:tcBorders>
            <w:vAlign w:val="bottom"/>
          </w:tcPr>
          <w:p w14:paraId="4EFE3307" w14:textId="4361DC03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(98.3%)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bottom"/>
          </w:tcPr>
          <w:p w14:paraId="2E1B7420" w14:textId="35BF5AEA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(98.1%)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D5D2ECC" w14:textId="373D5FCA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(100%)</w:t>
            </w:r>
          </w:p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D9076C" w14:textId="6E226818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(97.4%)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2FEA6BC" w14:textId="5CE102EF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E4F2E60" w14:textId="3F683198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(85.7%)</w:t>
            </w:r>
          </w:p>
        </w:tc>
        <w:tc>
          <w:tcPr>
            <w:tcW w:w="546" w:type="pct"/>
            <w:tcBorders>
              <w:top w:val="single" w:sz="4" w:space="0" w:color="auto"/>
            </w:tcBorders>
            <w:vAlign w:val="bottom"/>
          </w:tcPr>
          <w:p w14:paraId="0EAF58FD" w14:textId="01F9889F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(100%)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DB7FA77" w14:textId="57971F2D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6105216" w14:textId="516C5C32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(100%)</w:t>
            </w:r>
          </w:p>
        </w:tc>
      </w:tr>
      <w:tr w:rsidR="00102B2E" w:rsidRPr="00AF761E" w14:paraId="0179B170" w14:textId="77777777" w:rsidTr="00102B2E">
        <w:trPr>
          <w:cantSplit/>
          <w:trHeight w:val="52"/>
        </w:trPr>
        <w:tc>
          <w:tcPr>
            <w:tcW w:w="1022" w:type="pct"/>
            <w:shd w:val="clear" w:color="auto" w:fill="auto"/>
            <w:vAlign w:val="center"/>
            <w:hideMark/>
          </w:tcPr>
          <w:p w14:paraId="370C7009" w14:textId="77777777" w:rsidR="00102B2E" w:rsidRPr="00AF761E" w:rsidRDefault="00102B2E" w:rsidP="00102B2E">
            <w:pPr>
              <w:ind w:left="357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Thrombosis diagnosis percent agreement</w:t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 xml:space="preserve">, numerator/denominator </w:t>
            </w:r>
          </w:p>
        </w:tc>
        <w:tc>
          <w:tcPr>
            <w:tcW w:w="446" w:type="pct"/>
            <w:vAlign w:val="bottom"/>
          </w:tcPr>
          <w:p w14:paraId="3C07EB9B" w14:textId="0AD5D025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87/115</w:t>
            </w:r>
          </w:p>
        </w:tc>
        <w:tc>
          <w:tcPr>
            <w:tcW w:w="410" w:type="pct"/>
            <w:vAlign w:val="bottom"/>
          </w:tcPr>
          <w:p w14:paraId="1385486A" w14:textId="27073360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76/104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7332CC54" w14:textId="6E42CB7C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48/50  </w:t>
            </w:r>
          </w:p>
        </w:tc>
        <w:tc>
          <w:tcPr>
            <w:tcW w:w="477" w:type="pct"/>
            <w:shd w:val="clear" w:color="auto" w:fill="auto"/>
            <w:vAlign w:val="bottom"/>
            <w:hideMark/>
          </w:tcPr>
          <w:p w14:paraId="7ED5A228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15/38</w:t>
            </w:r>
          </w:p>
        </w:tc>
        <w:tc>
          <w:tcPr>
            <w:tcW w:w="410" w:type="pct"/>
            <w:shd w:val="clear" w:color="auto" w:fill="auto"/>
            <w:vAlign w:val="bottom"/>
            <w:hideMark/>
          </w:tcPr>
          <w:p w14:paraId="64BACB3F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8/10</w:t>
            </w:r>
          </w:p>
        </w:tc>
        <w:tc>
          <w:tcPr>
            <w:tcW w:w="410" w:type="pct"/>
            <w:shd w:val="clear" w:color="auto" w:fill="auto"/>
            <w:vAlign w:val="bottom"/>
            <w:hideMark/>
          </w:tcPr>
          <w:p w14:paraId="6D140D52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5/6</w:t>
            </w:r>
          </w:p>
        </w:tc>
        <w:tc>
          <w:tcPr>
            <w:tcW w:w="546" w:type="pct"/>
            <w:vAlign w:val="bottom"/>
          </w:tcPr>
          <w:p w14:paraId="2539DF94" w14:textId="4B1EB034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11/11</w:t>
            </w:r>
          </w:p>
        </w:tc>
        <w:tc>
          <w:tcPr>
            <w:tcW w:w="512" w:type="pct"/>
            <w:shd w:val="clear" w:color="auto" w:fill="auto"/>
            <w:vAlign w:val="bottom"/>
            <w:hideMark/>
          </w:tcPr>
          <w:p w14:paraId="56B85CD0" w14:textId="77F5A14C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9/9</w:t>
            </w:r>
          </w:p>
        </w:tc>
        <w:tc>
          <w:tcPr>
            <w:tcW w:w="426" w:type="pct"/>
            <w:shd w:val="clear" w:color="auto" w:fill="auto"/>
            <w:vAlign w:val="bottom"/>
            <w:hideMark/>
          </w:tcPr>
          <w:p w14:paraId="79CD85B4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2/2</w:t>
            </w:r>
          </w:p>
        </w:tc>
      </w:tr>
      <w:tr w:rsidR="00102B2E" w:rsidRPr="00AF761E" w14:paraId="0FA12AC2" w14:textId="77777777" w:rsidTr="00102B2E">
        <w:trPr>
          <w:cantSplit/>
          <w:trHeight w:val="52"/>
        </w:trPr>
        <w:tc>
          <w:tcPr>
            <w:tcW w:w="1022" w:type="pct"/>
            <w:shd w:val="clear" w:color="auto" w:fill="auto"/>
            <w:vAlign w:val="center"/>
          </w:tcPr>
          <w:p w14:paraId="3498BBAE" w14:textId="77777777" w:rsidR="00102B2E" w:rsidRPr="00AF761E" w:rsidRDefault="00102B2E" w:rsidP="00102B2E">
            <w:pPr>
              <w:ind w:left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Thrombosis diagnosis percent agreement</w:t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, % (95%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CI)</w:t>
            </w:r>
          </w:p>
        </w:tc>
        <w:tc>
          <w:tcPr>
            <w:tcW w:w="446" w:type="pct"/>
            <w:vAlign w:val="bottom"/>
          </w:tcPr>
          <w:p w14:paraId="479EDE21" w14:textId="4F9DA909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75.7%</w:t>
            </w:r>
          </w:p>
          <w:p w14:paraId="1E4FF359" w14:textId="34BC64CA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(66.8–82.8%)</w:t>
            </w:r>
          </w:p>
        </w:tc>
        <w:tc>
          <w:tcPr>
            <w:tcW w:w="410" w:type="pct"/>
            <w:vAlign w:val="bottom"/>
          </w:tcPr>
          <w:p w14:paraId="25047846" w14:textId="6E6A8CF1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73.1%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(63.6–80.8%)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6264C794" w14:textId="08ADEF1E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96.0%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(88.5–99.7%)  </w:t>
            </w:r>
          </w:p>
        </w:tc>
        <w:tc>
          <w:tcPr>
            <w:tcW w:w="477" w:type="pct"/>
            <w:shd w:val="clear" w:color="auto" w:fill="auto"/>
            <w:vAlign w:val="bottom"/>
          </w:tcPr>
          <w:p w14:paraId="5022DA3B" w14:textId="08C445CF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39.5%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(25.3–55.6%)</w:t>
            </w:r>
          </w:p>
        </w:tc>
        <w:tc>
          <w:tcPr>
            <w:tcW w:w="410" w:type="pct"/>
            <w:shd w:val="clear" w:color="auto" w:fill="auto"/>
            <w:vAlign w:val="bottom"/>
          </w:tcPr>
          <w:p w14:paraId="789EAE4D" w14:textId="49EBA37C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80.0%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(47.3–95.6%)</w:t>
            </w:r>
          </w:p>
        </w:tc>
        <w:tc>
          <w:tcPr>
            <w:tcW w:w="410" w:type="pct"/>
            <w:shd w:val="clear" w:color="auto" w:fill="auto"/>
            <w:vAlign w:val="bottom"/>
          </w:tcPr>
          <w:p w14:paraId="45CE015A" w14:textId="2F6984EB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83.3%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(41.0–99.0%)</w:t>
            </w:r>
          </w:p>
        </w:tc>
        <w:tc>
          <w:tcPr>
            <w:tcW w:w="546" w:type="pct"/>
            <w:vAlign w:val="bottom"/>
          </w:tcPr>
          <w:p w14:paraId="7AEA1CCB" w14:textId="7681BDC8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100.0%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(69.9%–100.0%)</w:t>
            </w:r>
          </w:p>
        </w:tc>
        <w:tc>
          <w:tcPr>
            <w:tcW w:w="512" w:type="pct"/>
            <w:shd w:val="clear" w:color="auto" w:fill="auto"/>
            <w:vAlign w:val="bottom"/>
          </w:tcPr>
          <w:p w14:paraId="0085255C" w14:textId="3305DAFA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100.0%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(64.6%–100.0%)</w:t>
            </w:r>
          </w:p>
        </w:tc>
        <w:tc>
          <w:tcPr>
            <w:tcW w:w="426" w:type="pct"/>
            <w:shd w:val="clear" w:color="auto" w:fill="auto"/>
            <w:vAlign w:val="bottom"/>
          </w:tcPr>
          <w:p w14:paraId="0EF6F099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100.0% (28.2%–100.0%)</w:t>
            </w:r>
          </w:p>
        </w:tc>
      </w:tr>
      <w:tr w:rsidR="00102B2E" w:rsidRPr="00AF761E" w14:paraId="5D5209CD" w14:textId="77777777" w:rsidTr="00102B2E">
        <w:trPr>
          <w:cantSplit/>
          <w:trHeight w:val="52"/>
        </w:trPr>
        <w:tc>
          <w:tcPr>
            <w:tcW w:w="1022" w:type="pct"/>
            <w:shd w:val="clear" w:color="auto" w:fill="auto"/>
            <w:vAlign w:val="center"/>
            <w:hideMark/>
          </w:tcPr>
          <w:p w14:paraId="34F2178A" w14:textId="77777777" w:rsidR="00102B2E" w:rsidRPr="00AF761E" w:rsidRDefault="00102B2E" w:rsidP="00102B2E">
            <w:pPr>
              <w:ind w:left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No current evidence of intracranial or intraabdominal thrombosis, %</w:t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446" w:type="pct"/>
            <w:vAlign w:val="bottom"/>
          </w:tcPr>
          <w:p w14:paraId="70C22B44" w14:textId="0A9D93BA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10/115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(8.7%)</w:t>
            </w:r>
          </w:p>
        </w:tc>
        <w:tc>
          <w:tcPr>
            <w:tcW w:w="410" w:type="pct"/>
            <w:vAlign w:val="bottom"/>
          </w:tcPr>
          <w:p w14:paraId="491B3AD9" w14:textId="55ACBDBD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10/104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(9.6%)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467DD26A" w14:textId="66EE485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1/50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(2.0%)</w:t>
            </w:r>
          </w:p>
        </w:tc>
        <w:tc>
          <w:tcPr>
            <w:tcW w:w="477" w:type="pct"/>
            <w:shd w:val="clear" w:color="auto" w:fill="auto"/>
            <w:vAlign w:val="bottom"/>
            <w:hideMark/>
          </w:tcPr>
          <w:p w14:paraId="63FDF8B5" w14:textId="418C8E08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6/38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(15.8%)</w:t>
            </w:r>
          </w:p>
        </w:tc>
        <w:tc>
          <w:tcPr>
            <w:tcW w:w="410" w:type="pct"/>
            <w:shd w:val="clear" w:color="auto" w:fill="auto"/>
            <w:vAlign w:val="bottom"/>
            <w:hideMark/>
          </w:tcPr>
          <w:p w14:paraId="213B2D8B" w14:textId="3348CA8B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2/10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(20.0%)</w:t>
            </w:r>
          </w:p>
        </w:tc>
        <w:tc>
          <w:tcPr>
            <w:tcW w:w="410" w:type="pct"/>
            <w:shd w:val="clear" w:color="auto" w:fill="auto"/>
            <w:vAlign w:val="bottom"/>
            <w:hideMark/>
          </w:tcPr>
          <w:p w14:paraId="764EF5A6" w14:textId="2AE8E225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1/6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(16.7%)</w:t>
            </w:r>
          </w:p>
        </w:tc>
        <w:tc>
          <w:tcPr>
            <w:tcW w:w="546" w:type="pct"/>
            <w:vAlign w:val="bottom"/>
          </w:tcPr>
          <w:p w14:paraId="279D1F4E" w14:textId="653EEF74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0/11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(0.0%)</w:t>
            </w:r>
          </w:p>
        </w:tc>
        <w:tc>
          <w:tcPr>
            <w:tcW w:w="512" w:type="pct"/>
            <w:shd w:val="clear" w:color="auto" w:fill="auto"/>
            <w:vAlign w:val="bottom"/>
            <w:hideMark/>
          </w:tcPr>
          <w:p w14:paraId="108C2F5B" w14:textId="39FA2BC4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0/9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(0.0%)</w:t>
            </w:r>
          </w:p>
        </w:tc>
        <w:tc>
          <w:tcPr>
            <w:tcW w:w="426" w:type="pct"/>
            <w:shd w:val="clear" w:color="auto" w:fill="auto"/>
            <w:vAlign w:val="bottom"/>
            <w:hideMark/>
          </w:tcPr>
          <w:p w14:paraId="6D01602A" w14:textId="0AE065D8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0/2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(0.0%)</w:t>
            </w:r>
          </w:p>
        </w:tc>
      </w:tr>
      <w:tr w:rsidR="00102B2E" w:rsidRPr="00AF761E" w14:paraId="5B30A176" w14:textId="77777777" w:rsidTr="00102B2E">
        <w:trPr>
          <w:cantSplit/>
          <w:trHeight w:val="52"/>
        </w:trPr>
        <w:tc>
          <w:tcPr>
            <w:tcW w:w="10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ED750" w14:textId="77777777" w:rsidR="00102B2E" w:rsidRPr="00AF761E" w:rsidRDefault="00102B2E" w:rsidP="00102B2E">
            <w:pPr>
              <w:ind w:left="357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Other non-intraabdominal, non-intracranial thrombosis confirmed by imaging, %</w:t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bottom"/>
          </w:tcPr>
          <w:p w14:paraId="58DDE0D3" w14:textId="7B237759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18/115 (15.7%)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bottom"/>
          </w:tcPr>
          <w:p w14:paraId="7F23ECFF" w14:textId="62989AC4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 xml:space="preserve"> 18/104 (17.3%)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EA6E9BB" w14:textId="34AD8068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1/50 (2.0%)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461AAAF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17/38 (44.7%)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1DDF03E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0/10 (0.0%)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A5626E2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0/6 (0.0%)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bottom"/>
          </w:tcPr>
          <w:p w14:paraId="4D3C7F43" w14:textId="54375CD6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0/11 (0.0%)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9535F42" w14:textId="51C6A889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0/9 (0.0%)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E7A5E57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0/2 (0.0%)</w:t>
            </w:r>
          </w:p>
        </w:tc>
      </w:tr>
      <w:tr w:rsidR="00102B2E" w:rsidRPr="00AF761E" w14:paraId="0669D35E" w14:textId="77777777" w:rsidTr="00102B2E">
        <w:trPr>
          <w:cantSplit/>
          <w:trHeight w:val="52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3AF17E9" w14:textId="77777777" w:rsidR="00102B2E" w:rsidRPr="00AF761E" w:rsidRDefault="00102B2E" w:rsidP="00102B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Thrombocytopenia diagnosis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84D4FB6" w14:textId="1AA69176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FF4999D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1F354300" w14:textId="2047DCF6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59582C7E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26AFC148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3F96A306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91D2EC2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3AE9E3D3" w14:textId="24EB11F8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D5E77A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02B2E" w:rsidRPr="00AF761E" w14:paraId="141BFF4D" w14:textId="77777777" w:rsidTr="00102B2E">
        <w:trPr>
          <w:cantSplit/>
          <w:trHeight w:val="52"/>
        </w:trPr>
        <w:tc>
          <w:tcPr>
            <w:tcW w:w="102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DE8216" w14:textId="77777777" w:rsidR="00102B2E" w:rsidRPr="00AF761E" w:rsidRDefault="00102B2E" w:rsidP="00102B2E">
            <w:pPr>
              <w:ind w:left="240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Platelet count results available, n (%)</w:t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446" w:type="pct"/>
            <w:tcBorders>
              <w:top w:val="single" w:sz="4" w:space="0" w:color="auto"/>
            </w:tcBorders>
            <w:vAlign w:val="bottom"/>
          </w:tcPr>
          <w:p w14:paraId="39758F5F" w14:textId="032726B9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115 (98.3%)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bottom"/>
          </w:tcPr>
          <w:p w14:paraId="13BCE0A3" w14:textId="137631F0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104 (98.1%)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7313DAB" w14:textId="65B60A7A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49 (98.0%)</w:t>
            </w:r>
          </w:p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7177B07" w14:textId="73974AAF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D76DF9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10 (100.0%)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A2A64D" w14:textId="71744AC2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(85.7%)</w:t>
            </w:r>
          </w:p>
        </w:tc>
        <w:tc>
          <w:tcPr>
            <w:tcW w:w="546" w:type="pct"/>
            <w:tcBorders>
              <w:top w:val="single" w:sz="4" w:space="0" w:color="auto"/>
            </w:tcBorders>
            <w:vAlign w:val="bottom"/>
          </w:tcPr>
          <w:p w14:paraId="1A376CB3" w14:textId="1564F8F4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 xml:space="preserve"> (100%)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A10EBDD" w14:textId="5DAF6182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 xml:space="preserve"> (100.0%)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6352DC4" w14:textId="2C3CB343" w:rsidR="00102B2E" w:rsidRPr="00AF761E" w:rsidRDefault="00102B2E" w:rsidP="00102B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 xml:space="preserve"> (100.0%)</w:t>
            </w:r>
          </w:p>
        </w:tc>
      </w:tr>
      <w:tr w:rsidR="00102B2E" w:rsidRPr="00AF761E" w14:paraId="01557505" w14:textId="77777777" w:rsidTr="00102B2E">
        <w:trPr>
          <w:cantSplit/>
          <w:trHeight w:val="52"/>
        </w:trPr>
        <w:tc>
          <w:tcPr>
            <w:tcW w:w="10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1DF7A4" w14:textId="77777777" w:rsidR="00102B2E" w:rsidRPr="00AF761E" w:rsidRDefault="00102B2E" w:rsidP="00102B2E">
            <w:pPr>
              <w:ind w:left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Thrombocytopenia diagnosis percent agreement, </w:t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numerator/denominator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bottom"/>
          </w:tcPr>
          <w:p w14:paraId="102449BE" w14:textId="10054C4B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112/115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bottom"/>
          </w:tcPr>
          <w:p w14:paraId="09F90485" w14:textId="38668AC5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101/104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5B2156C" w14:textId="5002796C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48/49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BECB353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38/39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2A86CA4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25CA23A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5/6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bottom"/>
          </w:tcPr>
          <w:p w14:paraId="6D01051E" w14:textId="4BDE7114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11/11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D16DB61" w14:textId="5B51D263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9/9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0EB0F3A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2/2</w:t>
            </w:r>
          </w:p>
        </w:tc>
      </w:tr>
      <w:tr w:rsidR="00102B2E" w:rsidRPr="00AF761E" w14:paraId="1827E1EE" w14:textId="77777777" w:rsidTr="00102B2E">
        <w:trPr>
          <w:cantSplit/>
          <w:trHeight w:val="52"/>
        </w:trPr>
        <w:tc>
          <w:tcPr>
            <w:tcW w:w="10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6FF4E" w14:textId="77777777" w:rsidR="00102B2E" w:rsidRPr="00AF761E" w:rsidRDefault="00102B2E" w:rsidP="00102B2E">
            <w:pPr>
              <w:ind w:left="3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Thrombocytopenia diagnosis percent agreement, </w:t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% (95%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F761E">
              <w:rPr>
                <w:rFonts w:ascii="Arial" w:hAnsi="Arial" w:cs="Arial"/>
                <w:color w:val="000000"/>
                <w:sz w:val="18"/>
                <w:szCs w:val="18"/>
              </w:rPr>
              <w:t>CI)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bottom"/>
          </w:tcPr>
          <w:p w14:paraId="364C9EDC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98.3% </w:t>
            </w:r>
          </w:p>
          <w:p w14:paraId="064C6727" w14:textId="34771E96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(92.1–99.5%)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bottom"/>
          </w:tcPr>
          <w:p w14:paraId="78BCA363" w14:textId="50E68573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97.1% (91.3–99.4%)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2D3FE8" w14:textId="312F2574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98.0% </w:t>
            </w:r>
          </w:p>
          <w:p w14:paraId="08F99428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(88.0–100.0%) 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B57315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97.4% </w:t>
            </w:r>
          </w:p>
          <w:p w14:paraId="710CE170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(85.3–100.0%)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318CB6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100.0% </w:t>
            </w:r>
          </w:p>
          <w:p w14:paraId="05EFE1E3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(67.0–100.0%)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964AE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83.3% </w:t>
            </w:r>
          </w:p>
          <w:p w14:paraId="09584F4A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(41.0–99.0%)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bottom"/>
          </w:tcPr>
          <w:p w14:paraId="2FA4F398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100.0% </w:t>
            </w:r>
          </w:p>
          <w:p w14:paraId="16403B2F" w14:textId="6621D433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(69.9%–100.0%)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1BD04E" w14:textId="5B2E31FA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100.0% (64.6%–100.0%)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132F62" w14:textId="77777777" w:rsidR="00102B2E" w:rsidRPr="00AF761E" w:rsidRDefault="00102B2E" w:rsidP="00102B2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100.0% (28.2%–100.0%)</w:t>
            </w:r>
          </w:p>
        </w:tc>
      </w:tr>
    </w:tbl>
    <w:p w14:paraId="4D13182A" w14:textId="77777777" w:rsidR="003444DD" w:rsidRPr="00AF761E" w:rsidRDefault="003444DD" w:rsidP="003444DD">
      <w:pPr>
        <w:rPr>
          <w:rFonts w:ascii="Arial" w:hAnsi="Arial" w:cs="Arial"/>
          <w:sz w:val="20"/>
          <w:szCs w:val="20"/>
          <w:lang w:val="en-CA"/>
        </w:rPr>
      </w:pPr>
    </w:p>
    <w:p w14:paraId="7092DFA4" w14:textId="77777777" w:rsidR="003444DD" w:rsidRPr="00AF761E" w:rsidRDefault="003444DD" w:rsidP="003444DD">
      <w:pPr>
        <w:rPr>
          <w:rFonts w:ascii="Arial" w:hAnsi="Arial" w:cs="Arial"/>
          <w:sz w:val="16"/>
          <w:szCs w:val="16"/>
          <w:lang w:val="en-CA"/>
        </w:rPr>
      </w:pPr>
      <w:r w:rsidRPr="00AF761E">
        <w:rPr>
          <w:rFonts w:ascii="Arial" w:hAnsi="Arial" w:cs="Arial"/>
          <w:sz w:val="16"/>
          <w:szCs w:val="16"/>
        </w:rPr>
        <w:t>Acronyms:</w:t>
      </w:r>
      <w:r w:rsidRPr="00AF761E">
        <w:rPr>
          <w:rFonts w:ascii="Arial" w:hAnsi="Arial" w:cs="Arial"/>
          <w:b/>
          <w:bCs/>
          <w:sz w:val="16"/>
          <w:szCs w:val="16"/>
        </w:rPr>
        <w:t xml:space="preserve"> </w:t>
      </w:r>
      <w:r w:rsidRPr="00AF761E">
        <w:rPr>
          <w:rFonts w:ascii="Arial" w:hAnsi="Arial" w:cs="Arial"/>
          <w:sz w:val="16"/>
          <w:szCs w:val="16"/>
        </w:rPr>
        <w:t>95%</w:t>
      </w:r>
      <w:r>
        <w:rPr>
          <w:rFonts w:ascii="Arial" w:hAnsi="Arial" w:cs="Arial"/>
          <w:sz w:val="16"/>
          <w:szCs w:val="16"/>
        </w:rPr>
        <w:t xml:space="preserve"> </w:t>
      </w:r>
      <w:r w:rsidRPr="00AF761E">
        <w:rPr>
          <w:rFonts w:ascii="Arial" w:hAnsi="Arial" w:cs="Arial"/>
          <w:sz w:val="16"/>
          <w:szCs w:val="16"/>
        </w:rPr>
        <w:t xml:space="preserve">CI, 95% confidence interval; ICD-10-CM, International Classification of Diseases, Tenth Revision, Clinical Modification; </w:t>
      </w:r>
      <w:r w:rsidRPr="00AF761E">
        <w:rPr>
          <w:rFonts w:ascii="Arial" w:hAnsi="Arial" w:cs="Arial"/>
          <w:color w:val="000000"/>
          <w:sz w:val="16"/>
          <w:szCs w:val="16"/>
        </w:rPr>
        <w:t>μL, microliter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14:paraId="4D9A955B" w14:textId="77777777" w:rsidR="003444DD" w:rsidRPr="00AF761E" w:rsidRDefault="003444DD" w:rsidP="003444DD">
      <w:pPr>
        <w:rPr>
          <w:rFonts w:ascii="Arial" w:hAnsi="Arial" w:cs="Arial"/>
          <w:sz w:val="16"/>
          <w:szCs w:val="16"/>
        </w:rPr>
      </w:pPr>
      <w:r w:rsidRPr="00AF761E">
        <w:rPr>
          <w:rFonts w:ascii="Arial" w:hAnsi="Arial" w:cs="Arial"/>
          <w:sz w:val="20"/>
          <w:szCs w:val="20"/>
          <w:vertAlign w:val="superscript"/>
        </w:rPr>
        <w:lastRenderedPageBreak/>
        <w:t xml:space="preserve">a </w:t>
      </w:r>
      <w:r w:rsidRPr="00AF761E">
        <w:rPr>
          <w:rFonts w:ascii="Arial" w:hAnsi="Arial" w:cs="Arial"/>
          <w:sz w:val="16"/>
          <w:szCs w:val="16"/>
        </w:rPr>
        <w:t>Codes: I81, portal vein thrombosis; I82,890, acute embolism and thrombosis of other specified veins; I82.0</w:t>
      </w:r>
      <w:r>
        <w:rPr>
          <w:rFonts w:ascii="Arial" w:hAnsi="Arial" w:cs="Arial"/>
          <w:sz w:val="16"/>
          <w:szCs w:val="16"/>
        </w:rPr>
        <w:t>,</w:t>
      </w:r>
      <w:r w:rsidRPr="00AF761E">
        <w:rPr>
          <w:rFonts w:ascii="Arial" w:hAnsi="Arial" w:cs="Arial"/>
          <w:sz w:val="16"/>
          <w:szCs w:val="16"/>
        </w:rPr>
        <w:t xml:space="preserve"> Budd-Chiari syndrome; I82.3, embolism and thrombosis of renal vein; G08, intracranial and intraspinal phlebitis and thrombophlebitis; I67.6, nonpyogenic thrombosis of intracranial venous system</w:t>
      </w:r>
      <w:r>
        <w:rPr>
          <w:rFonts w:ascii="Arial" w:hAnsi="Arial" w:cs="Arial"/>
          <w:sz w:val="16"/>
          <w:szCs w:val="16"/>
        </w:rPr>
        <w:t>.</w:t>
      </w:r>
    </w:p>
    <w:p w14:paraId="3E60AAC9" w14:textId="77777777" w:rsidR="003444DD" w:rsidRPr="00AF761E" w:rsidRDefault="003444DD" w:rsidP="003444DD">
      <w:pPr>
        <w:rPr>
          <w:rFonts w:ascii="Arial" w:hAnsi="Arial" w:cs="Arial"/>
          <w:sz w:val="16"/>
          <w:szCs w:val="16"/>
        </w:rPr>
      </w:pPr>
      <w:r w:rsidRPr="00AF761E">
        <w:rPr>
          <w:rFonts w:ascii="Arial" w:hAnsi="Arial" w:cs="Arial"/>
          <w:sz w:val="20"/>
          <w:szCs w:val="20"/>
          <w:vertAlign w:val="superscript"/>
        </w:rPr>
        <w:t>b</w:t>
      </w:r>
      <w:r w:rsidRPr="00AF76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Thrombosis diagnoses</w:t>
      </w:r>
      <w:r w:rsidRPr="00AF761E">
        <w:rPr>
          <w:rFonts w:ascii="Arial" w:hAnsi="Arial" w:cs="Arial"/>
          <w:sz w:val="16"/>
          <w:szCs w:val="16"/>
        </w:rPr>
        <w:t xml:space="preserve"> were confirmed by </w:t>
      </w:r>
      <w:r>
        <w:rPr>
          <w:rFonts w:ascii="Arial" w:hAnsi="Arial" w:cs="Arial"/>
          <w:sz w:val="16"/>
          <w:szCs w:val="16"/>
        </w:rPr>
        <w:t xml:space="preserve">pathology or </w:t>
      </w:r>
      <w:r w:rsidRPr="00AF761E">
        <w:rPr>
          <w:rFonts w:ascii="Arial" w:hAnsi="Arial" w:cs="Arial"/>
          <w:sz w:val="16"/>
          <w:szCs w:val="16"/>
        </w:rPr>
        <w:t>imaging</w:t>
      </w:r>
      <w:r>
        <w:rPr>
          <w:rFonts w:ascii="Arial" w:hAnsi="Arial" w:cs="Arial"/>
          <w:sz w:val="16"/>
          <w:szCs w:val="16"/>
        </w:rPr>
        <w:t xml:space="preserve"> report</w:t>
      </w:r>
      <w:r w:rsidRPr="00AF761E">
        <w:rPr>
          <w:rFonts w:ascii="Arial" w:hAnsi="Arial" w:cs="Arial"/>
          <w:sz w:val="16"/>
          <w:szCs w:val="16"/>
        </w:rPr>
        <w:t>. Qualifying imaging reports within +/-14 days of the incident thrombosis diagnosis are ultrasound–Doppler, computed tomography (CT scan), magnetic resonance imaging (MRI) including magnetic resonance venography (MRV), perfusion V/Q scan, conventional angiography, or digital subtraction angiography. Imaging reports contain radiologist’s interpretation of imaging, as well as all clinical notes pertaining to the diagnosis.</w:t>
      </w:r>
    </w:p>
    <w:p w14:paraId="1D84BBFC" w14:textId="77777777" w:rsidR="003444DD" w:rsidRPr="00AF761E" w:rsidRDefault="003444DD" w:rsidP="003444DD">
      <w:pPr>
        <w:rPr>
          <w:rFonts w:ascii="Arial" w:hAnsi="Arial" w:cs="Arial"/>
          <w:sz w:val="16"/>
          <w:szCs w:val="16"/>
        </w:rPr>
      </w:pPr>
      <w:r w:rsidRPr="00AF761E">
        <w:rPr>
          <w:rFonts w:ascii="Arial" w:hAnsi="Arial" w:cs="Arial"/>
          <w:sz w:val="20"/>
          <w:szCs w:val="20"/>
          <w:vertAlign w:val="superscript"/>
        </w:rPr>
        <w:t>c</w:t>
      </w:r>
      <w:r w:rsidRPr="00AF761E">
        <w:rPr>
          <w:rFonts w:ascii="Arial" w:hAnsi="Arial" w:cs="Arial"/>
          <w:sz w:val="16"/>
          <w:szCs w:val="16"/>
        </w:rPr>
        <w:t xml:space="preserve"> Among patients with a qualifying imaging report, these patients had a confirmatory rule-out of any venous thrombosis.</w:t>
      </w:r>
    </w:p>
    <w:p w14:paraId="082C79A8" w14:textId="77777777" w:rsidR="003444DD" w:rsidRPr="00AF761E" w:rsidRDefault="003444DD" w:rsidP="003444DD">
      <w:pPr>
        <w:rPr>
          <w:rFonts w:ascii="Arial" w:hAnsi="Arial" w:cs="Arial"/>
          <w:sz w:val="16"/>
          <w:szCs w:val="16"/>
        </w:rPr>
      </w:pPr>
      <w:r w:rsidRPr="00AF761E">
        <w:rPr>
          <w:rFonts w:ascii="Arial" w:hAnsi="Arial" w:cs="Arial"/>
          <w:sz w:val="20"/>
          <w:szCs w:val="20"/>
          <w:vertAlign w:val="superscript"/>
        </w:rPr>
        <w:t>d</w:t>
      </w:r>
      <w:r w:rsidRPr="00AF761E">
        <w:rPr>
          <w:rFonts w:ascii="Arial" w:hAnsi="Arial" w:cs="Arial"/>
          <w:sz w:val="16"/>
          <w:szCs w:val="16"/>
        </w:rPr>
        <w:t xml:space="preserve"> Among patients with a qualifying imaging report, these patients had a confirmatory diagnosis of other non-intraabdominal, non-intracranial venous thrombosis.</w:t>
      </w:r>
    </w:p>
    <w:p w14:paraId="2D43E3F8" w14:textId="77777777" w:rsidR="003444DD" w:rsidRPr="00AF761E" w:rsidRDefault="003444DD" w:rsidP="003444DD">
      <w:pPr>
        <w:rPr>
          <w:rFonts w:ascii="Arial" w:hAnsi="Arial" w:cs="Arial"/>
          <w:sz w:val="16"/>
          <w:szCs w:val="16"/>
        </w:rPr>
      </w:pPr>
      <w:r w:rsidRPr="00AF761E">
        <w:rPr>
          <w:rFonts w:ascii="Arial" w:hAnsi="Arial" w:cs="Arial"/>
          <w:sz w:val="20"/>
          <w:szCs w:val="20"/>
          <w:vertAlign w:val="superscript"/>
        </w:rPr>
        <w:t>e</w:t>
      </w:r>
      <w:r w:rsidRPr="00AF761E">
        <w:rPr>
          <w:rFonts w:ascii="Arial" w:hAnsi="Arial" w:cs="Arial"/>
          <w:sz w:val="16"/>
          <w:szCs w:val="16"/>
        </w:rPr>
        <w:t xml:space="preserve"> Thrombocytopenia diagnoses were confirmed by a platelet count &lt;150,000/μL. This requires at least one interpretable platelet count laboratory test result within +/-14 days of the incident thrombocytopenia diagnosis.</w:t>
      </w:r>
    </w:p>
    <w:p w14:paraId="208D74F1" w14:textId="77777777" w:rsidR="003444DD" w:rsidRPr="00AF761E" w:rsidRDefault="003444DD" w:rsidP="003444DD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p w14:paraId="6DCBFED7" w14:textId="77777777" w:rsidR="003444DD" w:rsidRPr="00450DD3" w:rsidRDefault="003444DD" w:rsidP="003444DD">
      <w:pPr>
        <w:rPr>
          <w:rFonts w:ascii="Arial" w:eastAsiaTheme="minorHAnsi" w:hAnsi="Arial" w:cs="Arial"/>
          <w:sz w:val="20"/>
          <w:szCs w:val="20"/>
        </w:rPr>
      </w:pPr>
    </w:p>
    <w:p w14:paraId="1C3E8761" w14:textId="77777777" w:rsidR="003444DD" w:rsidRDefault="003444DD">
      <w:pPr>
        <w:sectPr w:rsidR="003444DD" w:rsidSect="007B5CE2">
          <w:footnotePr>
            <w:numFmt w:val="lowerRoman"/>
          </w:footnotePr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14:paraId="27E41F61" w14:textId="43548351" w:rsidR="003444DD" w:rsidRPr="00D23C26" w:rsidRDefault="003444DD">
      <w:pPr>
        <w:rPr>
          <w:rFonts w:ascii="Arial" w:hAnsi="Arial" w:cs="Arial"/>
          <w:b/>
          <w:bCs/>
          <w:sz w:val="32"/>
          <w:szCs w:val="32"/>
        </w:rPr>
      </w:pPr>
      <w:r w:rsidRPr="00D23C26">
        <w:rPr>
          <w:rFonts w:ascii="Arial" w:hAnsi="Arial" w:cs="Arial"/>
          <w:b/>
          <w:bCs/>
          <w:sz w:val="32"/>
          <w:szCs w:val="32"/>
        </w:rPr>
        <w:lastRenderedPageBreak/>
        <w:t>References</w:t>
      </w:r>
    </w:p>
    <w:p w14:paraId="4634CCB7" w14:textId="77777777" w:rsidR="003444DD" w:rsidRPr="00D23C26" w:rsidRDefault="003444DD">
      <w:pPr>
        <w:rPr>
          <w:rFonts w:ascii="Arial" w:hAnsi="Arial" w:cs="Arial"/>
          <w:sz w:val="20"/>
          <w:szCs w:val="20"/>
        </w:rPr>
      </w:pPr>
    </w:p>
    <w:p w14:paraId="7C1C48E6" w14:textId="77777777" w:rsidR="003444DD" w:rsidRPr="00D23C26" w:rsidRDefault="003444DD" w:rsidP="003444DD">
      <w:pPr>
        <w:pStyle w:val="EndNoteBibliography"/>
        <w:rPr>
          <w:rFonts w:ascii="Arial" w:hAnsi="Arial" w:cs="Arial"/>
          <w:noProof/>
          <w:sz w:val="20"/>
          <w:szCs w:val="20"/>
        </w:rPr>
      </w:pPr>
      <w:r w:rsidRPr="00D23C26">
        <w:rPr>
          <w:rFonts w:ascii="Arial" w:hAnsi="Arial" w:cs="Arial"/>
          <w:sz w:val="20"/>
          <w:szCs w:val="20"/>
        </w:rPr>
        <w:fldChar w:fldCharType="begin"/>
      </w:r>
      <w:r w:rsidRPr="00D23C26">
        <w:rPr>
          <w:rFonts w:ascii="Arial" w:hAnsi="Arial" w:cs="Arial"/>
          <w:sz w:val="20"/>
          <w:szCs w:val="20"/>
        </w:rPr>
        <w:instrText xml:space="preserve"> ADDIN EN.REFLIST </w:instrText>
      </w:r>
      <w:r w:rsidRPr="00D23C26">
        <w:rPr>
          <w:rFonts w:ascii="Arial" w:hAnsi="Arial" w:cs="Arial"/>
          <w:sz w:val="20"/>
          <w:szCs w:val="20"/>
        </w:rPr>
        <w:fldChar w:fldCharType="separate"/>
      </w:r>
      <w:r w:rsidRPr="00D23C26">
        <w:rPr>
          <w:rFonts w:ascii="Arial" w:hAnsi="Arial" w:cs="Arial"/>
          <w:noProof/>
          <w:sz w:val="20"/>
          <w:szCs w:val="20"/>
        </w:rPr>
        <w:t>1.</w:t>
      </w:r>
      <w:r w:rsidRPr="00D23C26">
        <w:rPr>
          <w:rFonts w:ascii="Arial" w:hAnsi="Arial" w:cs="Arial"/>
          <w:noProof/>
          <w:sz w:val="20"/>
          <w:szCs w:val="20"/>
        </w:rPr>
        <w:tab/>
        <w:t xml:space="preserve">Handley JD, Emsley HC. Validation of ICD-10 codes shows intracranial venous thrombosis incidence to be higher than previously reported. </w:t>
      </w:r>
      <w:r w:rsidRPr="00D23C26">
        <w:rPr>
          <w:rFonts w:ascii="Arial" w:hAnsi="Arial" w:cs="Arial"/>
          <w:i/>
          <w:noProof/>
          <w:sz w:val="20"/>
          <w:szCs w:val="20"/>
        </w:rPr>
        <w:t>Health Inf Manag</w:t>
      </w:r>
      <w:r w:rsidRPr="00D23C26">
        <w:rPr>
          <w:rFonts w:ascii="Arial" w:hAnsi="Arial" w:cs="Arial"/>
          <w:noProof/>
          <w:sz w:val="20"/>
          <w:szCs w:val="20"/>
        </w:rPr>
        <w:t>. Jan 2020;49(1):58-61. doi:10.1177/1833358318819105</w:t>
      </w:r>
    </w:p>
    <w:p w14:paraId="6D77116F" w14:textId="77777777" w:rsidR="003444DD" w:rsidRPr="00D23C26" w:rsidRDefault="003444DD" w:rsidP="003444DD">
      <w:pPr>
        <w:pStyle w:val="EndNoteBibliography"/>
        <w:rPr>
          <w:rFonts w:ascii="Arial" w:hAnsi="Arial" w:cs="Arial"/>
          <w:noProof/>
          <w:sz w:val="20"/>
          <w:szCs w:val="20"/>
        </w:rPr>
      </w:pPr>
      <w:r w:rsidRPr="00D23C26">
        <w:rPr>
          <w:rFonts w:ascii="Arial" w:hAnsi="Arial" w:cs="Arial"/>
          <w:noProof/>
          <w:sz w:val="20"/>
          <w:szCs w:val="20"/>
        </w:rPr>
        <w:t>2.</w:t>
      </w:r>
      <w:r w:rsidRPr="00D23C26">
        <w:rPr>
          <w:rFonts w:ascii="Arial" w:hAnsi="Arial" w:cs="Arial"/>
          <w:noProof/>
          <w:sz w:val="20"/>
          <w:szCs w:val="20"/>
        </w:rPr>
        <w:tab/>
        <w:t xml:space="preserve">Liberman AL, Kamel H, Mullen MT, Messé SR. International Classification of Diseases, Ninth Revision (ICD-9) Diagnosis Codes Can Identify Cerebral Venous Thrombosis in Hospitalized Adults. </w:t>
      </w:r>
      <w:r w:rsidRPr="00D23C26">
        <w:rPr>
          <w:rFonts w:ascii="Arial" w:hAnsi="Arial" w:cs="Arial"/>
          <w:i/>
          <w:noProof/>
          <w:sz w:val="20"/>
          <w:szCs w:val="20"/>
        </w:rPr>
        <w:t>Neurohospitalist</w:t>
      </w:r>
      <w:r w:rsidRPr="00D23C26">
        <w:rPr>
          <w:rFonts w:ascii="Arial" w:hAnsi="Arial" w:cs="Arial"/>
          <w:noProof/>
          <w:sz w:val="20"/>
          <w:szCs w:val="20"/>
        </w:rPr>
        <w:t>. Oct 2016;6(4):147-150. doi:10.1177/1941874416648198</w:t>
      </w:r>
    </w:p>
    <w:p w14:paraId="2A77DC94" w14:textId="77777777" w:rsidR="003444DD" w:rsidRPr="00D23C26" w:rsidRDefault="003444DD" w:rsidP="003444DD">
      <w:pPr>
        <w:pStyle w:val="EndNoteBibliography"/>
        <w:rPr>
          <w:rFonts w:ascii="Arial" w:hAnsi="Arial" w:cs="Arial"/>
          <w:noProof/>
          <w:sz w:val="20"/>
          <w:szCs w:val="20"/>
        </w:rPr>
      </w:pPr>
      <w:r w:rsidRPr="00D23C26">
        <w:rPr>
          <w:rFonts w:ascii="Arial" w:hAnsi="Arial" w:cs="Arial"/>
          <w:noProof/>
          <w:sz w:val="20"/>
          <w:szCs w:val="20"/>
        </w:rPr>
        <w:t>3.</w:t>
      </w:r>
      <w:r w:rsidRPr="00D23C26">
        <w:rPr>
          <w:rFonts w:ascii="Arial" w:hAnsi="Arial" w:cs="Arial"/>
          <w:noProof/>
          <w:sz w:val="20"/>
          <w:szCs w:val="20"/>
        </w:rPr>
        <w:tab/>
        <w:t xml:space="preserve">McKeigue PM, Burgul R, Bishop J, et al. Association of cerebral venous thrombosis with recent COVID-19 vaccination: case-crossover study using ascertainment through neuroimaging in Scotland. </w:t>
      </w:r>
      <w:r w:rsidRPr="00D23C26">
        <w:rPr>
          <w:rFonts w:ascii="Arial" w:hAnsi="Arial" w:cs="Arial"/>
          <w:i/>
          <w:noProof/>
          <w:sz w:val="20"/>
          <w:szCs w:val="20"/>
        </w:rPr>
        <w:t>BMC Infectious Diseases</w:t>
      </w:r>
      <w:r w:rsidRPr="00D23C26">
        <w:rPr>
          <w:rFonts w:ascii="Arial" w:hAnsi="Arial" w:cs="Arial"/>
          <w:noProof/>
          <w:sz w:val="20"/>
          <w:szCs w:val="20"/>
        </w:rPr>
        <w:t>. 2021/12/20 2021;21(1):1275. doi:10.1186/s12879-021-06960-5</w:t>
      </w:r>
    </w:p>
    <w:p w14:paraId="1CE516C1" w14:textId="77777777" w:rsidR="003444DD" w:rsidRPr="00D23C26" w:rsidRDefault="003444DD" w:rsidP="003444DD">
      <w:pPr>
        <w:pStyle w:val="EndNoteBibliography"/>
        <w:rPr>
          <w:rFonts w:ascii="Arial" w:hAnsi="Arial" w:cs="Arial"/>
          <w:noProof/>
          <w:sz w:val="20"/>
          <w:szCs w:val="20"/>
        </w:rPr>
      </w:pPr>
      <w:r w:rsidRPr="00D23C26">
        <w:rPr>
          <w:rFonts w:ascii="Arial" w:hAnsi="Arial" w:cs="Arial"/>
          <w:noProof/>
          <w:sz w:val="20"/>
          <w:szCs w:val="20"/>
        </w:rPr>
        <w:t>4.</w:t>
      </w:r>
      <w:r w:rsidRPr="00D23C26">
        <w:rPr>
          <w:rFonts w:ascii="Arial" w:hAnsi="Arial" w:cs="Arial"/>
          <w:noProof/>
          <w:sz w:val="20"/>
          <w:szCs w:val="20"/>
        </w:rPr>
        <w:tab/>
        <w:t xml:space="preserve">Pottegård A, Lund LC, Karlstad Ø, et al. Arterial events, venous thromboembolism, thrombocytopenia, and bleeding after vaccination with Oxford-AstraZeneca ChAdOx1-S in Denmark and Norway: population based cohort study. </w:t>
      </w:r>
      <w:r w:rsidRPr="00D23C26">
        <w:rPr>
          <w:rFonts w:ascii="Arial" w:hAnsi="Arial" w:cs="Arial"/>
          <w:i/>
          <w:noProof/>
          <w:sz w:val="20"/>
          <w:szCs w:val="20"/>
        </w:rPr>
        <w:t>BMJ</w:t>
      </w:r>
      <w:r w:rsidRPr="00D23C26">
        <w:rPr>
          <w:rFonts w:ascii="Arial" w:hAnsi="Arial" w:cs="Arial"/>
          <w:noProof/>
          <w:sz w:val="20"/>
          <w:szCs w:val="20"/>
        </w:rPr>
        <w:t>. 2021;373:n1114. doi:10.1136/bmj.n1114</w:t>
      </w:r>
    </w:p>
    <w:p w14:paraId="02EE2D54" w14:textId="7E78E107" w:rsidR="003444DD" w:rsidRPr="00D23C26" w:rsidRDefault="003444DD" w:rsidP="003444DD">
      <w:pPr>
        <w:pStyle w:val="EndNoteBibliography"/>
        <w:rPr>
          <w:rFonts w:ascii="Arial" w:hAnsi="Arial" w:cs="Arial"/>
          <w:noProof/>
          <w:sz w:val="20"/>
          <w:szCs w:val="20"/>
        </w:rPr>
      </w:pPr>
      <w:r w:rsidRPr="00D23C26">
        <w:rPr>
          <w:rFonts w:ascii="Arial" w:hAnsi="Arial" w:cs="Arial"/>
          <w:noProof/>
          <w:sz w:val="20"/>
          <w:szCs w:val="20"/>
        </w:rPr>
        <w:t>5.</w:t>
      </w:r>
      <w:r w:rsidRPr="00D23C26">
        <w:rPr>
          <w:rFonts w:ascii="Arial" w:hAnsi="Arial" w:cs="Arial"/>
          <w:noProof/>
          <w:sz w:val="20"/>
          <w:szCs w:val="20"/>
        </w:rPr>
        <w:tab/>
        <w:t xml:space="preserve">Prieto-Alhambra D, Burn E. </w:t>
      </w:r>
      <w:r w:rsidRPr="00D23C26">
        <w:rPr>
          <w:rFonts w:ascii="Arial" w:hAnsi="Arial" w:cs="Arial"/>
          <w:i/>
          <w:noProof/>
          <w:sz w:val="20"/>
          <w:szCs w:val="20"/>
        </w:rPr>
        <w:t>Natural history of coagulopathy and use of anti-thrombotic agents in COVID-19 patients and persons vaccinated against SARS-CoV-2</w:t>
      </w:r>
      <w:r w:rsidRPr="00D23C26">
        <w:rPr>
          <w:rFonts w:ascii="Arial" w:hAnsi="Arial" w:cs="Arial"/>
          <w:noProof/>
          <w:sz w:val="20"/>
          <w:szCs w:val="20"/>
        </w:rPr>
        <w:t xml:space="preserve">. Vol. 1.0. 2021. April 29, 2021. </w:t>
      </w:r>
      <w:hyperlink r:id="rId17" w:history="1">
        <w:r w:rsidRPr="00D23C26">
          <w:rPr>
            <w:rStyle w:val="Hyperlink"/>
            <w:rFonts w:ascii="Arial" w:hAnsi="Arial" w:cs="Arial"/>
            <w:noProof/>
            <w:sz w:val="20"/>
            <w:szCs w:val="20"/>
          </w:rPr>
          <w:t>http://www.encepp.eu/documents/BACKGROUNDRATESOFEVENTSOFINTEREST.pdf</w:t>
        </w:r>
      </w:hyperlink>
    </w:p>
    <w:p w14:paraId="273B12CE" w14:textId="61FB5B65" w:rsidR="000657D2" w:rsidRPr="00D23C26" w:rsidRDefault="003444DD">
      <w:pPr>
        <w:rPr>
          <w:rFonts w:ascii="Arial" w:hAnsi="Arial" w:cs="Arial"/>
          <w:sz w:val="20"/>
          <w:szCs w:val="20"/>
        </w:rPr>
      </w:pPr>
      <w:r w:rsidRPr="00D23C26">
        <w:rPr>
          <w:rFonts w:ascii="Arial" w:hAnsi="Arial" w:cs="Arial"/>
          <w:sz w:val="20"/>
          <w:szCs w:val="20"/>
        </w:rPr>
        <w:fldChar w:fldCharType="end"/>
      </w:r>
    </w:p>
    <w:sectPr w:rsidR="000657D2" w:rsidRPr="00D23C26" w:rsidSect="003444DD">
      <w:footnotePr>
        <w:numFmt w:val="lowerRoman"/>
      </w:foot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7EE2" w14:textId="77777777" w:rsidR="00B8538F" w:rsidRDefault="00B8538F" w:rsidP="003444DD">
      <w:r>
        <w:separator/>
      </w:r>
    </w:p>
  </w:endnote>
  <w:endnote w:type="continuationSeparator" w:id="0">
    <w:p w14:paraId="0D6B6F0B" w14:textId="77777777" w:rsidR="00B8538F" w:rsidRDefault="00B8538F" w:rsidP="0034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37FC" w14:textId="77777777" w:rsidR="006B152B" w:rsidRDefault="006B15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FBF2" w14:textId="5BA53A79" w:rsidR="00674F3B" w:rsidRDefault="00674F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C11B48" wp14:editId="460312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37e74bd4b20ab7d14ae4986b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A1E872" w14:textId="24B14379" w:rsidR="00674F3B" w:rsidRPr="006B152B" w:rsidRDefault="006B152B" w:rsidP="006B152B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B152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11B48" id="_x0000_t202" coordsize="21600,21600" o:spt="202" path="m,l,21600r21600,l21600,xe">
              <v:stroke joinstyle="miter"/>
              <v:path gradientshapeok="t" o:connecttype="rect"/>
            </v:shapetype>
            <v:shape id="MSIPCM37e74bd4b20ab7d14ae4986b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textbox inset="20pt,0,,0">
                <w:txbxContent>
                  <w:p w14:paraId="5BA1E872" w14:textId="24B14379" w:rsidR="00674F3B" w:rsidRPr="006B152B" w:rsidRDefault="006B152B" w:rsidP="006B152B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B152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0479" w14:textId="77777777" w:rsidR="006B152B" w:rsidRDefault="006B1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7ED2" w14:textId="77777777" w:rsidR="00B8538F" w:rsidRDefault="00B8538F" w:rsidP="003444DD">
      <w:r>
        <w:separator/>
      </w:r>
    </w:p>
  </w:footnote>
  <w:footnote w:type="continuationSeparator" w:id="0">
    <w:p w14:paraId="76153B74" w14:textId="77777777" w:rsidR="00B8538F" w:rsidRDefault="00B8538F" w:rsidP="0034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E912" w14:textId="77777777" w:rsidR="006B152B" w:rsidRDefault="006B1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5255" w14:textId="77777777" w:rsidR="006B152B" w:rsidRDefault="006B15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2E92" w14:textId="77777777" w:rsidR="006B152B" w:rsidRDefault="006B1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E040B"/>
    <w:multiLevelType w:val="hybridMultilevel"/>
    <w:tmpl w:val="F806B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744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z5pd20sv5vrlea5ryvwr5ap0w0rrs0pw9r&quot;&gt;FDA BEST&lt;record-ids&gt;&lt;item&gt;2&lt;/item&gt;&lt;item&gt;10&lt;/item&gt;&lt;item&gt;11&lt;/item&gt;&lt;item&gt;14&lt;/item&gt;&lt;item&gt;15&lt;/item&gt;&lt;/record-ids&gt;&lt;/item&gt;&lt;/Libraries&gt;"/>
  </w:docVars>
  <w:rsids>
    <w:rsidRoot w:val="003444DD"/>
    <w:rsid w:val="000657D2"/>
    <w:rsid w:val="00065C36"/>
    <w:rsid w:val="00102B2E"/>
    <w:rsid w:val="0012127B"/>
    <w:rsid w:val="00170A64"/>
    <w:rsid w:val="00172A58"/>
    <w:rsid w:val="0018660B"/>
    <w:rsid w:val="001977E4"/>
    <w:rsid w:val="001E5524"/>
    <w:rsid w:val="00294849"/>
    <w:rsid w:val="002B05A2"/>
    <w:rsid w:val="003051C0"/>
    <w:rsid w:val="00322ECF"/>
    <w:rsid w:val="003444DD"/>
    <w:rsid w:val="00471447"/>
    <w:rsid w:val="00481BC4"/>
    <w:rsid w:val="004A3CE7"/>
    <w:rsid w:val="004B1269"/>
    <w:rsid w:val="005027C5"/>
    <w:rsid w:val="0052401F"/>
    <w:rsid w:val="00616A94"/>
    <w:rsid w:val="00674F3B"/>
    <w:rsid w:val="006B152B"/>
    <w:rsid w:val="006F7921"/>
    <w:rsid w:val="007844BF"/>
    <w:rsid w:val="007B5CE2"/>
    <w:rsid w:val="00817D7E"/>
    <w:rsid w:val="008434B4"/>
    <w:rsid w:val="00852BE6"/>
    <w:rsid w:val="00882077"/>
    <w:rsid w:val="008D2F56"/>
    <w:rsid w:val="0094594B"/>
    <w:rsid w:val="009460E5"/>
    <w:rsid w:val="00992CE3"/>
    <w:rsid w:val="00A26929"/>
    <w:rsid w:val="00A46C44"/>
    <w:rsid w:val="00A57B75"/>
    <w:rsid w:val="00AA7BC5"/>
    <w:rsid w:val="00AE2891"/>
    <w:rsid w:val="00B53DD9"/>
    <w:rsid w:val="00B8538F"/>
    <w:rsid w:val="00B90453"/>
    <w:rsid w:val="00BA6227"/>
    <w:rsid w:val="00C9400C"/>
    <w:rsid w:val="00D1159F"/>
    <w:rsid w:val="00D23C26"/>
    <w:rsid w:val="00D822C4"/>
    <w:rsid w:val="00D94610"/>
    <w:rsid w:val="00DC1038"/>
    <w:rsid w:val="00E14ACA"/>
    <w:rsid w:val="00E50C7B"/>
    <w:rsid w:val="00F42A81"/>
    <w:rsid w:val="00F63461"/>
    <w:rsid w:val="00F7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B18E8"/>
  <w15:docId w15:val="{9415AED7-AB3A-5445-8292-5814D639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DD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444D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44DD"/>
    <w:rPr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3444DD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3444DD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3444DD"/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444DD"/>
  </w:style>
  <w:style w:type="character" w:customStyle="1" w:styleId="EndNoteBibliographyChar">
    <w:name w:val="EndNote Bibliography Char"/>
    <w:basedOn w:val="DefaultParagraphFont"/>
    <w:link w:val="EndNoteBibliography"/>
    <w:rsid w:val="003444DD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44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4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D82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2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2C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92CE3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170A64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0A64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F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F3B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4F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F3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encepp.eu/documents/BACKGROUNDRATESOFEVENTSOFINTEREST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8B9E687616D48AEA7AB1C35E267D3" ma:contentTypeVersion="13" ma:contentTypeDescription="Create a new document." ma:contentTypeScope="" ma:versionID="55d48079159c62ed231c62fb246b65e3">
  <xsd:schema xmlns:xsd="http://www.w3.org/2001/XMLSchema" xmlns:xs="http://www.w3.org/2001/XMLSchema" xmlns:p="http://schemas.microsoft.com/office/2006/metadata/properties" xmlns:ns2="317d3692-19ad-414c-b223-855b1adfa3b4" xmlns:ns3="55806e25-2472-48df-91f5-2c650834f9f6" xmlns:ns4="20867c8d-1cc9-4acd-a073-94634f6a764f" targetNamespace="http://schemas.microsoft.com/office/2006/metadata/properties" ma:root="true" ma:fieldsID="fe283abeb31771c07c5df1742a2d08ef" ns2:_="" ns3:_="" ns4:_="">
    <xsd:import namespace="317d3692-19ad-414c-b223-855b1adfa3b4"/>
    <xsd:import namespace="55806e25-2472-48df-91f5-2c650834f9f6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3692-19ad-414c-b223-855b1adfa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6e25-2472-48df-91f5-2c650834f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a47739-1692-411c-8ed1-83c7a15ba46c}" ma:internalName="TaxCatchAll" ma:showField="CatchAllData" ma:web="55806e25-2472-48df-91f5-2c650834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67c8d-1cc9-4acd-a073-94634f6a764f" xsi:nil="true"/>
    <lcf76f155ced4ddcb4097134ff3c332f xmlns="317d3692-19ad-414c-b223-855b1adfa3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7727AA-10B4-3941-8390-995E0C3D4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4FF8B-ED24-48FE-AA14-70FD84226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814C1-44B0-4E0E-8298-82A085E67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d3692-19ad-414c-b223-855b1adfa3b4"/>
    <ds:schemaRef ds:uri="55806e25-2472-48df-91f5-2c650834f9f6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382A9-1E7E-4B86-82CF-328E36C5A75B}">
  <ds:schemaRefs>
    <ds:schemaRef ds:uri="http://schemas.microsoft.com/office/2006/metadata/properties"/>
    <ds:schemaRef ds:uri="http://schemas.microsoft.com/office/infopath/2007/PartnerControls"/>
    <ds:schemaRef ds:uri="20867c8d-1cc9-4acd-a073-94634f6a764f"/>
    <ds:schemaRef ds:uri="317d3692-19ad-414c-b223-855b1adfa3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5458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Saunders-Hastings, Patrick</dc:creator>
  <cp:keywords/>
  <dc:description/>
  <cp:lastModifiedBy>Olliver, Tania</cp:lastModifiedBy>
  <cp:revision>2</cp:revision>
  <dcterms:created xsi:type="dcterms:W3CDTF">2023-06-03T04:25:00Z</dcterms:created>
  <dcterms:modified xsi:type="dcterms:W3CDTF">2023-06-03T04:25:00Z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0x010100EEB8B9E687616D48AEA7AB1C35E267D3</vt:lpwstr>
  </property>
  <property fmtid="{D5CDD505-2E9C-101B-9397-08002B2CF9AE}" pid="3" name="MediaServiceImageTags">
    <vt:lpwstr/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2023-06-03T04:25:43Z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57b2df9d-870c-47ac-89d5-71d2afcfd994</vt:lpwstr>
  </property>
  <property fmtid="{D5CDD505-2E9C-101B-9397-08002B2CF9AE}" pid="10" name="MSIP_Label_2bbab825-a111-45e4-86a1-18cee0005896_ContentBits">
    <vt:lpwstr>2</vt:lpwstr>
  </property>
</Properties>
</file>