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0B" w:rsidRDefault="001D196A" w:rsidP="001D196A">
      <w:pPr>
        <w:spacing w:line="480" w:lineRule="auto"/>
        <w:rPr>
          <w:rFonts w:ascii="Arial" w:hAnsi="Arial" w:cs="Arial"/>
          <w:b/>
          <w:sz w:val="24"/>
        </w:rPr>
      </w:pPr>
      <w:r w:rsidRPr="001D196A">
        <w:rPr>
          <w:rFonts w:ascii="Arial" w:hAnsi="Arial" w:cs="Arial"/>
          <w:b/>
          <w:sz w:val="24"/>
        </w:rPr>
        <w:t>Supplementary Material</w:t>
      </w:r>
      <w:r w:rsidR="00BF5C47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:</w:t>
      </w:r>
    </w:p>
    <w:p w:rsidR="001D196A" w:rsidRDefault="001D196A" w:rsidP="001D196A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C92B81">
        <w:rPr>
          <w:rFonts w:ascii="Arial" w:hAnsi="Arial" w:cs="Arial"/>
          <w:b/>
          <w:sz w:val="20"/>
          <w:szCs w:val="20"/>
        </w:rPr>
        <w:t xml:space="preserve">Fig. S1 Chemoresistance of small cell lung cancer cells. </w:t>
      </w:r>
      <w:r w:rsidRPr="00C74B29">
        <w:rPr>
          <w:rFonts w:ascii="Arial" w:hAnsi="Arial" w:cs="Arial"/>
          <w:bCs/>
          <w:sz w:val="20"/>
          <w:szCs w:val="20"/>
        </w:rPr>
        <w:t>(</w:t>
      </w:r>
      <w:r w:rsidRPr="00C92B81">
        <w:rPr>
          <w:rFonts w:ascii="Arial" w:hAnsi="Arial" w:cs="Arial"/>
          <w:bCs/>
          <w:sz w:val="20"/>
          <w:szCs w:val="20"/>
        </w:rPr>
        <w:t>A-C</w:t>
      </w:r>
      <w:r>
        <w:rPr>
          <w:rFonts w:ascii="Arial" w:hAnsi="Arial" w:cs="Arial"/>
          <w:bCs/>
          <w:sz w:val="20"/>
          <w:szCs w:val="20"/>
        </w:rPr>
        <w:t>)</w:t>
      </w:r>
      <w:r w:rsidRPr="00C92B81">
        <w:rPr>
          <w:rFonts w:ascii="Arial" w:hAnsi="Arial" w:cs="Arial"/>
          <w:b/>
          <w:sz w:val="20"/>
          <w:szCs w:val="20"/>
        </w:rPr>
        <w:t xml:space="preserve"> </w:t>
      </w:r>
      <w:r w:rsidRPr="00C92B81">
        <w:rPr>
          <w:rFonts w:ascii="Arial" w:hAnsi="Arial" w:cs="Arial"/>
          <w:bCs/>
          <w:sz w:val="20"/>
          <w:szCs w:val="20"/>
        </w:rPr>
        <w:t>Chemoresistance curves of SCLC cells to DDP (A), ADM (B)</w:t>
      </w:r>
      <w:r>
        <w:rPr>
          <w:rFonts w:ascii="Arial" w:hAnsi="Arial" w:cs="Arial"/>
          <w:bCs/>
          <w:sz w:val="20"/>
          <w:szCs w:val="20"/>
        </w:rPr>
        <w:t>,</w:t>
      </w:r>
      <w:r w:rsidRPr="00C92B81">
        <w:rPr>
          <w:rFonts w:ascii="Arial" w:hAnsi="Arial" w:cs="Arial"/>
          <w:bCs/>
          <w:sz w:val="20"/>
          <w:szCs w:val="20"/>
        </w:rPr>
        <w:t xml:space="preserve"> and VP-16 (C) </w:t>
      </w:r>
      <w:r>
        <w:rPr>
          <w:rFonts w:ascii="Arial" w:hAnsi="Arial" w:cs="Arial"/>
          <w:bCs/>
          <w:sz w:val="20"/>
          <w:szCs w:val="20"/>
        </w:rPr>
        <w:t>were</w:t>
      </w:r>
      <w:r w:rsidRPr="00C92B81">
        <w:rPr>
          <w:rFonts w:ascii="Arial" w:hAnsi="Arial" w:cs="Arial"/>
          <w:bCs/>
          <w:sz w:val="20"/>
          <w:szCs w:val="20"/>
        </w:rPr>
        <w:t xml:space="preserve"> calculated by the relative cell survival rates (%) of the drugs over the no</w:t>
      </w:r>
      <w:r>
        <w:rPr>
          <w:rFonts w:ascii="Arial" w:hAnsi="Arial" w:cs="Arial"/>
          <w:bCs/>
          <w:sz w:val="20"/>
          <w:szCs w:val="20"/>
        </w:rPr>
        <w:t>-</w:t>
      </w:r>
      <w:r w:rsidRPr="00C92B81">
        <w:rPr>
          <w:rFonts w:ascii="Arial" w:hAnsi="Arial" w:cs="Arial"/>
          <w:bCs/>
          <w:sz w:val="20"/>
          <w:szCs w:val="20"/>
        </w:rPr>
        <w:t xml:space="preserve">drug control group. </w:t>
      </w:r>
      <w:r>
        <w:rPr>
          <w:rFonts w:ascii="Arial" w:hAnsi="Arial" w:cs="Arial"/>
          <w:bCs/>
          <w:sz w:val="20"/>
          <w:szCs w:val="20"/>
        </w:rPr>
        <w:t>(D</w:t>
      </w:r>
      <w:r w:rsidRPr="00C92B81">
        <w:rPr>
          <w:rFonts w:ascii="Arial" w:hAnsi="Arial" w:cs="Arial"/>
          <w:bCs/>
          <w:sz w:val="20"/>
          <w:szCs w:val="20"/>
        </w:rPr>
        <w:t xml:space="preserve">) IC50 values ​​of </w:t>
      </w:r>
      <w:r>
        <w:rPr>
          <w:rFonts w:ascii="Arial" w:hAnsi="Arial" w:cs="Arial"/>
          <w:bCs/>
          <w:sz w:val="20"/>
          <w:szCs w:val="20"/>
        </w:rPr>
        <w:t>six</w:t>
      </w:r>
      <w:r w:rsidRPr="00C92B81">
        <w:rPr>
          <w:rFonts w:ascii="Arial" w:hAnsi="Arial" w:cs="Arial"/>
          <w:bCs/>
          <w:sz w:val="20"/>
          <w:szCs w:val="20"/>
        </w:rPr>
        <w:t xml:space="preserve"> small cell lung cancer cells against </w:t>
      </w:r>
      <w:r w:rsidR="00D812ED">
        <w:rPr>
          <w:rFonts w:ascii="Arial" w:hAnsi="Arial" w:cs="Arial"/>
          <w:bCs/>
          <w:sz w:val="20"/>
          <w:szCs w:val="20"/>
        </w:rPr>
        <w:t>three</w:t>
      </w:r>
      <w:r w:rsidRPr="00C92B81">
        <w:rPr>
          <w:rFonts w:ascii="Arial" w:hAnsi="Arial" w:cs="Arial"/>
          <w:bCs/>
          <w:sz w:val="20"/>
          <w:szCs w:val="20"/>
        </w:rPr>
        <w:t xml:space="preserve"> chemotherapeutic drugs.</w:t>
      </w:r>
    </w:p>
    <w:p w:rsidR="001D196A" w:rsidRDefault="00B664D8" w:rsidP="001D196A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1D196A">
        <w:rPr>
          <w:b/>
          <w:noProof/>
        </w:rPr>
        <w:drawing>
          <wp:inline distT="0" distB="0" distL="0" distR="0" wp14:anchorId="06296DEA" wp14:editId="7E6A584F">
            <wp:extent cx="5274310" cy="3063240"/>
            <wp:effectExtent l="0" t="0" r="2540" b="3810"/>
            <wp:docPr id="1" name="图片 1" descr="F:\新建文件夹\RGB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新建文件夹\RGB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96A" w:rsidRDefault="001D196A" w:rsidP="001D196A">
      <w:pPr>
        <w:spacing w:line="480" w:lineRule="auto"/>
        <w:rPr>
          <w:b/>
        </w:rPr>
      </w:pPr>
    </w:p>
    <w:p w:rsidR="001D196A" w:rsidRPr="002A650B" w:rsidRDefault="001D196A" w:rsidP="001D196A">
      <w:pPr>
        <w:adjustRightInd w:val="0"/>
        <w:snapToGrid w:val="0"/>
        <w:spacing w:line="480" w:lineRule="auto"/>
        <w:rPr>
          <w:rFonts w:ascii="Arial" w:hAnsi="Arial" w:cs="Arial"/>
          <w:bCs/>
          <w:sz w:val="20"/>
          <w:szCs w:val="20"/>
        </w:rPr>
      </w:pPr>
      <w:r w:rsidRPr="00C92B81">
        <w:rPr>
          <w:rFonts w:ascii="Arial" w:hAnsi="Arial" w:cs="Arial"/>
          <w:b/>
          <w:sz w:val="20"/>
          <w:szCs w:val="20"/>
        </w:rPr>
        <w:t xml:space="preserve">Fig. S2 The expression of YAP1 in SCLC. </w:t>
      </w:r>
      <w:r>
        <w:rPr>
          <w:rFonts w:ascii="Arial" w:hAnsi="Arial" w:cs="Arial"/>
          <w:bCs/>
          <w:sz w:val="20"/>
          <w:szCs w:val="20"/>
        </w:rPr>
        <w:t>(</w:t>
      </w:r>
      <w:r w:rsidRPr="00C92B81">
        <w:rPr>
          <w:rFonts w:ascii="Arial" w:hAnsi="Arial" w:cs="Arial"/>
          <w:bCs/>
          <w:sz w:val="20"/>
          <w:szCs w:val="20"/>
        </w:rPr>
        <w:t>A) Venn diagram showing miR-375-3p</w:t>
      </w:r>
      <w:r>
        <w:rPr>
          <w:rFonts w:ascii="Arial" w:hAnsi="Arial" w:cs="Arial"/>
          <w:bCs/>
          <w:sz w:val="20"/>
          <w:szCs w:val="20"/>
        </w:rPr>
        <w:t>-</w:t>
      </w:r>
      <w:r w:rsidRPr="00C92B81">
        <w:rPr>
          <w:rFonts w:ascii="Arial" w:hAnsi="Arial" w:cs="Arial"/>
          <w:bCs/>
          <w:sz w:val="20"/>
          <w:szCs w:val="20"/>
        </w:rPr>
        <w:t>related mRNAs screened by the intersection of TargetScan, PicTar</w:t>
      </w:r>
      <w:r>
        <w:rPr>
          <w:rFonts w:ascii="Arial" w:hAnsi="Arial" w:cs="Arial"/>
          <w:bCs/>
          <w:sz w:val="20"/>
          <w:szCs w:val="20"/>
        </w:rPr>
        <w:t>,</w:t>
      </w:r>
      <w:r w:rsidRPr="00C92B81">
        <w:rPr>
          <w:rFonts w:ascii="Arial" w:hAnsi="Arial" w:cs="Arial"/>
          <w:bCs/>
          <w:sz w:val="20"/>
          <w:szCs w:val="20"/>
        </w:rPr>
        <w:t xml:space="preserve"> and </w:t>
      </w:r>
      <w:r>
        <w:rPr>
          <w:rFonts w:ascii="Arial" w:hAnsi="Arial" w:cs="Arial"/>
          <w:bCs/>
          <w:sz w:val="20"/>
          <w:szCs w:val="20"/>
        </w:rPr>
        <w:t>mRNA</w:t>
      </w:r>
      <w:r w:rsidRPr="00C92B81">
        <w:rPr>
          <w:rFonts w:ascii="Arial" w:hAnsi="Arial" w:cs="Arial"/>
          <w:bCs/>
          <w:sz w:val="20"/>
          <w:szCs w:val="20"/>
        </w:rPr>
        <w:t xml:space="preserve"> sequence data. </w:t>
      </w:r>
      <w:r>
        <w:rPr>
          <w:rFonts w:ascii="Arial" w:hAnsi="Arial" w:cs="Arial"/>
          <w:bCs/>
          <w:sz w:val="20"/>
          <w:szCs w:val="20"/>
        </w:rPr>
        <w:t>(</w:t>
      </w:r>
      <w:r w:rsidRPr="00C92B81">
        <w:rPr>
          <w:rFonts w:ascii="Arial" w:hAnsi="Arial" w:cs="Arial"/>
          <w:bCs/>
          <w:sz w:val="20"/>
          <w:szCs w:val="20"/>
        </w:rPr>
        <w:t xml:space="preserve">B) The expression </w:t>
      </w:r>
      <w:r>
        <w:rPr>
          <w:rFonts w:ascii="Arial" w:hAnsi="Arial" w:cs="Arial"/>
          <w:bCs/>
          <w:sz w:val="20"/>
          <w:szCs w:val="20"/>
        </w:rPr>
        <w:t>levels</w:t>
      </w:r>
      <w:r w:rsidRPr="00C92B81">
        <w:rPr>
          <w:rFonts w:ascii="Arial" w:hAnsi="Arial" w:cs="Arial"/>
          <w:bCs/>
          <w:sz w:val="20"/>
          <w:szCs w:val="20"/>
        </w:rPr>
        <w:t xml:space="preserve"> of SLC7A11 and YAP1 </w:t>
      </w:r>
      <w:r>
        <w:rPr>
          <w:rFonts w:ascii="Arial" w:hAnsi="Arial" w:cs="Arial"/>
          <w:bCs/>
          <w:sz w:val="20"/>
          <w:szCs w:val="20"/>
        </w:rPr>
        <w:t>were</w:t>
      </w:r>
      <w:r w:rsidRPr="00C92B8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 w:hint="eastAsia"/>
          <w:bCs/>
          <w:sz w:val="20"/>
          <w:szCs w:val="20"/>
        </w:rPr>
        <w:t>analyzed</w:t>
      </w:r>
      <w:r w:rsidRPr="00C92B81">
        <w:rPr>
          <w:rFonts w:ascii="Arial" w:hAnsi="Arial" w:cs="Arial"/>
          <w:bCs/>
          <w:sz w:val="20"/>
          <w:szCs w:val="20"/>
        </w:rPr>
        <w:t xml:space="preserve"> after miR-375-3p mimic or inhibitor transfection. </w:t>
      </w:r>
      <w:r>
        <w:rPr>
          <w:rFonts w:ascii="Arial" w:hAnsi="Arial" w:cs="Arial"/>
          <w:bCs/>
          <w:sz w:val="20"/>
          <w:szCs w:val="20"/>
        </w:rPr>
        <w:t>(</w:t>
      </w:r>
      <w:r w:rsidRPr="00C92B81">
        <w:rPr>
          <w:rFonts w:ascii="Arial" w:hAnsi="Arial" w:cs="Arial"/>
          <w:bCs/>
          <w:sz w:val="20"/>
          <w:szCs w:val="20"/>
        </w:rPr>
        <w:t xml:space="preserve">C) The protein expression levels of YAP1 in six SCLC cell lines. </w:t>
      </w:r>
      <w:r>
        <w:rPr>
          <w:rFonts w:ascii="Arial" w:hAnsi="Arial" w:cs="Arial"/>
          <w:bCs/>
          <w:sz w:val="20"/>
          <w:szCs w:val="20"/>
        </w:rPr>
        <w:t>(</w:t>
      </w:r>
      <w:r w:rsidRPr="00C92B81">
        <w:rPr>
          <w:rFonts w:ascii="Arial" w:hAnsi="Arial" w:cs="Arial"/>
          <w:bCs/>
          <w:sz w:val="20"/>
          <w:szCs w:val="20"/>
        </w:rPr>
        <w:t xml:space="preserve">D) Effects of different concentrations of CA3 (YAP1 inhibitor) on the protein expression level of YAP1. </w:t>
      </w:r>
      <w:r>
        <w:rPr>
          <w:rFonts w:ascii="Arial" w:hAnsi="Arial" w:cs="Arial"/>
          <w:bCs/>
          <w:sz w:val="20"/>
          <w:szCs w:val="20"/>
        </w:rPr>
        <w:t>(</w:t>
      </w:r>
      <w:r w:rsidRPr="00C92B81">
        <w:rPr>
          <w:rFonts w:ascii="Arial" w:hAnsi="Arial" w:cs="Arial"/>
          <w:bCs/>
          <w:sz w:val="20"/>
          <w:szCs w:val="20"/>
        </w:rPr>
        <w:t>E) Comparison of YAP1 levels in SCLC patients and healthy people. **p&lt;0.01, ns: no significance</w:t>
      </w:r>
    </w:p>
    <w:p w:rsidR="001D196A" w:rsidRDefault="00B664D8" w:rsidP="001D196A">
      <w:pPr>
        <w:spacing w:line="480" w:lineRule="auto"/>
        <w:rPr>
          <w:b/>
        </w:rPr>
      </w:pPr>
      <w:r w:rsidRPr="00B664D8">
        <w:rPr>
          <w:b/>
          <w:noProof/>
        </w:rPr>
        <w:lastRenderedPageBreak/>
        <w:drawing>
          <wp:inline distT="0" distB="0" distL="0" distR="0">
            <wp:extent cx="5274310" cy="3930687"/>
            <wp:effectExtent l="0" t="0" r="2540" b="0"/>
            <wp:docPr id="3" name="图片 3" descr="F:\新建文件夹\RGB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新建文件夹\RGB\figure 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D8" w:rsidRDefault="00B664D8" w:rsidP="001D196A">
      <w:pPr>
        <w:spacing w:line="480" w:lineRule="auto"/>
        <w:rPr>
          <w:b/>
        </w:rPr>
      </w:pPr>
    </w:p>
    <w:p w:rsidR="001D196A" w:rsidRPr="001D196A" w:rsidRDefault="001D196A" w:rsidP="001D196A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</w:t>
      </w:r>
      <w:r w:rsidRPr="001D196A">
        <w:rPr>
          <w:rFonts w:ascii="Arial" w:hAnsi="Arial" w:cs="Arial"/>
          <w:b/>
          <w:sz w:val="20"/>
          <w:szCs w:val="20"/>
        </w:rPr>
        <w:t>. S1</w:t>
      </w:r>
      <w:r w:rsidR="00B664D8">
        <w:rPr>
          <w:rFonts w:ascii="Arial" w:hAnsi="Arial" w:cs="Arial"/>
          <w:b/>
          <w:sz w:val="20"/>
          <w:szCs w:val="20"/>
        </w:rPr>
        <w:t xml:space="preserve"> </w:t>
      </w:r>
      <w:r w:rsidR="00B664D8" w:rsidRPr="00B664D8">
        <w:rPr>
          <w:rFonts w:ascii="Arial" w:hAnsi="Arial" w:cs="Arial"/>
          <w:b/>
          <w:sz w:val="20"/>
          <w:szCs w:val="20"/>
        </w:rPr>
        <w:t>The sequences of primers and siRNAs employed in this research</w:t>
      </w:r>
    </w:p>
    <w:tbl>
      <w:tblPr>
        <w:tblpPr w:leftFromText="180" w:rightFromText="180" w:vertAnchor="text" w:horzAnchor="margin" w:tblpY="228"/>
        <w:tblW w:w="7680" w:type="dxa"/>
        <w:tblLook w:val="04A0" w:firstRow="1" w:lastRow="0" w:firstColumn="1" w:lastColumn="0" w:noHBand="0" w:noVBand="1"/>
      </w:tblPr>
      <w:tblGrid>
        <w:gridCol w:w="2780"/>
        <w:gridCol w:w="4900"/>
      </w:tblGrid>
      <w:tr w:rsidR="001D196A" w:rsidRPr="001D196A" w:rsidTr="001D196A">
        <w:trPr>
          <w:trHeight w:val="36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circSH3PXD2A F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GCAGAGAATCCAGCCTGGTG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circSH3PXD2A 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TCCGAGTTCTCCTGCTTCTTATAGT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YAP1 F 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TAGCCCTGCGTAGCCAGTTA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YAP1 R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TCATGCTTAGTCCACTGTCTGT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LDHB 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GATTCTGCTAGATTTCGCTACCTT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LDHB 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CACATTCACACCACTCCACACA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SCL7A11 F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CCCGTGTGTCCCTACTATGGT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SCL7A11 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CCAATGATGGTGCCAATGATAA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GAPDH F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GAACGGGAAGCTCACTGG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GAPDH R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GCCTGCTTCACCACCTTCT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SH3PXD2A F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GGAGGTGGTGGATGTCAT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SH3PXD2A R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GGTGTTGATGTCGGAGTC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si-circSH3PXD2A-1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AGAGAATCCAGCCTGGTGC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si-circSH3PXD2A-2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GAGAATCCAGCCTGGTGCC</w:t>
            </w:r>
          </w:p>
        </w:tc>
      </w:tr>
      <w:tr w:rsidR="001D196A" w:rsidRPr="001D196A" w:rsidTr="001D196A">
        <w:trPr>
          <w:trHeight w:val="36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si-circSH3PXD2A-3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6A" w:rsidRPr="001D196A" w:rsidRDefault="001D196A" w:rsidP="001D196A">
            <w:pPr>
              <w:widowControl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D196A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GAATCCAGCCTGGTGCCGA</w:t>
            </w:r>
          </w:p>
        </w:tc>
      </w:tr>
    </w:tbl>
    <w:p w:rsidR="001D196A" w:rsidRDefault="001D196A" w:rsidP="001D196A">
      <w:pPr>
        <w:spacing w:line="480" w:lineRule="auto"/>
        <w:rPr>
          <w:b/>
        </w:rPr>
      </w:pPr>
    </w:p>
    <w:p w:rsidR="001D196A" w:rsidRDefault="001D196A" w:rsidP="001D196A">
      <w:pPr>
        <w:spacing w:line="480" w:lineRule="auto"/>
        <w:rPr>
          <w:b/>
        </w:rPr>
      </w:pPr>
    </w:p>
    <w:p w:rsidR="001D196A" w:rsidRDefault="001D196A" w:rsidP="001D196A">
      <w:pPr>
        <w:spacing w:line="480" w:lineRule="auto"/>
        <w:rPr>
          <w:b/>
        </w:rPr>
      </w:pPr>
    </w:p>
    <w:p w:rsidR="001D196A" w:rsidRDefault="001D196A" w:rsidP="001D196A">
      <w:pPr>
        <w:spacing w:line="480" w:lineRule="auto"/>
        <w:rPr>
          <w:b/>
        </w:rPr>
      </w:pPr>
    </w:p>
    <w:p w:rsidR="001D196A" w:rsidRDefault="001D196A" w:rsidP="001D196A">
      <w:pPr>
        <w:spacing w:line="480" w:lineRule="auto"/>
        <w:rPr>
          <w:b/>
        </w:rPr>
      </w:pPr>
    </w:p>
    <w:p w:rsidR="00B664D8" w:rsidRDefault="00B664D8" w:rsidP="001D19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B664D8" w:rsidRDefault="00B664D8" w:rsidP="001D19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B664D8" w:rsidRDefault="00B664D8" w:rsidP="001D19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1D196A" w:rsidRPr="001D196A" w:rsidRDefault="001D196A" w:rsidP="001D19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B664D8" w:rsidRDefault="00B664D8" w:rsidP="001D19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1D196A" w:rsidRDefault="00B664D8" w:rsidP="001D196A">
      <w:pPr>
        <w:spacing w:line="480" w:lineRule="auto"/>
        <w:rPr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t>Table</w:t>
      </w:r>
      <w:r w:rsidRPr="001D196A">
        <w:rPr>
          <w:rFonts w:ascii="Arial" w:hAnsi="Arial" w:cs="Arial"/>
          <w:b/>
          <w:sz w:val="20"/>
          <w:szCs w:val="20"/>
        </w:rPr>
        <w:t>. S</w:t>
      </w:r>
      <w:r>
        <w:rPr>
          <w:rFonts w:ascii="Arial" w:hAnsi="Arial" w:cs="Arial"/>
          <w:b/>
          <w:sz w:val="20"/>
          <w:szCs w:val="20"/>
        </w:rPr>
        <w:t xml:space="preserve">2 </w:t>
      </w:r>
      <w:r w:rsidRPr="00B664D8">
        <w:rPr>
          <w:rFonts w:ascii="Arial" w:hAnsi="Arial" w:cs="Arial"/>
          <w:b/>
          <w:sz w:val="20"/>
          <w:szCs w:val="20"/>
        </w:rPr>
        <w:t>The diagnostic values of tumor markers and circSH3PXD2A in DDP-resistant SCLC patients</w:t>
      </w:r>
    </w:p>
    <w:tbl>
      <w:tblPr>
        <w:tblStyle w:val="a7"/>
        <w:tblpPr w:leftFromText="180" w:rightFromText="180" w:vertAnchor="page" w:horzAnchor="margin" w:tblpY="2746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1134"/>
        <w:gridCol w:w="1134"/>
        <w:gridCol w:w="851"/>
      </w:tblGrid>
      <w:tr w:rsidR="00B664D8" w:rsidRPr="006C421B" w:rsidTr="00B664D8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Markers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AUC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Sensitivity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Specificity (%)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</w:tr>
      <w:tr w:rsidR="00B664D8" w:rsidRPr="006C421B" w:rsidTr="00B664D8"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CEA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0.5467(0.3987,0.6946)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66.70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53.30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0.5346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CA211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0.5044(0.3554,0.6535)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66.70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46.70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0.9528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CA125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0.5228(0.3749,0.6706)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46.70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0.7618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NSE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0.5778(0.4315,0.7240)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53.30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0.3007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ProGRP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0.5577(0.3873,0.7280)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60.90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0.5028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EVs-dervied circSH3PXD2A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0.7322(0.6040,0.8605)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0.0020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Serum circSH3PXD2A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0.5900(0.4451,0.7349)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73.30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46.70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0.2311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EVs-derived  circSH3PXD2A+NSE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0.7256(0.5961,0.8551)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56.70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0.0027</w:t>
            </w:r>
          </w:p>
        </w:tc>
      </w:tr>
      <w:tr w:rsidR="00B664D8" w:rsidRPr="006C421B" w:rsidTr="00B664D8">
        <w:tc>
          <w:tcPr>
            <w:tcW w:w="2977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6C421B">
              <w:rPr>
                <w:rFonts w:ascii="Arial" w:hAnsi="Arial" w:cs="Arial"/>
                <w:sz w:val="18"/>
                <w:szCs w:val="18"/>
              </w:rPr>
              <w:t>EVs-derived circSH3PXD2A +ProGRP</w:t>
            </w:r>
          </w:p>
        </w:tc>
        <w:tc>
          <w:tcPr>
            <w:tcW w:w="2126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0.7723(0.6395,0.9051)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92.00</w:t>
            </w:r>
          </w:p>
        </w:tc>
        <w:tc>
          <w:tcPr>
            <w:tcW w:w="1134" w:type="dxa"/>
            <w:vAlign w:val="center"/>
          </w:tcPr>
          <w:p w:rsidR="00B664D8" w:rsidRPr="006C421B" w:rsidRDefault="00B664D8" w:rsidP="00B664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57.70</w:t>
            </w:r>
          </w:p>
        </w:tc>
        <w:tc>
          <w:tcPr>
            <w:tcW w:w="851" w:type="dxa"/>
            <w:vAlign w:val="center"/>
          </w:tcPr>
          <w:p w:rsidR="00B664D8" w:rsidRPr="006C421B" w:rsidRDefault="00B664D8" w:rsidP="00B664D8">
            <w:pPr>
              <w:rPr>
                <w:rFonts w:ascii="Arial" w:hAnsi="Arial" w:cs="Arial"/>
                <w:sz w:val="18"/>
                <w:szCs w:val="18"/>
              </w:rPr>
            </w:pPr>
            <w:r w:rsidRPr="006C421B">
              <w:rPr>
                <w:rFonts w:ascii="Arial" w:hAnsi="Arial" w:cs="Arial"/>
                <w:sz w:val="18"/>
                <w:szCs w:val="18"/>
              </w:rPr>
              <w:t>0.0009</w:t>
            </w:r>
          </w:p>
        </w:tc>
      </w:tr>
    </w:tbl>
    <w:p w:rsidR="001D196A" w:rsidRPr="001D196A" w:rsidRDefault="001D196A" w:rsidP="001D196A">
      <w:pPr>
        <w:spacing w:line="480" w:lineRule="auto"/>
        <w:rPr>
          <w:b/>
        </w:rPr>
      </w:pPr>
    </w:p>
    <w:sectPr w:rsidR="001D196A" w:rsidRPr="001D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96" w:rsidRDefault="00BD5B96" w:rsidP="001D196A">
      <w:r>
        <w:separator/>
      </w:r>
    </w:p>
  </w:endnote>
  <w:endnote w:type="continuationSeparator" w:id="0">
    <w:p w:rsidR="00BD5B96" w:rsidRDefault="00BD5B96" w:rsidP="001D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96" w:rsidRDefault="00BD5B96" w:rsidP="001D196A">
      <w:r>
        <w:separator/>
      </w:r>
    </w:p>
  </w:footnote>
  <w:footnote w:type="continuationSeparator" w:id="0">
    <w:p w:rsidR="00BD5B96" w:rsidRDefault="00BD5B96" w:rsidP="001D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04"/>
    <w:rsid w:val="001647E4"/>
    <w:rsid w:val="001D196A"/>
    <w:rsid w:val="00425A0B"/>
    <w:rsid w:val="006C421B"/>
    <w:rsid w:val="006F1FEF"/>
    <w:rsid w:val="00B32F98"/>
    <w:rsid w:val="00B664D8"/>
    <w:rsid w:val="00BD5B96"/>
    <w:rsid w:val="00BF5C47"/>
    <w:rsid w:val="00D23604"/>
    <w:rsid w:val="00D8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206EDF"/>
  <w15:chartTrackingRefBased/>
  <w15:docId w15:val="{54012D74-2C56-46ED-B5F2-D60B8E14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96A"/>
    <w:rPr>
      <w:sz w:val="18"/>
      <w:szCs w:val="18"/>
    </w:rPr>
  </w:style>
  <w:style w:type="table" w:styleId="a7">
    <w:name w:val="Table Grid"/>
    <w:basedOn w:val="a1"/>
    <w:uiPriority w:val="39"/>
    <w:rsid w:val="001D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C421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C421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C421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C421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C421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C421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C4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323</Words>
  <Characters>1846</Characters>
  <Application>Microsoft Office Word</Application>
  <DocSecurity>0</DocSecurity>
  <Lines>15</Lines>
  <Paragraphs>4</Paragraphs>
  <ScaleCrop>false</ScaleCrop>
  <Company>China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2023-03-22T09:22:00Z</dcterms:created>
  <dcterms:modified xsi:type="dcterms:W3CDTF">2023-05-01T09:15:00Z</dcterms:modified>
</cp:coreProperties>
</file>