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2" w:type="dxa"/>
        <w:tblInd w:w="-9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74"/>
        <w:gridCol w:w="1474"/>
        <w:gridCol w:w="1118"/>
        <w:gridCol w:w="1074"/>
        <w:gridCol w:w="1082"/>
        <w:gridCol w:w="1082"/>
        <w:gridCol w:w="1066"/>
        <w:gridCol w:w="1102"/>
      </w:tblGrid>
      <w:tr w:rsidR="00272646" w:rsidRPr="004B1FD6" w14:paraId="72177FF2" w14:textId="77777777" w:rsidTr="001A13B4">
        <w:trPr>
          <w:trHeight w:val="596"/>
        </w:trPr>
        <w:tc>
          <w:tcPr>
            <w:tcW w:w="10072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CCCBE" w14:textId="77777777" w:rsidR="00272646" w:rsidRPr="004B1FD6" w:rsidRDefault="00272646" w:rsidP="001A13B4">
            <w:pPr>
              <w:pStyle w:val="Body"/>
              <w:spacing w:before="0" w:after="0" w:line="360" w:lineRule="auto"/>
              <w:ind w:firstLine="0"/>
              <w:jc w:val="left"/>
              <w:rPr>
                <w:lang w:val="en-US"/>
              </w:rPr>
            </w:pPr>
            <w:r w:rsidRPr="004B1FD6">
              <w:rPr>
                <w:rFonts w:ascii="Times New Roman" w:hAnsi="Times New Roman"/>
                <w:b/>
                <w:bCs/>
                <w:lang w:val="en-US"/>
              </w:rPr>
              <w:t xml:space="preserve">Supplementary Table 1. Stratified analysis of RR from fully adjusted models* (Models 5) for respiratory-cause &amp; cardiovascular-cause according to BMI categories </w:t>
            </w:r>
          </w:p>
        </w:tc>
      </w:tr>
      <w:tr w:rsidR="00272646" w:rsidRPr="004B1FD6" w14:paraId="0B633BE4" w14:textId="77777777" w:rsidTr="001A13B4">
        <w:trPr>
          <w:trHeight w:val="335"/>
        </w:trPr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4879" w14:textId="77777777" w:rsidR="00272646" w:rsidRPr="004B1FD6" w:rsidRDefault="00272646" w:rsidP="001A13B4">
            <w:pPr>
              <w:pStyle w:val="Body"/>
              <w:spacing w:before="0" w:after="0"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Outcome </w:t>
            </w:r>
          </w:p>
        </w:tc>
        <w:tc>
          <w:tcPr>
            <w:tcW w:w="799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109D" w14:textId="77777777" w:rsidR="00272646" w:rsidRPr="004B1FD6" w:rsidRDefault="00272646" w:rsidP="001A13B4">
            <w:pPr>
              <w:pStyle w:val="Body"/>
              <w:spacing w:before="0" w:after="0" w:line="360" w:lineRule="auto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BMI categories Rate Ratios (RR) &amp; (95% CI)</w:t>
            </w:r>
          </w:p>
        </w:tc>
      </w:tr>
      <w:tr w:rsidR="00272646" w:rsidRPr="004B1FD6" w14:paraId="350A056A" w14:textId="77777777" w:rsidTr="001A13B4">
        <w:trPr>
          <w:trHeight w:val="552"/>
        </w:trPr>
        <w:tc>
          <w:tcPr>
            <w:tcW w:w="2074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602F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DA6B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Overall</w:t>
            </w:r>
          </w:p>
          <w:p w14:paraId="174B11B7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(Un-</w:t>
            </w:r>
            <w:proofErr w:type="gramStart"/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S)*</w:t>
            </w:r>
            <w:proofErr w:type="gramEnd"/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60F7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UW**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BA225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Normal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84B0C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Pre-O**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CA86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I**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553E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II**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BE7D8" w14:textId="77777777" w:rsidR="00272646" w:rsidRPr="004B1FD6" w:rsidRDefault="00272646" w:rsidP="001A13B4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4B1FD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0"/>
                <w:szCs w:val="2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III**</w:t>
            </w:r>
          </w:p>
        </w:tc>
      </w:tr>
      <w:tr w:rsidR="00272646" w:rsidRPr="004B1FD6" w14:paraId="078703B8" w14:textId="77777777" w:rsidTr="001A13B4">
        <w:trPr>
          <w:trHeight w:val="642"/>
        </w:trPr>
        <w:tc>
          <w:tcPr>
            <w:tcW w:w="2074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E72F9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proofErr w:type="gramStart"/>
            <w:r w:rsidRPr="004B1F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Respiratory-cause</w:t>
            </w:r>
            <w:proofErr w:type="gramEnd"/>
          </w:p>
        </w:tc>
        <w:tc>
          <w:tcPr>
            <w:tcW w:w="1474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DA587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3.03 </w:t>
            </w:r>
          </w:p>
          <w:p w14:paraId="78941B88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(2.89,3.18)</w:t>
            </w:r>
          </w:p>
        </w:tc>
        <w:tc>
          <w:tcPr>
            <w:tcW w:w="1118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3B65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3.37 </w:t>
            </w:r>
          </w:p>
          <w:p w14:paraId="15808FCC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(2.64,4.31)</w:t>
            </w:r>
          </w:p>
        </w:tc>
        <w:tc>
          <w:tcPr>
            <w:tcW w:w="1074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9537D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3.10 </w:t>
            </w:r>
          </w:p>
          <w:p w14:paraId="66A495BC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(2.84,3.40)</w:t>
            </w:r>
          </w:p>
        </w:tc>
        <w:tc>
          <w:tcPr>
            <w:tcW w:w="1082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3765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2.86</w:t>
            </w:r>
          </w:p>
          <w:p w14:paraId="56870CF5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(2.62,3.12)</w:t>
            </w:r>
          </w:p>
        </w:tc>
        <w:tc>
          <w:tcPr>
            <w:tcW w:w="1082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0918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3.06 </w:t>
            </w:r>
          </w:p>
          <w:p w14:paraId="73AE9B62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(2.75,3.41)</w:t>
            </w:r>
          </w:p>
        </w:tc>
        <w:tc>
          <w:tcPr>
            <w:tcW w:w="1066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EB40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3.12 </w:t>
            </w:r>
          </w:p>
          <w:p w14:paraId="6ECCB869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(2.67,3.64)</w:t>
            </w:r>
          </w:p>
        </w:tc>
        <w:tc>
          <w:tcPr>
            <w:tcW w:w="1102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7CE5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2.90 </w:t>
            </w:r>
          </w:p>
          <w:p w14:paraId="1F8334A3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(2.44,3.44)</w:t>
            </w:r>
          </w:p>
        </w:tc>
      </w:tr>
      <w:tr w:rsidR="00272646" w:rsidRPr="004B1FD6" w14:paraId="3ED4D771" w14:textId="77777777" w:rsidTr="001A13B4">
        <w:trPr>
          <w:trHeight w:val="294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66DA7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8845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D886B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76A68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9E33B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F4B43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73ADB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9C483" w14:textId="77777777" w:rsidR="00272646" w:rsidRPr="004B1FD6" w:rsidRDefault="00272646" w:rsidP="001A13B4">
            <w:pPr>
              <w:rPr>
                <w:color w:val="000000"/>
                <w:lang w:val="en-US"/>
              </w:rPr>
            </w:pPr>
          </w:p>
        </w:tc>
      </w:tr>
      <w:tr w:rsidR="00272646" w:rsidRPr="004B1FD6" w14:paraId="24991131" w14:textId="77777777" w:rsidTr="001A13B4">
        <w:trPr>
          <w:trHeight w:val="652"/>
        </w:trPr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DBA7" w14:textId="77777777" w:rsidR="00272646" w:rsidRPr="004B1FD6" w:rsidRDefault="00272646" w:rsidP="001A13B4">
            <w:pPr>
              <w:pStyle w:val="Body"/>
              <w:spacing w:before="0" w:after="0" w:line="360" w:lineRule="auto"/>
              <w:ind w:firstLine="0"/>
              <w:jc w:val="center"/>
              <w:rPr>
                <w:lang w:val="en-US"/>
              </w:rPr>
            </w:pPr>
            <w:proofErr w:type="gramStart"/>
            <w:r w:rsidRPr="004B1FD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Cardiovascular-cause</w:t>
            </w:r>
            <w:proofErr w:type="gramEnd"/>
          </w:p>
        </w:tc>
        <w:tc>
          <w:tcPr>
            <w:tcW w:w="1474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C41BA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0.99</w:t>
            </w:r>
          </w:p>
          <w:p w14:paraId="48824EEB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(0.95,1.03)</w:t>
            </w:r>
          </w:p>
        </w:tc>
        <w:tc>
          <w:tcPr>
            <w:tcW w:w="1118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58C0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0.72</w:t>
            </w:r>
          </w:p>
          <w:p w14:paraId="6FCB8D3F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(0.52,0.99)</w:t>
            </w:r>
          </w:p>
        </w:tc>
        <w:tc>
          <w:tcPr>
            <w:tcW w:w="1074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9F5F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0.90</w:t>
            </w:r>
          </w:p>
          <w:p w14:paraId="064CF886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(0.82,0.99)</w:t>
            </w:r>
          </w:p>
        </w:tc>
        <w:tc>
          <w:tcPr>
            <w:tcW w:w="1082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6EDA4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0.99</w:t>
            </w:r>
          </w:p>
          <w:p w14:paraId="233798ED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(0.92,1.06)</w:t>
            </w:r>
          </w:p>
        </w:tc>
        <w:tc>
          <w:tcPr>
            <w:tcW w:w="1082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889A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1.05</w:t>
            </w:r>
          </w:p>
          <w:p w14:paraId="416F40E1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(0.97,1.14)</w:t>
            </w:r>
          </w:p>
        </w:tc>
        <w:tc>
          <w:tcPr>
            <w:tcW w:w="1066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5C5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1.09</w:t>
            </w:r>
          </w:p>
          <w:p w14:paraId="27CDE532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(0.98,1.22)</w:t>
            </w:r>
          </w:p>
        </w:tc>
        <w:tc>
          <w:tcPr>
            <w:tcW w:w="1102" w:type="dxa"/>
            <w:tcBorders>
              <w:top w:val="single" w:sz="4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87F5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0.94</w:t>
            </w:r>
          </w:p>
          <w:p w14:paraId="14127ED9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center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(0.82,1.08)</w:t>
            </w:r>
          </w:p>
        </w:tc>
      </w:tr>
      <w:tr w:rsidR="00272646" w:rsidRPr="004B1FD6" w14:paraId="766C5175" w14:textId="77777777" w:rsidTr="001A13B4">
        <w:trPr>
          <w:trHeight w:val="3533"/>
        </w:trPr>
        <w:tc>
          <w:tcPr>
            <w:tcW w:w="100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54DC9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* Fully adjusted models: adjust for age, sex, IMD, smoking status, prior asthma &amp; prior cardiovascular conditions. </w:t>
            </w:r>
          </w:p>
          <w:p w14:paraId="5AF5C859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** Abbreviations: </w:t>
            </w:r>
          </w:p>
          <w:p w14:paraId="2213DE3E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Un-S: Unstratified Rate Ratios (RR) </w:t>
            </w:r>
          </w:p>
          <w:p w14:paraId="6F41B72E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UW: Underweight</w:t>
            </w:r>
          </w:p>
          <w:p w14:paraId="471D4490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Pre-O: Pre-obesity</w:t>
            </w:r>
          </w:p>
          <w:p w14:paraId="48DC3509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O I: Obesity Class I</w:t>
            </w:r>
          </w:p>
          <w:p w14:paraId="42EB6340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>O II: Obesity Class II</w:t>
            </w:r>
          </w:p>
          <w:p w14:paraId="5B4B64F1" w14:textId="77777777" w:rsidR="00272646" w:rsidRPr="004B1FD6" w:rsidRDefault="00272646" w:rsidP="001A13B4">
            <w:pPr>
              <w:pStyle w:val="Body"/>
              <w:spacing w:line="360" w:lineRule="auto"/>
              <w:ind w:firstLine="0"/>
              <w:jc w:val="left"/>
              <w:rPr>
                <w:lang w:val="en-US"/>
              </w:rPr>
            </w:pPr>
            <w:r w:rsidRPr="004B1F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 III: Obesity Class III </w:t>
            </w:r>
          </w:p>
        </w:tc>
      </w:tr>
    </w:tbl>
    <w:p w14:paraId="347DE287" w14:textId="77777777" w:rsidR="00272646" w:rsidRPr="004B1FD6" w:rsidRDefault="00272646" w:rsidP="00272646">
      <w:pPr>
        <w:pStyle w:val="Body"/>
        <w:ind w:firstLine="0"/>
        <w:rPr>
          <w:lang w:val="en-US"/>
        </w:rPr>
      </w:pPr>
    </w:p>
    <w:p w14:paraId="12443B4E" w14:textId="77777777" w:rsidR="009443DC" w:rsidRPr="00272646" w:rsidRDefault="009443DC">
      <w:pPr>
        <w:rPr>
          <w:lang w:val="en-US"/>
        </w:rPr>
      </w:pPr>
    </w:p>
    <w:sectPr w:rsidR="009443DC" w:rsidRPr="0027264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C7FD" w14:textId="77777777" w:rsidR="00272646" w:rsidRDefault="00272646" w:rsidP="00272646">
      <w:pPr>
        <w:spacing w:after="0" w:line="240" w:lineRule="auto"/>
      </w:pPr>
      <w:r>
        <w:separator/>
      </w:r>
    </w:p>
  </w:endnote>
  <w:endnote w:type="continuationSeparator" w:id="0">
    <w:p w14:paraId="6F96B203" w14:textId="77777777" w:rsidR="00272646" w:rsidRDefault="00272646" w:rsidP="0027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A51E" w14:textId="3C99C59F" w:rsidR="00272646" w:rsidRDefault="002726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3F2652" wp14:editId="0AA3BFD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78f84dfb92a3c7b8d356aca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658085" w14:textId="613CF89A" w:rsidR="00272646" w:rsidRPr="00272646" w:rsidRDefault="00272646" w:rsidP="0027264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7264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F2652" id="_x0000_t202" coordsize="21600,21600" o:spt="202" path="m,l,21600r21600,l21600,xe">
              <v:stroke joinstyle="miter"/>
              <v:path gradientshapeok="t" o:connecttype="rect"/>
            </v:shapetype>
            <v:shape id="MSIPCM78f84dfb92a3c7b8d356aca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1658085" w14:textId="613CF89A" w:rsidR="00272646" w:rsidRPr="00272646" w:rsidRDefault="00272646" w:rsidP="0027264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7264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B5F0" w14:textId="77777777" w:rsidR="00272646" w:rsidRDefault="00272646" w:rsidP="00272646">
      <w:pPr>
        <w:spacing w:after="0" w:line="240" w:lineRule="auto"/>
      </w:pPr>
      <w:r>
        <w:separator/>
      </w:r>
    </w:p>
  </w:footnote>
  <w:footnote w:type="continuationSeparator" w:id="0">
    <w:p w14:paraId="6F4BD909" w14:textId="77777777" w:rsidR="00272646" w:rsidRDefault="00272646" w:rsidP="0027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46"/>
    <w:rsid w:val="00272646"/>
    <w:rsid w:val="0094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039BA"/>
  <w15:chartTrackingRefBased/>
  <w15:docId w15:val="{3AFF84BD-9CAC-46DE-BEC2-CEF3C8C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46"/>
    <w:rPr>
      <w:rFonts w:ascii="Calibri"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7264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480" w:lineRule="auto"/>
      <w:ind w:firstLine="720"/>
      <w:jc w:val="both"/>
    </w:pPr>
    <w:rPr>
      <w:rFonts w:ascii="Calibri" w:eastAsia="Arial Unicode MS" w:hAnsi="Calibri" w:cs="Arial Unicode MS"/>
      <w:color w:val="000000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72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46"/>
    <w:rPr>
      <w:rFonts w:ascii="Calibri" w:eastAsiaTheme="minorHAnsi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72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46"/>
    <w:rPr>
      <w:rFonts w:ascii="Calibri"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Informa plc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Ralph, Marina</dc:creator>
  <cp:keywords/>
  <dc:description/>
  <cp:lastModifiedBy>Ralph, Marina</cp:lastModifiedBy>
  <cp:revision>1</cp:revision>
  <dcterms:created xsi:type="dcterms:W3CDTF">2023-04-30T23:44:00Z</dcterms:created>
  <dcterms:modified xsi:type="dcterms:W3CDTF">2023-04-30T23:44:00Z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2023-04-30T23:44:53Z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44d20da0-79a3-417b-bc13-52dd6d575449</vt:lpwstr>
  </property>
  <property fmtid="{D5CDD505-2E9C-101B-9397-08002B2CF9AE}" pid="8" name="MSIP_Label_2bbab825-a111-45e4-86a1-18cee0005896_ContentBits">
    <vt:lpwstr>2</vt:lpwstr>
  </property>
</Properties>
</file>