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28F3" w14:textId="77777777" w:rsidR="00BA1D8E" w:rsidRPr="00204598" w:rsidRDefault="00000000">
      <w:pPr>
        <w:spacing w:line="288" w:lineRule="auto"/>
        <w:rPr>
          <w:rFonts w:ascii="Times New Roman" w:hAnsi="Times New Roman"/>
          <w:b/>
          <w:bCs/>
          <w:szCs w:val="20"/>
        </w:rPr>
      </w:pPr>
      <w:r w:rsidRPr="00204598">
        <w:rPr>
          <w:rFonts w:ascii="Times New Roman" w:hAnsi="Times New Roman" w:hint="eastAsia"/>
          <w:b/>
          <w:bCs/>
          <w:szCs w:val="20"/>
        </w:rPr>
        <w:t>Supplementa</w:t>
      </w:r>
      <w:r w:rsidRPr="00204598">
        <w:rPr>
          <w:rFonts w:ascii="Times New Roman" w:eastAsia="SimSun" w:hAnsi="Times New Roman" w:hint="eastAsia"/>
          <w:b/>
          <w:bCs/>
          <w:szCs w:val="20"/>
          <w:lang w:eastAsia="zh-CN"/>
        </w:rPr>
        <w:t>ry</w:t>
      </w:r>
      <w:r w:rsidRPr="00204598">
        <w:rPr>
          <w:rFonts w:ascii="Times New Roman" w:hAnsi="Times New Roman" w:hint="eastAsia"/>
          <w:b/>
          <w:bCs/>
          <w:szCs w:val="20"/>
        </w:rPr>
        <w:t xml:space="preserve"> T</w:t>
      </w:r>
      <w:r w:rsidRPr="00204598">
        <w:rPr>
          <w:rFonts w:ascii="Times New Roman" w:hAnsi="Times New Roman"/>
          <w:b/>
          <w:bCs/>
          <w:szCs w:val="20"/>
        </w:rPr>
        <w:t xml:space="preserve">able 1. </w:t>
      </w:r>
      <w:r w:rsidRPr="00204598">
        <w:rPr>
          <w:rFonts w:ascii="Times New Roman" w:hAnsi="Times New Roman" w:hint="eastAsia"/>
          <w:szCs w:val="20"/>
        </w:rPr>
        <w:t>M</w:t>
      </w:r>
      <w:r w:rsidRPr="00204598">
        <w:rPr>
          <w:rFonts w:ascii="Times New Roman" w:hAnsi="Times New Roman"/>
          <w:szCs w:val="20"/>
        </w:rPr>
        <w:t>arkers</w:t>
      </w:r>
      <w:r w:rsidRPr="00204598">
        <w:rPr>
          <w:rFonts w:ascii="Times New Roman" w:hAnsi="Times New Roman" w:hint="eastAsia"/>
          <w:szCs w:val="20"/>
        </w:rPr>
        <w:t xml:space="preserve"> </w:t>
      </w:r>
      <w:r w:rsidRPr="00204598">
        <w:rPr>
          <w:rFonts w:ascii="Times New Roman" w:eastAsia="SimSun" w:hAnsi="Times New Roman"/>
          <w:szCs w:val="20"/>
        </w:rPr>
        <w:t>associated</w:t>
      </w:r>
      <w:r w:rsidRPr="00204598">
        <w:rPr>
          <w:rFonts w:ascii="Times New Roman" w:hAnsi="Times New Roman" w:hint="eastAsia"/>
          <w:szCs w:val="20"/>
        </w:rPr>
        <w:t xml:space="preserve"> with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recurrence</w:t>
      </w:r>
      <w:r w:rsidRPr="00204598">
        <w:rPr>
          <w:rFonts w:ascii="Times New Roman" w:hAnsi="Times New Roman" w:hint="eastAsia"/>
          <w:szCs w:val="20"/>
        </w:rPr>
        <w:t>/residual disease analysed by ROC curve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3047"/>
        <w:gridCol w:w="1958"/>
        <w:gridCol w:w="1666"/>
        <w:gridCol w:w="2376"/>
      </w:tblGrid>
      <w:tr w:rsidR="00BA1D8E" w:rsidRPr="00204598" w14:paraId="02D6D42D" w14:textId="77777777">
        <w:trPr>
          <w:trHeight w:val="312"/>
        </w:trPr>
        <w:tc>
          <w:tcPr>
            <w:tcW w:w="16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57AD3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b/>
                <w:bCs/>
                <w:szCs w:val="20"/>
              </w:rPr>
              <w:t>Items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9E21DB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>Area under curve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8599DC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204598">
              <w:rPr>
                <w:rFonts w:ascii="Times New Roman" w:hAnsi="Times New Roman" w:hint="eastAsia"/>
                <w:b/>
                <w:bCs/>
                <w:i/>
                <w:iCs/>
                <w:szCs w:val="20"/>
              </w:rPr>
              <w:t>P</w:t>
            </w: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 xml:space="preserve"> value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6C7BD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 xml:space="preserve">95% CI of </w:t>
            </w:r>
            <w:r w:rsidRPr="00204598">
              <w:rPr>
                <w:rFonts w:ascii="Times New Roman" w:hAnsi="Times New Roman" w:hint="eastAsia"/>
                <w:b/>
                <w:bCs/>
                <w:i/>
                <w:iCs/>
                <w:szCs w:val="20"/>
              </w:rPr>
              <w:t>P</w:t>
            </w: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 xml:space="preserve"> value</w:t>
            </w:r>
          </w:p>
        </w:tc>
      </w:tr>
      <w:tr w:rsidR="00BA1D8E" w:rsidRPr="00204598" w14:paraId="09A487F1" w14:textId="77777777">
        <w:trPr>
          <w:trHeight w:val="312"/>
        </w:trPr>
        <w:tc>
          <w:tcPr>
            <w:tcW w:w="168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966E4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White blood cell count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109E6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0.471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992695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0.508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69D88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0.383-0.558</w:t>
            </w:r>
          </w:p>
        </w:tc>
      </w:tr>
      <w:tr w:rsidR="00BA1D8E" w:rsidRPr="00204598" w14:paraId="1B6CDA3A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07FFD45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Red blood cell count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7C80B78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0.578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710DDEA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0.080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3C22BB0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0.484-0.672</w:t>
            </w:r>
          </w:p>
        </w:tc>
      </w:tr>
      <w:tr w:rsidR="00BA1D8E" w:rsidRPr="00204598" w14:paraId="5A5E6A6A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39FC93C6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Neutrophil count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29BDEF5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7692CED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0.894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7915F4D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0.414-0.598</w:t>
            </w:r>
          </w:p>
        </w:tc>
      </w:tr>
      <w:tr w:rsidR="00BA1D8E" w:rsidRPr="00204598" w14:paraId="01AD3760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73255905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Lymphocyte count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7AD4FFF6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0.399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586C76FA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0.022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541D435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0.317-0.480</w:t>
            </w:r>
          </w:p>
        </w:tc>
      </w:tr>
      <w:tr w:rsidR="00BA1D8E" w:rsidRPr="00204598" w14:paraId="617977B4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6D321E6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Haemoglobin count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36C4A4D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0.546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30F5AE9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0.296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5C37BDC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0.446-0.647</w:t>
            </w:r>
          </w:p>
        </w:tc>
      </w:tr>
      <w:tr w:rsidR="00BA1D8E" w:rsidRPr="00204598" w14:paraId="347D44BC" w14:textId="77777777">
        <w:trPr>
          <w:trHeight w:val="30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0BF2158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hyperlink r:id="rId7" w:tgtFrame="https://www.baidu.com/_blank" w:history="1">
              <w:r w:rsidRPr="00204598">
                <w:rPr>
                  <w:rFonts w:ascii="Times New Roman" w:hAnsi="Times New Roman" w:hint="eastAsia"/>
                  <w:szCs w:val="20"/>
                </w:rPr>
                <w:t>Platelet count</w:t>
              </w:r>
            </w:hyperlink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612F928F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0.532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7916679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0.471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6B90FE6B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0.436-0.628</w:t>
            </w:r>
          </w:p>
        </w:tc>
      </w:tr>
      <w:tr w:rsidR="00BA1D8E" w:rsidRPr="00204598" w14:paraId="0CDDC3D3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44C2AF7F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NLR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7BD374BF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0.567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7A32CCE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0.128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09EAB99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0.478-0.656</w:t>
            </w:r>
          </w:p>
        </w:tc>
      </w:tr>
      <w:tr w:rsidR="00BA1D8E" w:rsidRPr="00204598" w14:paraId="24089752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</w:tcPr>
          <w:p w14:paraId="32AE287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LMR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</w:tcPr>
          <w:p w14:paraId="5E52C9D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0.445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14:paraId="29157BC5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0.214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14:paraId="3839FF6C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0.355-0.534</w:t>
            </w:r>
          </w:p>
        </w:tc>
      </w:tr>
      <w:tr w:rsidR="00BA1D8E" w:rsidRPr="00204598" w14:paraId="0907B176" w14:textId="77777777">
        <w:trPr>
          <w:trHeight w:val="312"/>
        </w:trPr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A1EA65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PLR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AA1B1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0.624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DDA7CD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0.005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7B661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0.540-0.707</w:t>
            </w:r>
          </w:p>
        </w:tc>
      </w:tr>
    </w:tbl>
    <w:p w14:paraId="072FA515" w14:textId="77777777" w:rsidR="00BA1D8E" w:rsidRPr="00204598" w:rsidRDefault="00000000">
      <w:pPr>
        <w:widowControl w:val="0"/>
        <w:spacing w:line="288" w:lineRule="auto"/>
        <w:jc w:val="both"/>
        <w:rPr>
          <w:rFonts w:ascii="Times New Roman" w:hAnsi="Times New Roman"/>
          <w:szCs w:val="20"/>
        </w:rPr>
      </w:pPr>
      <w:r w:rsidRPr="00204598">
        <w:rPr>
          <w:rFonts w:ascii="Times New Roman" w:hAnsi="Times New Roman" w:hint="eastAsia"/>
          <w:b/>
          <w:bCs/>
          <w:szCs w:val="20"/>
        </w:rPr>
        <w:t xml:space="preserve">Abbreviations: </w:t>
      </w:r>
      <w:r w:rsidRPr="00204598">
        <w:rPr>
          <w:rFonts w:ascii="Times New Roman" w:hAnsi="Times New Roman" w:hint="eastAsia"/>
          <w:szCs w:val="20"/>
        </w:rPr>
        <w:t>NLR, neutrophil-to-lymphocyte ratio; LMR, lymphocyte-to-monocyte ratio; PLR, platelet-to-lymphocyte ratio; 95% CI, 95% confidence interval.</w:t>
      </w:r>
    </w:p>
    <w:p w14:paraId="49DCC65C" w14:textId="77777777" w:rsidR="00BA1D8E" w:rsidRPr="00204598" w:rsidRDefault="00000000">
      <w:pPr>
        <w:rPr>
          <w:rFonts w:ascii="Times New Roman" w:eastAsiaTheme="minorEastAsia" w:hAnsi="Times New Roman"/>
          <w:sz w:val="18"/>
          <w:szCs w:val="18"/>
          <w:lang w:eastAsia="zh-CN"/>
        </w:rPr>
      </w:pPr>
      <w:r w:rsidRPr="00204598">
        <w:rPr>
          <w:rFonts w:ascii="Times New Roman" w:eastAsiaTheme="minorEastAsia" w:hAnsi="Times New Roman" w:hint="eastAsia"/>
          <w:sz w:val="18"/>
          <w:szCs w:val="18"/>
          <w:lang w:eastAsia="zh-CN"/>
        </w:rPr>
        <w:br w:type="page"/>
      </w:r>
    </w:p>
    <w:p w14:paraId="35B285F3" w14:textId="77777777" w:rsidR="00BA1D8E" w:rsidRPr="00204598" w:rsidRDefault="00000000">
      <w:pPr>
        <w:spacing w:line="288" w:lineRule="auto"/>
        <w:rPr>
          <w:rFonts w:ascii="Times New Roman" w:hAnsi="Times New Roman"/>
          <w:b/>
          <w:bCs/>
          <w:szCs w:val="20"/>
        </w:rPr>
      </w:pPr>
      <w:r w:rsidRPr="00204598">
        <w:rPr>
          <w:rFonts w:ascii="Times New Roman" w:hAnsi="Times New Roman" w:hint="eastAsia"/>
          <w:b/>
          <w:bCs/>
          <w:szCs w:val="20"/>
        </w:rPr>
        <w:lastRenderedPageBreak/>
        <w:t>Supplementa</w:t>
      </w:r>
      <w:r w:rsidRPr="00204598">
        <w:rPr>
          <w:rFonts w:ascii="Times New Roman" w:eastAsia="SimSun" w:hAnsi="Times New Roman" w:hint="eastAsia"/>
          <w:b/>
          <w:bCs/>
          <w:szCs w:val="20"/>
          <w:lang w:eastAsia="zh-CN"/>
        </w:rPr>
        <w:t>ry</w:t>
      </w:r>
      <w:r w:rsidRPr="00204598">
        <w:rPr>
          <w:rFonts w:ascii="Times New Roman" w:hAnsi="Times New Roman" w:hint="eastAsia"/>
          <w:b/>
          <w:bCs/>
          <w:szCs w:val="20"/>
        </w:rPr>
        <w:t xml:space="preserve"> T</w:t>
      </w:r>
      <w:r w:rsidRPr="00204598">
        <w:rPr>
          <w:rFonts w:ascii="Times New Roman" w:hAnsi="Times New Roman"/>
          <w:b/>
          <w:bCs/>
          <w:szCs w:val="20"/>
        </w:rPr>
        <w:t xml:space="preserve">able </w:t>
      </w:r>
      <w:r w:rsidRPr="00204598">
        <w:rPr>
          <w:rFonts w:ascii="Times New Roman" w:hAnsi="Times New Roman" w:hint="eastAsia"/>
          <w:b/>
          <w:bCs/>
          <w:szCs w:val="20"/>
        </w:rPr>
        <w:t>2</w:t>
      </w:r>
      <w:r w:rsidRPr="00204598">
        <w:rPr>
          <w:rFonts w:ascii="Times New Roman" w:hAnsi="Times New Roman"/>
          <w:b/>
          <w:bCs/>
          <w:szCs w:val="20"/>
        </w:rPr>
        <w:t xml:space="preserve">. </w:t>
      </w:r>
      <w:r w:rsidRPr="00204598">
        <w:rPr>
          <w:rFonts w:ascii="Times New Roman" w:hAnsi="Times New Roman" w:hint="eastAsia"/>
          <w:szCs w:val="20"/>
        </w:rPr>
        <w:t>C</w:t>
      </w:r>
      <w:r w:rsidRPr="00204598">
        <w:rPr>
          <w:rFonts w:ascii="Times New Roman" w:hAnsi="Times New Roman"/>
          <w:szCs w:val="20"/>
        </w:rPr>
        <w:t xml:space="preserve">linicopathologic </w:t>
      </w:r>
      <w:r w:rsidRPr="00204598">
        <w:rPr>
          <w:rFonts w:ascii="Times New Roman" w:hAnsi="Times New Roman" w:hint="eastAsia"/>
          <w:szCs w:val="20"/>
        </w:rPr>
        <w:t xml:space="preserve">characteristics associated with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recurrence</w:t>
      </w:r>
      <w:r w:rsidRPr="00204598">
        <w:rPr>
          <w:rFonts w:ascii="Times New Roman" w:eastAsia="SimSun" w:hAnsi="Times New Roman"/>
          <w:szCs w:val="20"/>
        </w:rPr>
        <w:t xml:space="preserve">/residual </w:t>
      </w:r>
      <w:r w:rsidRPr="00204598">
        <w:rPr>
          <w:rFonts w:ascii="Times New Roman" w:hAnsi="Times New Roman" w:hint="eastAsia"/>
          <w:szCs w:val="20"/>
        </w:rPr>
        <w:t>HSIL/LSIL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717"/>
        <w:gridCol w:w="2791"/>
        <w:gridCol w:w="2569"/>
        <w:gridCol w:w="970"/>
      </w:tblGrid>
      <w:tr w:rsidR="00BA1D8E" w:rsidRPr="00204598" w14:paraId="40950D08" w14:textId="77777777">
        <w:trPr>
          <w:trHeight w:val="302"/>
        </w:trPr>
        <w:tc>
          <w:tcPr>
            <w:tcW w:w="15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C97C8B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b/>
                <w:bCs/>
                <w:szCs w:val="20"/>
              </w:rPr>
              <w:t>Items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BB9BFC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eastAsia="SimSun" w:hAnsi="Times New Roman"/>
                <w:b/>
                <w:bCs/>
                <w:szCs w:val="20"/>
                <w:lang w:eastAsia="zh-CN"/>
              </w:rPr>
            </w:pPr>
            <w:r w:rsidRPr="00204598">
              <w:rPr>
                <w:rFonts w:ascii="Times New Roman" w:eastAsia="SimSun" w:hAnsi="Times New Roman" w:hint="eastAsia"/>
                <w:b/>
                <w:bCs/>
                <w:szCs w:val="20"/>
                <w:lang w:eastAsia="zh-CN"/>
              </w:rPr>
              <w:t>Recurrence</w:t>
            </w: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>/residual HSIL</w:t>
            </w:r>
            <w:r w:rsidRPr="00204598">
              <w:rPr>
                <w:rFonts w:ascii="Times New Roman" w:eastAsia="SimSun" w:hAnsi="Times New Roman" w:hint="eastAsia"/>
                <w:b/>
                <w:bCs/>
                <w:szCs w:val="20"/>
                <w:vertAlign w:val="superscript"/>
                <w:lang w:eastAsia="zh-CN"/>
              </w:rPr>
              <w:t>a</w:t>
            </w:r>
          </w:p>
        </w:tc>
        <w:tc>
          <w:tcPr>
            <w:tcW w:w="14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5C1B4A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eastAsia="SimSun" w:hAnsi="Times New Roman"/>
                <w:b/>
                <w:bCs/>
                <w:szCs w:val="20"/>
                <w:lang w:eastAsia="zh-CN"/>
              </w:rPr>
            </w:pPr>
            <w:r w:rsidRPr="00204598">
              <w:rPr>
                <w:rFonts w:ascii="Times New Roman" w:eastAsia="SimSun" w:hAnsi="Times New Roman" w:hint="eastAsia"/>
                <w:b/>
                <w:bCs/>
                <w:szCs w:val="20"/>
                <w:lang w:eastAsia="zh-CN"/>
              </w:rPr>
              <w:t>Recurrence</w:t>
            </w: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>/residual LSIL</w:t>
            </w:r>
            <w:r w:rsidRPr="00204598">
              <w:rPr>
                <w:rFonts w:ascii="Times New Roman" w:eastAsia="SimSun" w:hAnsi="Times New Roman" w:hint="eastAsia"/>
                <w:b/>
                <w:bCs/>
                <w:szCs w:val="20"/>
                <w:vertAlign w:val="superscript"/>
                <w:lang w:eastAsia="zh-CN"/>
              </w:rPr>
              <w:t>b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8FD2C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eastAsia="SimSun" w:hAnsi="Times New Roman"/>
                <w:b/>
                <w:bCs/>
                <w:szCs w:val="20"/>
                <w:lang w:eastAsia="zh-CN"/>
              </w:rPr>
            </w:pPr>
            <w:r w:rsidRPr="00204598">
              <w:rPr>
                <w:rFonts w:ascii="Times New Roman" w:eastAsia="SimSun" w:hAnsi="Times New Roman" w:hint="eastAsia"/>
                <w:b/>
                <w:bCs/>
                <w:i/>
                <w:iCs/>
                <w:szCs w:val="20"/>
                <w:lang w:eastAsia="zh-CN"/>
              </w:rPr>
              <w:t>P</w:t>
            </w:r>
            <w:r w:rsidRPr="00204598">
              <w:rPr>
                <w:rFonts w:ascii="Times New Roman" w:hAnsi="Times New Roman" w:hint="eastAsia"/>
                <w:b/>
                <w:bCs/>
                <w:i/>
                <w:iCs/>
                <w:szCs w:val="20"/>
              </w:rPr>
              <w:t xml:space="preserve"> </w:t>
            </w:r>
            <w:r w:rsidRPr="00204598">
              <w:rPr>
                <w:rFonts w:ascii="Times New Roman" w:hAnsi="Times New Roman" w:hint="eastAsia"/>
                <w:b/>
                <w:bCs/>
                <w:szCs w:val="20"/>
              </w:rPr>
              <w:t>value</w:t>
            </w:r>
            <w:r w:rsidRPr="00204598">
              <w:rPr>
                <w:rFonts w:ascii="Times New Roman" w:eastAsia="SimSun" w:hAnsi="Times New Roman" w:hint="eastAsia"/>
                <w:b/>
                <w:bCs/>
                <w:szCs w:val="20"/>
                <w:vertAlign w:val="superscript"/>
                <w:lang w:eastAsia="zh-CN"/>
              </w:rPr>
              <w:t>c</w:t>
            </w:r>
          </w:p>
        </w:tc>
      </w:tr>
      <w:tr w:rsidR="00BA1D8E" w:rsidRPr="00204598" w14:paraId="042AE83E" w14:textId="77777777">
        <w:trPr>
          <w:trHeight w:val="1258"/>
        </w:trPr>
        <w:tc>
          <w:tcPr>
            <w:tcW w:w="15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21BA5B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Age (years)</w:t>
            </w:r>
          </w:p>
          <w:p w14:paraId="75F715B7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&lt; 40</w:t>
            </w:r>
          </w:p>
          <w:p w14:paraId="2308F376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szCs w:val="20"/>
              </w:rPr>
              <w:t>≥</w:t>
            </w:r>
            <w:r w:rsidRPr="00204598">
              <w:rPr>
                <w:rFonts w:ascii="Times New Roman" w:hAnsi="Times New Roman" w:hint="eastAsia"/>
                <w:szCs w:val="20"/>
              </w:rPr>
              <w:t xml:space="preserve"> 40</w:t>
            </w:r>
          </w:p>
          <w:p w14:paraId="2970B196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Gland invasive</w:t>
            </w:r>
          </w:p>
          <w:p w14:paraId="6359986A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No invasion</w:t>
            </w:r>
          </w:p>
          <w:p w14:paraId="7F38FAF0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Invasion</w:t>
            </w:r>
          </w:p>
          <w:p w14:paraId="47FFC0A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Margin status</w:t>
            </w:r>
          </w:p>
          <w:p w14:paraId="398D8248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Negative</w:t>
            </w:r>
          </w:p>
          <w:p w14:paraId="04CBDAED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Positive</w:t>
            </w:r>
          </w:p>
          <w:p w14:paraId="1B9A769D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szCs w:val="20"/>
              </w:rPr>
              <w:t>Preoperative</w:t>
            </w:r>
            <w:r w:rsidRPr="00204598">
              <w:rPr>
                <w:rFonts w:ascii="Times New Roman" w:hAnsi="Times New Roman" w:hint="eastAsia"/>
                <w:szCs w:val="20"/>
              </w:rPr>
              <w:t xml:space="preserve"> cytology</w:t>
            </w:r>
          </w:p>
          <w:p w14:paraId="0FC52793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NILM</w:t>
            </w:r>
          </w:p>
          <w:p w14:paraId="198BF145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ASC-US or worse</w:t>
            </w:r>
          </w:p>
          <w:p w14:paraId="28B3A6C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szCs w:val="20"/>
              </w:rPr>
              <w:t>Preoperative</w:t>
            </w:r>
            <w:r w:rsidRPr="00204598">
              <w:rPr>
                <w:rFonts w:ascii="Times New Roman" w:hAnsi="Times New Roman" w:hint="eastAsia"/>
                <w:szCs w:val="20"/>
              </w:rPr>
              <w:t xml:space="preserve"> pathology</w:t>
            </w:r>
          </w:p>
          <w:p w14:paraId="0F1106EB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szCs w:val="20"/>
              </w:rPr>
              <w:t>CIN Ⅱ</w:t>
            </w:r>
          </w:p>
          <w:p w14:paraId="1B431FD1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szCs w:val="20"/>
              </w:rPr>
              <w:t>CIN Ⅲ</w:t>
            </w:r>
          </w:p>
          <w:p w14:paraId="79286279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HR-HPV infection</w:t>
            </w:r>
          </w:p>
          <w:p w14:paraId="1D56BC16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Negative</w:t>
            </w:r>
          </w:p>
          <w:p w14:paraId="237A62D9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Positive</w:t>
            </w:r>
          </w:p>
          <w:p w14:paraId="292EE3EB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HPV genotype</w:t>
            </w:r>
          </w:p>
          <w:p w14:paraId="06EA73FC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None or single</w:t>
            </w:r>
          </w:p>
          <w:p w14:paraId="6B703434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Double or multiple</w:t>
            </w:r>
          </w:p>
          <w:p w14:paraId="4A8FAECB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/>
                <w:szCs w:val="20"/>
              </w:rPr>
              <w:t>Preoperative</w:t>
            </w:r>
            <w:r w:rsidRPr="00204598">
              <w:rPr>
                <w:rFonts w:ascii="Times New Roman" w:hAnsi="Times New Roman" w:hint="eastAsia"/>
                <w:szCs w:val="20"/>
              </w:rPr>
              <w:t xml:space="preserve"> serum markers</w:t>
            </w:r>
          </w:p>
          <w:p w14:paraId="05317DFD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 xml:space="preserve">White blood cell count </w:t>
            </w:r>
          </w:p>
          <w:p w14:paraId="56BAF706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Neutrophil count</w:t>
            </w:r>
          </w:p>
          <w:p w14:paraId="5DA39026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Lymphocyte count</w:t>
            </w:r>
          </w:p>
          <w:p w14:paraId="66DDDC04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Monocyte count</w:t>
            </w:r>
          </w:p>
          <w:p w14:paraId="684E79F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Systemic inflammation index</w:t>
            </w:r>
          </w:p>
          <w:p w14:paraId="25A9E3E1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NLR</w:t>
            </w:r>
          </w:p>
          <w:p w14:paraId="0197FED7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LMR</w:t>
            </w:r>
          </w:p>
          <w:p w14:paraId="3F183840" w14:textId="77777777" w:rsidR="00BA1D8E" w:rsidRPr="00204598" w:rsidRDefault="00000000">
            <w:pPr>
              <w:spacing w:line="288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PLR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32C74B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7A14579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17 (70.8%)</w:t>
            </w:r>
          </w:p>
          <w:p w14:paraId="797149C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7 (29.2%)</w:t>
            </w:r>
          </w:p>
          <w:p w14:paraId="0A27E59C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37A03976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8 (33.3%)</w:t>
            </w:r>
          </w:p>
          <w:p w14:paraId="18C928A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16 (66.7%)</w:t>
            </w:r>
          </w:p>
          <w:p w14:paraId="78295EC3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62565B5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24 (100.0%)</w:t>
            </w:r>
          </w:p>
          <w:p w14:paraId="43BBCF2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 (0.0%)</w:t>
            </w:r>
          </w:p>
          <w:p w14:paraId="17071BC8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06C190DD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8 (33.3%)</w:t>
            </w:r>
          </w:p>
          <w:p w14:paraId="4ADF3385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16 (66.7%)</w:t>
            </w:r>
          </w:p>
          <w:p w14:paraId="6FC848DC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71A00E1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16 (66.7%)</w:t>
            </w:r>
          </w:p>
          <w:p w14:paraId="24487C9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8 (33.3%)</w:t>
            </w:r>
          </w:p>
          <w:p w14:paraId="0BE1762B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37F0F0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3 (12.5%)</w:t>
            </w:r>
          </w:p>
          <w:p w14:paraId="1C6FB33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21 (87.5%)</w:t>
            </w:r>
          </w:p>
          <w:p w14:paraId="043A351F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4814A35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17 (29.2%)</w:t>
            </w:r>
          </w:p>
          <w:p w14:paraId="5ACAA8C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7 (70.8%)</w:t>
            </w:r>
          </w:p>
          <w:p w14:paraId="2BB9BD46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0F9EFE4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6.36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618C8C3A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eastAsia="SimSun" w:hAnsi="Times New Roman"/>
                <w:szCs w:val="20"/>
                <w:lang w:eastAsia="zh-CN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4.14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67EC890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1.73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7850AF7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0.38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4A689311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28DED269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2.63</w:t>
            </w:r>
          </w:p>
          <w:p w14:paraId="073ADAD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146.30</w:t>
            </w:r>
          </w:p>
          <w:p w14:paraId="77E9412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5.08</w:t>
            </w:r>
          </w:p>
        </w:tc>
        <w:tc>
          <w:tcPr>
            <w:tcW w:w="14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74EB47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0272DD89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26 (100.0%)</w:t>
            </w:r>
          </w:p>
          <w:p w14:paraId="0BA982FA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 (0.0%)</w:t>
            </w:r>
          </w:p>
          <w:p w14:paraId="011258C3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37E3F43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7 (36.8%)</w:t>
            </w:r>
          </w:p>
          <w:p w14:paraId="3F1BD1B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19 (63.2%)</w:t>
            </w:r>
          </w:p>
          <w:p w14:paraId="29488C88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5F44025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26 (100.0%)</w:t>
            </w:r>
          </w:p>
          <w:p w14:paraId="4F1AA1A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 (0.0%)</w:t>
            </w:r>
          </w:p>
          <w:p w14:paraId="4BB7E8D8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96C7F4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7 (26.9%)</w:t>
            </w:r>
          </w:p>
          <w:p w14:paraId="025AEA3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19 (73.1%)</w:t>
            </w:r>
          </w:p>
          <w:p w14:paraId="74D6D36E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707A124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23 (88.5%)</w:t>
            </w:r>
          </w:p>
          <w:p w14:paraId="161D281C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3 (11.5%)</w:t>
            </w:r>
          </w:p>
          <w:p w14:paraId="779871B1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2E4E83FF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 (0.0%)</w:t>
            </w:r>
          </w:p>
          <w:p w14:paraId="152A884F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26 (100.0%)</w:t>
            </w:r>
          </w:p>
          <w:p w14:paraId="1BBBFACB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15910B26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15 (57.7%)</w:t>
            </w:r>
          </w:p>
          <w:p w14:paraId="78657CA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11 (42.3%)</w:t>
            </w:r>
          </w:p>
          <w:p w14:paraId="686B25CC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7195DFF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5.96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1DBD22C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3.60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7BEBFA7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1.86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26F3AC3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0.42</w:t>
            </w:r>
            <w:r w:rsidRPr="00204598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</w:t>
            </w:r>
            <w:r w:rsidRPr="00204598">
              <w:rPr>
                <w:rFonts w:ascii="Times New Roman" w:hAnsi="Times New Roman" w:hint="eastAsia"/>
                <w:szCs w:val="20"/>
              </w:rPr>
              <w:t>(</w:t>
            </w:r>
            <w:r w:rsidRPr="00204598">
              <w:rPr>
                <w:rFonts w:ascii="Times New Roman" w:hAnsi="Times New Roman"/>
                <w:szCs w:val="20"/>
              </w:rPr>
              <w:t>×</w:t>
            </w:r>
            <w:r w:rsidRPr="00204598">
              <w:rPr>
                <w:rFonts w:ascii="Times New Roman" w:hAnsi="Times New Roman" w:hint="eastAsia"/>
                <w:szCs w:val="20"/>
              </w:rPr>
              <w:t>10</w:t>
            </w:r>
            <w:r w:rsidRPr="00204598">
              <w:rPr>
                <w:rFonts w:ascii="Times New Roman" w:hAnsi="Times New Roman" w:hint="eastAsia"/>
                <w:szCs w:val="20"/>
                <w:vertAlign w:val="superscript"/>
              </w:rPr>
              <w:t>9</w:t>
            </w:r>
            <w:r w:rsidRPr="00204598">
              <w:rPr>
                <w:rFonts w:ascii="Times New Roman" w:hAnsi="Times New Roman" w:hint="eastAsia"/>
                <w:szCs w:val="20"/>
              </w:rPr>
              <w:t>/L)</w:t>
            </w:r>
          </w:p>
          <w:p w14:paraId="6D21F0C6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4A1ECA60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2.09</w:t>
            </w:r>
          </w:p>
          <w:p w14:paraId="1A4694D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142.45</w:t>
            </w:r>
          </w:p>
          <w:p w14:paraId="20C8353A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4.66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AEABF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0.010</w:t>
            </w:r>
          </w:p>
          <w:p w14:paraId="3708F269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D487664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0FF2C8C7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0.621</w:t>
            </w:r>
          </w:p>
          <w:p w14:paraId="700D23E0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4326414F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2DA4542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-</w:t>
            </w:r>
          </w:p>
          <w:p w14:paraId="143C6D6D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D3EB69A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19F02124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0.621</w:t>
            </w:r>
          </w:p>
          <w:p w14:paraId="2C342AD6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85C1587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2FB2C851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0.063</w:t>
            </w:r>
          </w:p>
          <w:p w14:paraId="78BB90F5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4EB4F66C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0F5E6AF9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0.063</w:t>
            </w:r>
          </w:p>
          <w:p w14:paraId="343A8EDA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4587041B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67B5618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0.333</w:t>
            </w:r>
          </w:p>
          <w:p w14:paraId="346AD966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0222ECBC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10E09123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122C9EF9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0.607</w:t>
            </w:r>
          </w:p>
          <w:p w14:paraId="54DB63DD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0.327</w:t>
            </w:r>
          </w:p>
          <w:p w14:paraId="7F92F1F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0.272</w:t>
            </w:r>
          </w:p>
          <w:p w14:paraId="4359AB62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0.536</w:t>
            </w:r>
          </w:p>
          <w:p w14:paraId="6210A4D8" w14:textId="77777777" w:rsidR="00BA1D8E" w:rsidRPr="00204598" w:rsidRDefault="00BA1D8E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</w:p>
          <w:p w14:paraId="3390CEEE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0.954</w:t>
            </w:r>
          </w:p>
          <w:p w14:paraId="555F5FD8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0.831</w:t>
            </w:r>
          </w:p>
          <w:p w14:paraId="46ECC413" w14:textId="77777777" w:rsidR="00BA1D8E" w:rsidRPr="00204598" w:rsidRDefault="00000000">
            <w:pPr>
              <w:spacing w:line="288" w:lineRule="auto"/>
              <w:jc w:val="left"/>
              <w:rPr>
                <w:rFonts w:ascii="Times New Roman" w:hAnsi="Times New Roman"/>
                <w:szCs w:val="20"/>
              </w:rPr>
            </w:pPr>
            <w:r w:rsidRPr="00204598">
              <w:rPr>
                <w:rFonts w:ascii="Times New Roman" w:hAnsi="Times New Roman" w:hint="eastAsia"/>
                <w:szCs w:val="20"/>
              </w:rPr>
              <w:t>0.341</w:t>
            </w:r>
          </w:p>
        </w:tc>
      </w:tr>
    </w:tbl>
    <w:p w14:paraId="7D1C561B" w14:textId="77777777" w:rsidR="00BA1D8E" w:rsidRPr="00204598" w:rsidRDefault="00000000">
      <w:pPr>
        <w:spacing w:line="288" w:lineRule="auto"/>
        <w:jc w:val="both"/>
        <w:rPr>
          <w:rFonts w:ascii="Times New Roman" w:hAnsi="Times New Roman"/>
          <w:szCs w:val="20"/>
        </w:rPr>
      </w:pPr>
      <w:r w:rsidRPr="00204598">
        <w:rPr>
          <w:rFonts w:ascii="Times New Roman" w:hAnsi="Times New Roman" w:hint="eastAsia"/>
          <w:b/>
          <w:bCs/>
          <w:szCs w:val="20"/>
        </w:rPr>
        <w:t xml:space="preserve">Notes: </w:t>
      </w:r>
      <w:r w:rsidRPr="00204598">
        <w:rPr>
          <w:rFonts w:ascii="Times New Roman" w:eastAsia="SimSun" w:hAnsi="Times New Roman" w:hint="eastAsia"/>
          <w:szCs w:val="20"/>
          <w:vertAlign w:val="superscript"/>
          <w:lang w:eastAsia="zh-CN"/>
        </w:rPr>
        <w:t xml:space="preserve">a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Recurrence</w:t>
      </w:r>
      <w:r w:rsidRPr="00204598">
        <w:rPr>
          <w:rFonts w:ascii="Times New Roman" w:hAnsi="Times New Roman" w:hint="eastAsia"/>
          <w:szCs w:val="20"/>
        </w:rPr>
        <w:t>/residual HSIL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 was defined as HSIL confirmed after operation; </w:t>
      </w:r>
      <w:r w:rsidRPr="00204598">
        <w:rPr>
          <w:rFonts w:ascii="Times New Roman" w:eastAsia="SimSun" w:hAnsi="Times New Roman" w:hint="eastAsia"/>
          <w:szCs w:val="20"/>
          <w:vertAlign w:val="superscript"/>
          <w:lang w:eastAsia="zh-CN"/>
        </w:rPr>
        <w:t xml:space="preserve">b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recurrence</w:t>
      </w:r>
      <w:r w:rsidRPr="00204598">
        <w:rPr>
          <w:rFonts w:ascii="Times New Roman" w:hAnsi="Times New Roman" w:hint="eastAsia"/>
          <w:szCs w:val="20"/>
        </w:rPr>
        <w:t xml:space="preserve">/residual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L</w:t>
      </w:r>
      <w:r w:rsidRPr="00204598">
        <w:rPr>
          <w:rFonts w:ascii="Times New Roman" w:hAnsi="Times New Roman" w:hint="eastAsia"/>
          <w:szCs w:val="20"/>
        </w:rPr>
        <w:t>SIL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 was defined as LSIL confirmed after operation;</w:t>
      </w:r>
      <w:r w:rsidRPr="00204598">
        <w:rPr>
          <w:rFonts w:ascii="Times New Roman" w:hAnsi="Times New Roman" w:hint="eastAsia"/>
          <w:szCs w:val="20"/>
        </w:rPr>
        <w:t xml:space="preserve"> </w:t>
      </w:r>
      <w:r w:rsidRPr="00204598">
        <w:rPr>
          <w:rFonts w:ascii="Times New Roman" w:eastAsia="SimSun" w:hAnsi="Times New Roman" w:hint="eastAsia"/>
          <w:szCs w:val="20"/>
          <w:vertAlign w:val="superscript"/>
          <w:lang w:eastAsia="zh-CN"/>
        </w:rPr>
        <w:t xml:space="preserve">c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a </w:t>
      </w:r>
      <w:r w:rsidRPr="00204598">
        <w:rPr>
          <w:rFonts w:ascii="Times New Roman" w:hAnsi="Times New Roman" w:hint="eastAsia"/>
          <w:i/>
          <w:iCs/>
          <w:szCs w:val="20"/>
        </w:rPr>
        <w:t>p</w:t>
      </w:r>
      <w:r w:rsidRPr="00204598">
        <w:rPr>
          <w:rFonts w:ascii="Times New Roman" w:eastAsia="SimSun" w:hAnsi="Times New Roman" w:hint="eastAsia"/>
          <w:i/>
          <w:iCs/>
          <w:szCs w:val="20"/>
          <w:lang w:eastAsia="zh-CN"/>
        </w:rPr>
        <w:t xml:space="preserve">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value</w:t>
      </w:r>
      <w:r w:rsidRPr="00204598">
        <w:rPr>
          <w:rFonts w:ascii="Times New Roman" w:hAnsi="Times New Roman" w:hint="eastAsia"/>
          <w:szCs w:val="20"/>
        </w:rPr>
        <w:t xml:space="preserve">&lt;0.05 indicates a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statistically</w:t>
      </w:r>
      <w:r w:rsidRPr="00204598">
        <w:rPr>
          <w:rFonts w:ascii="Times New Roman" w:hAnsi="Times New Roman" w:hint="eastAsia"/>
          <w:szCs w:val="20"/>
        </w:rPr>
        <w:t xml:space="preserve">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significance</w:t>
      </w:r>
      <w:r w:rsidRPr="00204598">
        <w:rPr>
          <w:rFonts w:ascii="Times New Roman" w:hAnsi="Times New Roman" w:hint="eastAsia"/>
          <w:szCs w:val="20"/>
        </w:rPr>
        <w:t>.</w:t>
      </w:r>
    </w:p>
    <w:p w14:paraId="432043DE" w14:textId="77777777" w:rsidR="00BA1D8E" w:rsidRDefault="00000000">
      <w:pPr>
        <w:spacing w:line="288" w:lineRule="auto"/>
        <w:jc w:val="both"/>
        <w:rPr>
          <w:rFonts w:ascii="Times New Roman" w:eastAsiaTheme="minorEastAsia" w:hAnsi="Times New Roman"/>
          <w:sz w:val="18"/>
          <w:szCs w:val="18"/>
          <w:lang w:eastAsia="zh-CN"/>
        </w:rPr>
      </w:pPr>
      <w:r w:rsidRPr="00204598">
        <w:rPr>
          <w:rFonts w:ascii="Times New Roman" w:hAnsi="Times New Roman" w:hint="eastAsia"/>
          <w:b/>
          <w:bCs/>
          <w:szCs w:val="20"/>
        </w:rPr>
        <w:t>Abbreviations:</w:t>
      </w:r>
      <w:r w:rsidRPr="00204598">
        <w:rPr>
          <w:rFonts w:ascii="Times New Roman" w:hAnsi="Times New Roman" w:hint="eastAsia"/>
          <w:szCs w:val="20"/>
        </w:rPr>
        <w:t xml:space="preserve"> 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HSIL, </w:t>
      </w:r>
      <w:r w:rsidRPr="00204598">
        <w:rPr>
          <w:rFonts w:ascii="Times New Roman" w:hAnsi="Times New Roman" w:hint="eastAsia"/>
          <w:szCs w:val="20"/>
        </w:rPr>
        <w:t>high-grade squamous intraepithelial lesion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>; LSIL, low</w:t>
      </w:r>
      <w:r w:rsidRPr="00204598">
        <w:rPr>
          <w:rFonts w:ascii="Times New Roman" w:hAnsi="Times New Roman" w:hint="eastAsia"/>
          <w:szCs w:val="20"/>
        </w:rPr>
        <w:t>-grade squamous intraepithelial lesion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; </w:t>
      </w:r>
      <w:r w:rsidRPr="00204598">
        <w:rPr>
          <w:rFonts w:ascii="Times New Roman" w:hAnsi="Times New Roman" w:hint="eastAsia"/>
          <w:szCs w:val="20"/>
        </w:rPr>
        <w:t>NILM, no intraepithelial lesions or malignant cells; ASC-US, atypical squamous cells of undetermined significance;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 </w:t>
      </w:r>
      <w:r w:rsidRPr="00204598">
        <w:rPr>
          <w:rFonts w:ascii="Times New Roman" w:hAnsi="Times New Roman" w:hint="eastAsia"/>
          <w:szCs w:val="20"/>
        </w:rPr>
        <w:t>CIN,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 </w:t>
      </w:r>
      <w:r w:rsidRPr="00204598">
        <w:rPr>
          <w:rFonts w:ascii="Times New Roman" w:hAnsi="Times New Roman" w:hint="eastAsia"/>
          <w:szCs w:val="20"/>
        </w:rPr>
        <w:t>cervical intraepithelial neoplasia;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 </w:t>
      </w:r>
      <w:r w:rsidRPr="00204598">
        <w:rPr>
          <w:rFonts w:ascii="Times New Roman" w:hAnsi="Times New Roman" w:hint="eastAsia"/>
          <w:szCs w:val="20"/>
        </w:rPr>
        <w:t>HR-HPV, high-risk human papillomavirus;</w:t>
      </w:r>
      <w:r w:rsidRPr="00204598">
        <w:rPr>
          <w:rFonts w:ascii="Times New Roman" w:eastAsia="SimSun" w:hAnsi="Times New Roman" w:hint="eastAsia"/>
          <w:szCs w:val="20"/>
          <w:lang w:eastAsia="zh-CN"/>
        </w:rPr>
        <w:t xml:space="preserve"> </w:t>
      </w:r>
      <w:r w:rsidRPr="00204598">
        <w:rPr>
          <w:rFonts w:ascii="Times New Roman" w:hAnsi="Times New Roman" w:hint="eastAsia"/>
          <w:szCs w:val="20"/>
        </w:rPr>
        <w:t>NLR, neutrophil-to-lymphocyte ratio; LMR, lymphocyte-monocyte ratio; PLR, platelet-to-lymphocyte ratio.</w:t>
      </w:r>
    </w:p>
    <w:sectPr w:rsidR="00BA1D8E">
      <w:footerReference w:type="even" r:id="rId8"/>
      <w:footerReference w:type="default" r:id="rId9"/>
      <w:footerReference w:type="first" r:id="rId10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EF34" w14:textId="77777777" w:rsidR="00D76F4A" w:rsidRDefault="00D76F4A">
      <w:pPr>
        <w:spacing w:line="240" w:lineRule="auto"/>
      </w:pPr>
      <w:r>
        <w:separator/>
      </w:r>
    </w:p>
  </w:endnote>
  <w:endnote w:type="continuationSeparator" w:id="0">
    <w:p w14:paraId="3A6CFDEA" w14:textId="77777777" w:rsidR="00D76F4A" w:rsidRDefault="00D7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A6F5" w14:textId="1F70CA5F" w:rsidR="00BA1D8E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04598">
      <w:rPr>
        <w:rStyle w:val="PageNumber"/>
      </w:rPr>
      <w:fldChar w:fldCharType="separate"/>
    </w:r>
    <w:r w:rsidR="002045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53C91D" w14:textId="77777777" w:rsidR="00BA1D8E" w:rsidRDefault="00BA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082D" w14:textId="77777777" w:rsidR="00BA1D8E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E8A6EC" wp14:editId="0C58783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5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70CD3" w14:textId="77777777" w:rsidR="00BA1D8E" w:rsidRDefault="0000000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wrap="square"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type w14:anchorId="24E8A6EC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" o:allowincell="f" filled="f" stroked="f">
              <v:textbox inset="20pt,0,,0">
                <w:txbxContent>
                  <w:p w14:paraId="13370CD3" w14:textId="77777777" w:rsidR="00BA1D8E" w:rsidRDefault="0000000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007E7B05" w14:textId="77777777" w:rsidR="00BA1D8E" w:rsidRDefault="00BA1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181B" w14:textId="77777777" w:rsidR="00BA1D8E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098118" wp14:editId="3CAA53C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6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BEB60" w14:textId="77777777" w:rsidR="00BA1D8E" w:rsidRDefault="0000000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wrap="square"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type w14:anchorId="39098118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" o:allowincell="f" filled="f" stroked="f">
              <v:textbox inset="20pt,0,,0">
                <w:txbxContent>
                  <w:p w14:paraId="6D5BEB60" w14:textId="77777777" w:rsidR="00BA1D8E" w:rsidRDefault="0000000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45E6" w14:textId="77777777" w:rsidR="00D76F4A" w:rsidRDefault="00D76F4A">
      <w:r>
        <w:separator/>
      </w:r>
    </w:p>
  </w:footnote>
  <w:footnote w:type="continuationSeparator" w:id="0">
    <w:p w14:paraId="4078FA30" w14:textId="77777777" w:rsidR="00D76F4A" w:rsidRDefault="00D7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3ZGQ3OGEwMjQxZTg1Y2QyNDE3ODJkMGExNjIyNTYifQ==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172A27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2A27"/>
    <w:rsid w:val="00173279"/>
    <w:rsid w:val="00191F49"/>
    <w:rsid w:val="001E7479"/>
    <w:rsid w:val="00203209"/>
    <w:rsid w:val="00204598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6FEB"/>
    <w:rsid w:val="00B96017"/>
    <w:rsid w:val="00BA1D8E"/>
    <w:rsid w:val="00BB027B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76F4A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6677F89"/>
    <w:rsid w:val="077B44F5"/>
    <w:rsid w:val="275A0417"/>
    <w:rsid w:val="2AD255E9"/>
    <w:rsid w:val="2B2F68D7"/>
    <w:rsid w:val="3C8666B4"/>
    <w:rsid w:val="3CBE2FCB"/>
    <w:rsid w:val="3FC0093D"/>
    <w:rsid w:val="4E3E3F9B"/>
    <w:rsid w:val="50406E4E"/>
    <w:rsid w:val="58232592"/>
    <w:rsid w:val="62AB1710"/>
    <w:rsid w:val="67664CE3"/>
    <w:rsid w:val="701A2CCA"/>
    <w:rsid w:val="7AB8774E"/>
    <w:rsid w:val="7D1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0D068"/>
  <w15:docId w15:val="{F272A796-60C9-4595-B660-EF9D982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qFormat/>
    <w:rPr>
      <w:b/>
      <w:bCs/>
    </w:rPr>
  </w:style>
  <w:style w:type="character" w:styleId="LineNumber">
    <w:name w:val="line number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_7ATIvrhbE4kzlME3SojWFYQb9Cm-cW7lS9fhvETUAxmdff-M1pq9zR32fJ1yumfJPgF2Jai3LbHOChfJdLdoDcSsdbDpSoSc-3g-Ft3M5LTZ2EPQDIfBM6v26fziiq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2216</Characters>
  <Application>Microsoft Office Word</Application>
  <DocSecurity>0</DocSecurity>
  <Lines>18</Lines>
  <Paragraphs>5</Paragraphs>
  <ScaleCrop>false</ScaleCrop>
  <Company>Dove Medical Press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Bartle, Claudia</cp:lastModifiedBy>
  <cp:revision>4</cp:revision>
  <cp:lastPrinted>2009-01-07T21:57:00Z</cp:lastPrinted>
  <dcterms:created xsi:type="dcterms:W3CDTF">2022-06-22T01:38:00Z</dcterms:created>
  <dcterms:modified xsi:type="dcterms:W3CDTF">2023-04-12T22:11:00Z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D37F3AD64C574C218FB0147367FB4B4D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2023-04-12T22:11:58Z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4360e25c-3fd2-4174-9d03-ea419103e4e4</vt:lpwstr>
  </property>
  <property fmtid="{D5CDD505-2E9C-101B-9397-08002B2CF9AE}" pid="10" name="MSIP_Label_2bbab825-a111-45e4-86a1-18cee0005896_ContentBits">
    <vt:lpwstr>2</vt:lpwstr>
  </property>
</Properties>
</file>