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D6A5E" w14:textId="77777777" w:rsidR="005700CA" w:rsidRDefault="005700CA" w:rsidP="005700CA">
      <w:pPr>
        <w:pStyle w:val="Heading1"/>
        <w:rPr>
          <w:rFonts w:ascii="Arial" w:hAnsi="Arial"/>
          <w:sz w:val="24"/>
          <w:szCs w:val="24"/>
        </w:rPr>
      </w:pPr>
      <w:bookmarkStart w:id="0" w:name="_Toc89764635"/>
      <w:r w:rsidRPr="00B55EDB">
        <w:rPr>
          <w:rFonts w:ascii="Arial" w:hAnsi="Arial"/>
          <w:sz w:val="24"/>
          <w:szCs w:val="24"/>
        </w:rPr>
        <w:t>Appendi</w:t>
      </w:r>
      <w:bookmarkEnd w:id="0"/>
      <w:r>
        <w:rPr>
          <w:rFonts w:ascii="Arial" w:hAnsi="Arial"/>
          <w:sz w:val="24"/>
          <w:szCs w:val="24"/>
        </w:rPr>
        <w:t>ces</w:t>
      </w:r>
    </w:p>
    <w:p w14:paraId="24465837" w14:textId="77777777" w:rsidR="005700CA" w:rsidRPr="000C75B9" w:rsidRDefault="005700CA" w:rsidP="005700CA"/>
    <w:p w14:paraId="7749701E" w14:textId="059870CB" w:rsidR="005700CA" w:rsidRPr="00B55EDB" w:rsidRDefault="005700CA" w:rsidP="005700CA">
      <w:pPr>
        <w:spacing w:line="360" w:lineRule="auto"/>
        <w:jc w:val="both"/>
        <w:rPr>
          <w:rFonts w:ascii="Arial" w:hAnsi="Arial"/>
          <w:sz w:val="24"/>
          <w:szCs w:val="24"/>
        </w:rPr>
      </w:pPr>
      <w:r w:rsidRPr="00B55EDB">
        <w:rPr>
          <w:rFonts w:ascii="Arial" w:hAnsi="Arial"/>
          <w:b/>
          <w:bCs/>
          <w:sz w:val="24"/>
          <w:szCs w:val="24"/>
        </w:rPr>
        <w:t xml:space="preserve">Appendix </w:t>
      </w:r>
      <w:r w:rsidR="00AA10C9">
        <w:rPr>
          <w:rFonts w:ascii="Arial" w:hAnsi="Arial"/>
          <w:b/>
          <w:bCs/>
          <w:sz w:val="24"/>
          <w:szCs w:val="24"/>
        </w:rPr>
        <w:t>A</w:t>
      </w:r>
      <w:r w:rsidRPr="00B55EDB">
        <w:rPr>
          <w:rFonts w:ascii="Arial" w:hAnsi="Arial"/>
          <w:b/>
          <w:bCs/>
          <w:sz w:val="24"/>
          <w:szCs w:val="24"/>
        </w:rPr>
        <w:t xml:space="preserve">: Immunohistochemical staining protocols for oestrogen receptors (ER), progesterone receptors (PR), the human epidermal growth factor receptor 2 (HER2) and androgen receptors (AR). </w:t>
      </w:r>
    </w:p>
    <w:p w14:paraId="575F29DB" w14:textId="77777777" w:rsidR="005700CA" w:rsidRPr="00B55EDB" w:rsidRDefault="005700CA" w:rsidP="005700CA">
      <w:pPr>
        <w:spacing w:line="360" w:lineRule="auto"/>
        <w:jc w:val="both"/>
        <w:rPr>
          <w:rFonts w:ascii="Arial" w:hAnsi="Arial"/>
          <w:sz w:val="24"/>
          <w:szCs w:val="24"/>
        </w:rPr>
      </w:pPr>
    </w:p>
    <w:p w14:paraId="78D5933E" w14:textId="77777777" w:rsidR="005700CA" w:rsidRPr="00B55EDB" w:rsidRDefault="005700CA" w:rsidP="005700CA">
      <w:pPr>
        <w:spacing w:line="360" w:lineRule="auto"/>
        <w:jc w:val="both"/>
        <w:rPr>
          <w:rFonts w:ascii="Arial" w:hAnsi="Arial"/>
          <w:sz w:val="24"/>
          <w:szCs w:val="24"/>
          <w:u w:val="single"/>
        </w:rPr>
      </w:pPr>
      <w:r w:rsidRPr="00B55EDB">
        <w:rPr>
          <w:rFonts w:ascii="Arial" w:hAnsi="Arial"/>
          <w:sz w:val="24"/>
          <w:szCs w:val="24"/>
          <w:u w:val="single"/>
        </w:rPr>
        <w:t>Tissue preparation for staining</w:t>
      </w:r>
    </w:p>
    <w:p w14:paraId="347EA5D0" w14:textId="3B3172D9" w:rsidR="005700CA" w:rsidRPr="00B55EDB" w:rsidRDefault="005700CA" w:rsidP="005700CA">
      <w:pPr>
        <w:spacing w:line="360" w:lineRule="auto"/>
        <w:jc w:val="both"/>
        <w:rPr>
          <w:rFonts w:ascii="Arial" w:eastAsia="Times New Roman" w:hAnsi="Arial"/>
          <w:color w:val="202124"/>
          <w:sz w:val="24"/>
          <w:szCs w:val="24"/>
          <w:shd w:val="clear" w:color="auto" w:fill="FFFFFF"/>
          <w:lang w:val="en-AU"/>
        </w:rPr>
      </w:pPr>
      <w:r w:rsidRPr="00B55EDB">
        <w:rPr>
          <w:rFonts w:ascii="Arial" w:hAnsi="Arial"/>
          <w:sz w:val="24"/>
          <w:szCs w:val="24"/>
        </w:rPr>
        <w:t>The triple negative breast cancer specimens from our study cohort, which were prepared as formalin-fixed, paraffin-embedded tissues, were cut into approximately 4</w:t>
      </w:r>
      <w:r w:rsidRPr="00B55EDB">
        <w:rPr>
          <w:rFonts w:ascii="Arial" w:eastAsia="Times New Roman" w:hAnsi="Arial"/>
          <w:color w:val="202124"/>
          <w:sz w:val="24"/>
          <w:szCs w:val="24"/>
          <w:shd w:val="clear" w:color="auto" w:fill="FFFFFF"/>
          <w:lang w:val="en-AU"/>
        </w:rPr>
        <w:t>μm thick sections. These sections were then picked up and centred onto individual, positively charged glass slides. The tissue slides, that were to be stained for ER, PR and HER2, were dried in an oven at 60˚C for 30 minutes. The slides that were to be stained for AR were placed in a 53-65˚C oven for at least two hours (but no longer than 24 hours). Slides were then stained promptly, as the quality of antigen expression in cut tissue specimens may deteriorate over time</w:t>
      </w:r>
      <w:r w:rsidR="009B0A42">
        <w:rPr>
          <w:rFonts w:ascii="Arial" w:eastAsia="Times New Roman" w:hAnsi="Arial"/>
          <w:color w:val="202124"/>
          <w:sz w:val="24"/>
          <w:szCs w:val="24"/>
          <w:shd w:val="clear" w:color="auto" w:fill="FFFFFF"/>
          <w:vertAlign w:val="superscript"/>
          <w:lang w:val="en-AU"/>
        </w:rPr>
        <w:t>1</w:t>
      </w:r>
      <w:r w:rsidR="00DF2616">
        <w:rPr>
          <w:rFonts w:ascii="Arial" w:eastAsia="Times New Roman" w:hAnsi="Arial"/>
          <w:color w:val="202124"/>
          <w:sz w:val="24"/>
          <w:szCs w:val="24"/>
          <w:shd w:val="clear" w:color="auto" w:fill="FFFFFF"/>
          <w:vertAlign w:val="superscript"/>
          <w:lang w:val="en-AU"/>
        </w:rPr>
        <w:t>5</w:t>
      </w:r>
      <w:r w:rsidR="009B0A42">
        <w:rPr>
          <w:rFonts w:ascii="Arial" w:eastAsia="Times New Roman" w:hAnsi="Arial"/>
          <w:color w:val="202124"/>
          <w:sz w:val="24"/>
          <w:szCs w:val="24"/>
          <w:shd w:val="clear" w:color="auto" w:fill="FFFFFF"/>
          <w:vertAlign w:val="superscript"/>
          <w:lang w:val="en-AU"/>
        </w:rPr>
        <w:t>-1</w:t>
      </w:r>
      <w:r w:rsidR="00DF2616">
        <w:rPr>
          <w:rFonts w:ascii="Arial" w:eastAsia="Times New Roman" w:hAnsi="Arial"/>
          <w:color w:val="202124"/>
          <w:sz w:val="24"/>
          <w:szCs w:val="24"/>
          <w:shd w:val="clear" w:color="auto" w:fill="FFFFFF"/>
          <w:vertAlign w:val="superscript"/>
          <w:lang w:val="en-AU"/>
        </w:rPr>
        <w:t>7</w:t>
      </w:r>
      <w:r w:rsidRPr="00B55EDB">
        <w:rPr>
          <w:rFonts w:ascii="Arial" w:eastAsia="Times New Roman" w:hAnsi="Arial"/>
          <w:color w:val="202124"/>
          <w:sz w:val="24"/>
          <w:szCs w:val="24"/>
          <w:shd w:val="clear" w:color="auto" w:fill="FFFFFF"/>
          <w:lang w:val="en-AU"/>
        </w:rPr>
        <w:t xml:space="preserve">. </w:t>
      </w:r>
    </w:p>
    <w:p w14:paraId="79ABF2CD" w14:textId="77777777" w:rsidR="005700CA" w:rsidRPr="00B55EDB" w:rsidRDefault="005700CA" w:rsidP="005700CA">
      <w:pPr>
        <w:spacing w:line="360" w:lineRule="auto"/>
        <w:jc w:val="both"/>
        <w:rPr>
          <w:rFonts w:ascii="Arial" w:eastAsia="Times New Roman" w:hAnsi="Arial"/>
          <w:color w:val="202124"/>
          <w:sz w:val="24"/>
          <w:szCs w:val="24"/>
          <w:shd w:val="clear" w:color="auto" w:fill="FFFFFF"/>
          <w:lang w:val="en-AU"/>
        </w:rPr>
      </w:pPr>
    </w:p>
    <w:p w14:paraId="548EA54C" w14:textId="77777777" w:rsidR="005700CA" w:rsidRPr="00B55EDB" w:rsidRDefault="005700CA" w:rsidP="005700CA">
      <w:pPr>
        <w:spacing w:line="360" w:lineRule="auto"/>
        <w:jc w:val="both"/>
        <w:rPr>
          <w:rFonts w:ascii="Arial" w:eastAsia="Times New Roman" w:hAnsi="Arial"/>
          <w:color w:val="202124"/>
          <w:sz w:val="24"/>
          <w:szCs w:val="24"/>
          <w:shd w:val="clear" w:color="auto" w:fill="FFFFFF"/>
          <w:lang w:val="en-AU"/>
        </w:rPr>
      </w:pPr>
      <w:r w:rsidRPr="00B55EDB">
        <w:rPr>
          <w:rFonts w:ascii="Arial" w:eastAsia="Times New Roman" w:hAnsi="Arial"/>
          <w:color w:val="202124"/>
          <w:sz w:val="24"/>
          <w:szCs w:val="24"/>
          <w:u w:val="single"/>
          <w:shd w:val="clear" w:color="auto" w:fill="FFFFFF"/>
          <w:lang w:val="en-AU"/>
        </w:rPr>
        <w:t>Staining procedure for ER, PR and HER2</w:t>
      </w:r>
    </w:p>
    <w:p w14:paraId="7F683424" w14:textId="1D9E2388" w:rsidR="005700CA" w:rsidRPr="00B55EDB" w:rsidRDefault="005700CA" w:rsidP="005700CA">
      <w:pPr>
        <w:spacing w:line="360" w:lineRule="auto"/>
        <w:jc w:val="both"/>
        <w:rPr>
          <w:rFonts w:ascii="Arial" w:eastAsia="Times New Roman" w:hAnsi="Arial"/>
          <w:color w:val="202124"/>
          <w:sz w:val="24"/>
          <w:szCs w:val="24"/>
          <w:shd w:val="clear" w:color="auto" w:fill="FFFFFF"/>
          <w:lang w:val="en-AU"/>
        </w:rPr>
      </w:pPr>
      <w:r w:rsidRPr="00B55EDB">
        <w:rPr>
          <w:rFonts w:ascii="Arial" w:eastAsia="Times New Roman" w:hAnsi="Arial"/>
          <w:color w:val="202124"/>
          <w:sz w:val="24"/>
          <w:szCs w:val="24"/>
          <w:shd w:val="clear" w:color="auto" w:fill="FFFFFF"/>
          <w:lang w:val="en-AU"/>
        </w:rPr>
        <w:t>The ‘Benchmark Ultra’ instrument (Roche Diagnostics, Basel, Switzerland, https://www.roche.com; 2021) was used to deparaffinise and rehydrate the tissue slides. The slides were then incubated at 95˚C for 36 minutes to unmask the target antigens (ER, PR and HER2). The ‘Benchmark Ultra’ instrument applied primary antibodies for either ER (VENTANA anti-Estrogen Receptor [SP1] Rabbit Monoclonal Antibody), PR (VENTANA anti-Progesterone Receptor [1E2] Rabbit Monoclonal Primary Antibody) or HER2 (VENTANA anti-HER2/neu [4B5] Rabbit Monoclonal Primary Antibody) onto individual slides as appropriate</w:t>
      </w:r>
      <w:r w:rsidR="009B0A42">
        <w:rPr>
          <w:rFonts w:ascii="Arial" w:eastAsia="Times New Roman" w:hAnsi="Arial"/>
          <w:color w:val="202124"/>
          <w:sz w:val="24"/>
          <w:szCs w:val="24"/>
          <w:shd w:val="clear" w:color="auto" w:fill="FFFFFF"/>
          <w:vertAlign w:val="superscript"/>
          <w:lang w:val="en-AU"/>
        </w:rPr>
        <w:t>1</w:t>
      </w:r>
      <w:r w:rsidR="00DF2616">
        <w:rPr>
          <w:rFonts w:ascii="Arial" w:eastAsia="Times New Roman" w:hAnsi="Arial"/>
          <w:color w:val="202124"/>
          <w:sz w:val="24"/>
          <w:szCs w:val="24"/>
          <w:shd w:val="clear" w:color="auto" w:fill="FFFFFF"/>
          <w:vertAlign w:val="superscript"/>
          <w:lang w:val="en-AU"/>
        </w:rPr>
        <w:t>5</w:t>
      </w:r>
      <w:r w:rsidR="009B0A42">
        <w:rPr>
          <w:rFonts w:ascii="Arial" w:eastAsia="Times New Roman" w:hAnsi="Arial"/>
          <w:color w:val="202124"/>
          <w:sz w:val="24"/>
          <w:szCs w:val="24"/>
          <w:shd w:val="clear" w:color="auto" w:fill="FFFFFF"/>
          <w:vertAlign w:val="superscript"/>
          <w:lang w:val="en-AU"/>
        </w:rPr>
        <w:t>-1</w:t>
      </w:r>
      <w:r w:rsidR="00DF2616">
        <w:rPr>
          <w:rFonts w:ascii="Arial" w:eastAsia="Times New Roman" w:hAnsi="Arial"/>
          <w:color w:val="202124"/>
          <w:sz w:val="24"/>
          <w:szCs w:val="24"/>
          <w:shd w:val="clear" w:color="auto" w:fill="FFFFFF"/>
          <w:vertAlign w:val="superscript"/>
          <w:lang w:val="en-AU"/>
        </w:rPr>
        <w:t>7</w:t>
      </w:r>
      <w:r w:rsidRPr="00B55EDB">
        <w:rPr>
          <w:rFonts w:ascii="Arial" w:eastAsia="Times New Roman" w:hAnsi="Arial"/>
          <w:color w:val="202124"/>
          <w:sz w:val="24"/>
          <w:szCs w:val="24"/>
          <w:shd w:val="clear" w:color="auto" w:fill="FFFFFF"/>
          <w:lang w:val="en-AU"/>
        </w:rPr>
        <w:t xml:space="preserve">. These slides containing the primary antibodies were then incubated for 16 minutes at 36˚C. The ‘ultraView Universal DAB Detection Kit’ (Roche Diagnostics, Basel, Switzerland, https://www.roche.com; 2021) provided all the appropriate reagents required for staining. The counterstain (Haematoxylin) and post-counterstain (bluing reagent) were applied onto the tissue slides. The slides were then rinsed with a wash buffer and a cover slip was applied. </w:t>
      </w:r>
    </w:p>
    <w:p w14:paraId="5BA5399E" w14:textId="77777777" w:rsidR="005700CA" w:rsidRDefault="005700CA" w:rsidP="005700CA">
      <w:pPr>
        <w:spacing w:line="360" w:lineRule="auto"/>
        <w:jc w:val="both"/>
        <w:rPr>
          <w:rFonts w:ascii="Arial" w:eastAsia="Times New Roman" w:hAnsi="Arial"/>
          <w:b/>
          <w:bCs/>
          <w:color w:val="202124"/>
          <w:sz w:val="24"/>
          <w:szCs w:val="24"/>
          <w:shd w:val="clear" w:color="auto" w:fill="FFFFFF"/>
          <w:lang w:val="en-AU"/>
        </w:rPr>
      </w:pPr>
    </w:p>
    <w:p w14:paraId="3571B8E9" w14:textId="77777777" w:rsidR="00CF0F20" w:rsidRDefault="00CF0F20" w:rsidP="005700CA">
      <w:pPr>
        <w:spacing w:line="360" w:lineRule="auto"/>
        <w:jc w:val="both"/>
        <w:rPr>
          <w:rFonts w:ascii="Arial" w:eastAsia="Times New Roman" w:hAnsi="Arial"/>
          <w:b/>
          <w:bCs/>
          <w:color w:val="202124"/>
          <w:sz w:val="24"/>
          <w:szCs w:val="24"/>
          <w:shd w:val="clear" w:color="auto" w:fill="FFFFFF"/>
          <w:lang w:val="en-AU"/>
        </w:rPr>
      </w:pPr>
    </w:p>
    <w:p w14:paraId="45DB50E8" w14:textId="77777777" w:rsidR="00CF0F20" w:rsidRPr="00B55EDB" w:rsidRDefault="00CF0F20" w:rsidP="005700CA">
      <w:pPr>
        <w:spacing w:line="360" w:lineRule="auto"/>
        <w:jc w:val="both"/>
        <w:rPr>
          <w:rFonts w:ascii="Arial" w:eastAsia="Times New Roman" w:hAnsi="Arial"/>
          <w:b/>
          <w:bCs/>
          <w:color w:val="202124"/>
          <w:sz w:val="24"/>
          <w:szCs w:val="24"/>
          <w:shd w:val="clear" w:color="auto" w:fill="FFFFFF"/>
          <w:lang w:val="en-AU"/>
        </w:rPr>
      </w:pPr>
    </w:p>
    <w:p w14:paraId="6CA05C01" w14:textId="77777777" w:rsidR="005700CA" w:rsidRPr="00B55EDB" w:rsidRDefault="005700CA" w:rsidP="005700CA">
      <w:pPr>
        <w:spacing w:line="360" w:lineRule="auto"/>
        <w:jc w:val="both"/>
        <w:rPr>
          <w:rFonts w:ascii="Arial" w:eastAsia="Times New Roman" w:hAnsi="Arial"/>
          <w:color w:val="202124"/>
          <w:sz w:val="24"/>
          <w:szCs w:val="24"/>
          <w:u w:val="single"/>
          <w:shd w:val="clear" w:color="auto" w:fill="FFFFFF"/>
          <w:lang w:val="en-AU"/>
        </w:rPr>
      </w:pPr>
      <w:r w:rsidRPr="00B55EDB">
        <w:rPr>
          <w:rFonts w:ascii="Arial" w:eastAsia="Times New Roman" w:hAnsi="Arial"/>
          <w:color w:val="202124"/>
          <w:sz w:val="24"/>
          <w:szCs w:val="24"/>
          <w:u w:val="single"/>
          <w:shd w:val="clear" w:color="auto" w:fill="FFFFFF"/>
          <w:lang w:val="en-AU"/>
        </w:rPr>
        <w:lastRenderedPageBreak/>
        <w:t>Staining procedure for AR</w:t>
      </w:r>
    </w:p>
    <w:p w14:paraId="5EF68AFF" w14:textId="017B3D1E" w:rsidR="005700CA" w:rsidRPr="00B55EDB" w:rsidRDefault="005700CA" w:rsidP="005700CA">
      <w:pPr>
        <w:spacing w:line="360" w:lineRule="auto"/>
        <w:jc w:val="both"/>
        <w:rPr>
          <w:rFonts w:ascii="Arial" w:eastAsia="Times New Roman" w:hAnsi="Arial"/>
          <w:color w:val="202124"/>
          <w:sz w:val="24"/>
          <w:szCs w:val="24"/>
          <w:shd w:val="clear" w:color="auto" w:fill="FFFFFF"/>
          <w:lang w:val="en-AU"/>
        </w:rPr>
      </w:pPr>
      <w:r w:rsidRPr="00B55EDB">
        <w:rPr>
          <w:rFonts w:ascii="Arial" w:eastAsia="Times New Roman" w:hAnsi="Arial"/>
          <w:color w:val="202124"/>
          <w:sz w:val="24"/>
          <w:szCs w:val="24"/>
          <w:shd w:val="clear" w:color="auto" w:fill="FFFFFF"/>
          <w:lang w:val="en-AU"/>
        </w:rPr>
        <w:t>The ‘Benchmark Ultra’ instrument was used to deparaffinise and rehydrate the tissue slides. The slides were then incubated at 95˚C for 36 minutes to unmask the target antigen (AR). The ‘Benchmark Ultra’ instrument applied primary antibodies for AR (anti-Androgen receptor [SP107] Rabbit Monoclonal Primary Antibody) onto the slides</w:t>
      </w:r>
      <w:r w:rsidR="009B0A42">
        <w:rPr>
          <w:rFonts w:ascii="Arial" w:eastAsia="Times New Roman" w:hAnsi="Arial"/>
          <w:color w:val="202124"/>
          <w:sz w:val="24"/>
          <w:szCs w:val="24"/>
          <w:shd w:val="clear" w:color="auto" w:fill="FFFFFF"/>
          <w:vertAlign w:val="superscript"/>
          <w:lang w:val="en-AU"/>
        </w:rPr>
        <w:t>1</w:t>
      </w:r>
      <w:r w:rsidR="00DF2616">
        <w:rPr>
          <w:rFonts w:ascii="Arial" w:eastAsia="Times New Roman" w:hAnsi="Arial"/>
          <w:color w:val="202124"/>
          <w:sz w:val="24"/>
          <w:szCs w:val="24"/>
          <w:shd w:val="clear" w:color="auto" w:fill="FFFFFF"/>
          <w:vertAlign w:val="superscript"/>
          <w:lang w:val="en-AU"/>
        </w:rPr>
        <w:t>8</w:t>
      </w:r>
      <w:r w:rsidRPr="00B55EDB">
        <w:rPr>
          <w:rFonts w:ascii="Arial" w:eastAsia="Times New Roman" w:hAnsi="Arial"/>
          <w:color w:val="202124"/>
          <w:sz w:val="24"/>
          <w:szCs w:val="24"/>
          <w:shd w:val="clear" w:color="auto" w:fill="FFFFFF"/>
          <w:lang w:val="en-AU"/>
        </w:rPr>
        <w:t>. These tissue slides containing the AR primary antibody were then incubated for 32 minutes at 37˚C. The ‘ultraView Universal DAB Detection Kit’ provided all the appropriate reagents required for staining. The counterstain (Haematoxylin II) and post-counterstain (bluing reagent) were applied onto the tissue slides. The slides were then rinsed with a wash buffer and a cover slip was applied.</w:t>
      </w:r>
    </w:p>
    <w:p w14:paraId="0168B1F8" w14:textId="77777777" w:rsidR="00AC0485" w:rsidRDefault="00AC0485" w:rsidP="005700CA">
      <w:pPr>
        <w:spacing w:line="360" w:lineRule="auto"/>
        <w:jc w:val="both"/>
        <w:rPr>
          <w:rFonts w:ascii="Arial" w:eastAsia="Times New Roman" w:hAnsi="Arial"/>
          <w:b/>
          <w:sz w:val="24"/>
          <w:szCs w:val="24"/>
        </w:rPr>
      </w:pPr>
    </w:p>
    <w:p w14:paraId="74361A03" w14:textId="77777777" w:rsidR="00AA10C9" w:rsidRDefault="00AA10C9" w:rsidP="005700CA">
      <w:pPr>
        <w:spacing w:line="360" w:lineRule="auto"/>
        <w:jc w:val="both"/>
        <w:rPr>
          <w:rFonts w:ascii="Arial" w:eastAsia="Times New Roman" w:hAnsi="Arial"/>
          <w:b/>
          <w:sz w:val="24"/>
          <w:szCs w:val="24"/>
        </w:rPr>
      </w:pPr>
    </w:p>
    <w:p w14:paraId="034924F7" w14:textId="77777777" w:rsidR="00AA10C9" w:rsidRDefault="00AA10C9" w:rsidP="005700CA">
      <w:pPr>
        <w:spacing w:line="360" w:lineRule="auto"/>
        <w:jc w:val="both"/>
        <w:rPr>
          <w:rFonts w:ascii="Arial" w:eastAsia="Times New Roman" w:hAnsi="Arial"/>
          <w:b/>
          <w:sz w:val="24"/>
          <w:szCs w:val="24"/>
        </w:rPr>
      </w:pPr>
    </w:p>
    <w:p w14:paraId="4E551629" w14:textId="77777777" w:rsidR="00AA10C9" w:rsidRDefault="00AA10C9" w:rsidP="005700CA">
      <w:pPr>
        <w:spacing w:line="360" w:lineRule="auto"/>
        <w:jc w:val="both"/>
        <w:rPr>
          <w:rFonts w:ascii="Arial" w:eastAsia="Times New Roman" w:hAnsi="Arial"/>
          <w:b/>
          <w:sz w:val="24"/>
          <w:szCs w:val="24"/>
        </w:rPr>
      </w:pPr>
    </w:p>
    <w:p w14:paraId="7DBB9661" w14:textId="77777777" w:rsidR="00AA10C9" w:rsidRDefault="00AA10C9" w:rsidP="005700CA">
      <w:pPr>
        <w:spacing w:line="360" w:lineRule="auto"/>
        <w:jc w:val="both"/>
        <w:rPr>
          <w:rFonts w:ascii="Arial" w:eastAsia="Times New Roman" w:hAnsi="Arial"/>
          <w:b/>
          <w:sz w:val="24"/>
          <w:szCs w:val="24"/>
        </w:rPr>
      </w:pPr>
    </w:p>
    <w:p w14:paraId="2C35F7E2" w14:textId="77777777" w:rsidR="00AA10C9" w:rsidRDefault="00AA10C9" w:rsidP="005700CA">
      <w:pPr>
        <w:spacing w:line="360" w:lineRule="auto"/>
        <w:jc w:val="both"/>
        <w:rPr>
          <w:rFonts w:ascii="Arial" w:eastAsia="Times New Roman" w:hAnsi="Arial"/>
          <w:b/>
          <w:sz w:val="24"/>
          <w:szCs w:val="24"/>
        </w:rPr>
      </w:pPr>
    </w:p>
    <w:p w14:paraId="3EE851ED" w14:textId="77777777" w:rsidR="00AA10C9" w:rsidRDefault="00AA10C9" w:rsidP="005700CA">
      <w:pPr>
        <w:spacing w:line="360" w:lineRule="auto"/>
        <w:jc w:val="both"/>
        <w:rPr>
          <w:rFonts w:ascii="Arial" w:eastAsia="Times New Roman" w:hAnsi="Arial"/>
          <w:b/>
          <w:sz w:val="24"/>
          <w:szCs w:val="24"/>
        </w:rPr>
      </w:pPr>
    </w:p>
    <w:p w14:paraId="7DEDEB93" w14:textId="77777777" w:rsidR="00AA10C9" w:rsidRDefault="00AA10C9" w:rsidP="005700CA">
      <w:pPr>
        <w:spacing w:line="360" w:lineRule="auto"/>
        <w:jc w:val="both"/>
        <w:rPr>
          <w:rFonts w:ascii="Arial" w:eastAsia="Times New Roman" w:hAnsi="Arial"/>
          <w:b/>
          <w:sz w:val="24"/>
          <w:szCs w:val="24"/>
        </w:rPr>
      </w:pPr>
    </w:p>
    <w:p w14:paraId="062B4EF0" w14:textId="77777777" w:rsidR="00AA10C9" w:rsidRDefault="00AA10C9" w:rsidP="005700CA">
      <w:pPr>
        <w:spacing w:line="360" w:lineRule="auto"/>
        <w:jc w:val="both"/>
        <w:rPr>
          <w:rFonts w:ascii="Arial" w:eastAsia="Times New Roman" w:hAnsi="Arial"/>
          <w:b/>
          <w:sz w:val="24"/>
          <w:szCs w:val="24"/>
        </w:rPr>
      </w:pPr>
    </w:p>
    <w:p w14:paraId="3741AFF5" w14:textId="77777777" w:rsidR="00AA10C9" w:rsidRDefault="00AA10C9" w:rsidP="005700CA">
      <w:pPr>
        <w:spacing w:line="360" w:lineRule="auto"/>
        <w:jc w:val="both"/>
        <w:rPr>
          <w:rFonts w:ascii="Arial" w:eastAsia="Times New Roman" w:hAnsi="Arial"/>
          <w:b/>
          <w:sz w:val="24"/>
          <w:szCs w:val="24"/>
        </w:rPr>
      </w:pPr>
    </w:p>
    <w:p w14:paraId="47E117D3" w14:textId="77777777" w:rsidR="00AA10C9" w:rsidRDefault="00AA10C9" w:rsidP="005700CA">
      <w:pPr>
        <w:spacing w:line="360" w:lineRule="auto"/>
        <w:jc w:val="both"/>
        <w:rPr>
          <w:rFonts w:ascii="Arial" w:eastAsia="Times New Roman" w:hAnsi="Arial"/>
          <w:b/>
          <w:sz w:val="24"/>
          <w:szCs w:val="24"/>
        </w:rPr>
      </w:pPr>
    </w:p>
    <w:p w14:paraId="59ED2488" w14:textId="77777777" w:rsidR="00AA10C9" w:rsidRDefault="00AA10C9" w:rsidP="005700CA">
      <w:pPr>
        <w:spacing w:line="360" w:lineRule="auto"/>
        <w:jc w:val="both"/>
        <w:rPr>
          <w:rFonts w:ascii="Arial" w:eastAsia="Times New Roman" w:hAnsi="Arial"/>
          <w:b/>
          <w:sz w:val="24"/>
          <w:szCs w:val="24"/>
        </w:rPr>
      </w:pPr>
    </w:p>
    <w:p w14:paraId="71CC5D3E" w14:textId="77777777" w:rsidR="00AA10C9" w:rsidRDefault="00AA10C9" w:rsidP="005700CA">
      <w:pPr>
        <w:spacing w:line="360" w:lineRule="auto"/>
        <w:jc w:val="both"/>
        <w:rPr>
          <w:rFonts w:ascii="Arial" w:eastAsia="Times New Roman" w:hAnsi="Arial"/>
          <w:b/>
          <w:sz w:val="24"/>
          <w:szCs w:val="24"/>
        </w:rPr>
      </w:pPr>
    </w:p>
    <w:p w14:paraId="5D30A5C4" w14:textId="77777777" w:rsidR="00AA10C9" w:rsidRDefault="00AA10C9" w:rsidP="005700CA">
      <w:pPr>
        <w:spacing w:line="360" w:lineRule="auto"/>
        <w:jc w:val="both"/>
        <w:rPr>
          <w:rFonts w:ascii="Arial" w:eastAsia="Times New Roman" w:hAnsi="Arial"/>
          <w:b/>
          <w:sz w:val="24"/>
          <w:szCs w:val="24"/>
        </w:rPr>
      </w:pPr>
    </w:p>
    <w:p w14:paraId="6FD4C309" w14:textId="77777777" w:rsidR="00AA10C9" w:rsidRDefault="00AA10C9" w:rsidP="005700CA">
      <w:pPr>
        <w:spacing w:line="360" w:lineRule="auto"/>
        <w:jc w:val="both"/>
        <w:rPr>
          <w:rFonts w:ascii="Arial" w:eastAsia="Times New Roman" w:hAnsi="Arial"/>
          <w:b/>
          <w:sz w:val="24"/>
          <w:szCs w:val="24"/>
        </w:rPr>
      </w:pPr>
    </w:p>
    <w:p w14:paraId="6AE6794C" w14:textId="77777777" w:rsidR="00AA10C9" w:rsidRDefault="00AA10C9" w:rsidP="005700CA">
      <w:pPr>
        <w:spacing w:line="360" w:lineRule="auto"/>
        <w:jc w:val="both"/>
        <w:rPr>
          <w:rFonts w:ascii="Arial" w:eastAsia="Times New Roman" w:hAnsi="Arial"/>
          <w:b/>
          <w:sz w:val="24"/>
          <w:szCs w:val="24"/>
        </w:rPr>
      </w:pPr>
    </w:p>
    <w:p w14:paraId="6C88B1F6" w14:textId="77777777" w:rsidR="00AA10C9" w:rsidRDefault="00AA10C9" w:rsidP="005700CA">
      <w:pPr>
        <w:spacing w:line="360" w:lineRule="auto"/>
        <w:jc w:val="both"/>
        <w:rPr>
          <w:rFonts w:ascii="Arial" w:eastAsia="Times New Roman" w:hAnsi="Arial"/>
          <w:b/>
          <w:sz w:val="24"/>
          <w:szCs w:val="24"/>
        </w:rPr>
      </w:pPr>
    </w:p>
    <w:p w14:paraId="14950EC9" w14:textId="77777777" w:rsidR="00AA10C9" w:rsidRDefault="00AA10C9" w:rsidP="005700CA">
      <w:pPr>
        <w:spacing w:line="360" w:lineRule="auto"/>
        <w:jc w:val="both"/>
        <w:rPr>
          <w:rFonts w:ascii="Arial" w:eastAsia="Times New Roman" w:hAnsi="Arial"/>
          <w:b/>
          <w:sz w:val="24"/>
          <w:szCs w:val="24"/>
        </w:rPr>
      </w:pPr>
    </w:p>
    <w:p w14:paraId="7CF5ADC2" w14:textId="77777777" w:rsidR="00AA10C9" w:rsidRDefault="00AA10C9" w:rsidP="005700CA">
      <w:pPr>
        <w:spacing w:line="360" w:lineRule="auto"/>
        <w:jc w:val="both"/>
        <w:rPr>
          <w:rFonts w:ascii="Arial" w:eastAsia="Times New Roman" w:hAnsi="Arial"/>
          <w:b/>
          <w:sz w:val="24"/>
          <w:szCs w:val="24"/>
        </w:rPr>
      </w:pPr>
    </w:p>
    <w:p w14:paraId="4AAA8D82" w14:textId="77777777" w:rsidR="00AA10C9" w:rsidRDefault="00AA10C9" w:rsidP="005700CA">
      <w:pPr>
        <w:spacing w:line="360" w:lineRule="auto"/>
        <w:jc w:val="both"/>
        <w:rPr>
          <w:rFonts w:ascii="Arial" w:eastAsia="Times New Roman" w:hAnsi="Arial"/>
          <w:b/>
          <w:sz w:val="24"/>
          <w:szCs w:val="24"/>
        </w:rPr>
      </w:pPr>
    </w:p>
    <w:p w14:paraId="01C3D8F4" w14:textId="77777777" w:rsidR="00AA10C9" w:rsidRDefault="00AA10C9" w:rsidP="005700CA">
      <w:pPr>
        <w:spacing w:line="360" w:lineRule="auto"/>
        <w:jc w:val="both"/>
        <w:rPr>
          <w:rFonts w:ascii="Arial" w:eastAsia="Times New Roman" w:hAnsi="Arial"/>
          <w:b/>
          <w:sz w:val="24"/>
          <w:szCs w:val="24"/>
        </w:rPr>
      </w:pPr>
    </w:p>
    <w:p w14:paraId="6B40741C" w14:textId="77777777" w:rsidR="00AA10C9" w:rsidRDefault="00AA10C9" w:rsidP="005700CA">
      <w:pPr>
        <w:spacing w:line="360" w:lineRule="auto"/>
        <w:jc w:val="both"/>
        <w:rPr>
          <w:rFonts w:ascii="Arial" w:eastAsia="Times New Roman" w:hAnsi="Arial"/>
          <w:b/>
          <w:sz w:val="24"/>
          <w:szCs w:val="24"/>
        </w:rPr>
      </w:pPr>
    </w:p>
    <w:p w14:paraId="5011CBBB" w14:textId="77777777" w:rsidR="00AA10C9" w:rsidRDefault="00AA10C9" w:rsidP="005700CA">
      <w:pPr>
        <w:spacing w:line="360" w:lineRule="auto"/>
        <w:jc w:val="both"/>
        <w:rPr>
          <w:rFonts w:ascii="Arial" w:eastAsia="Times New Roman" w:hAnsi="Arial"/>
          <w:b/>
          <w:sz w:val="24"/>
          <w:szCs w:val="24"/>
        </w:rPr>
      </w:pPr>
    </w:p>
    <w:p w14:paraId="7E5F95D5" w14:textId="77777777" w:rsidR="00AA10C9" w:rsidRDefault="00AA10C9" w:rsidP="005700CA">
      <w:pPr>
        <w:spacing w:line="360" w:lineRule="auto"/>
        <w:jc w:val="both"/>
        <w:rPr>
          <w:rFonts w:ascii="Arial" w:eastAsia="Times New Roman" w:hAnsi="Arial"/>
          <w:b/>
          <w:sz w:val="24"/>
          <w:szCs w:val="24"/>
        </w:rPr>
      </w:pPr>
    </w:p>
    <w:p w14:paraId="4B4E0F7A" w14:textId="77777777" w:rsidR="00520BDE" w:rsidRPr="00B55EDB" w:rsidRDefault="00520BDE" w:rsidP="005700CA">
      <w:pPr>
        <w:spacing w:line="360" w:lineRule="auto"/>
        <w:jc w:val="both"/>
        <w:rPr>
          <w:rFonts w:ascii="Arial" w:hAnsi="Arial"/>
          <w:sz w:val="24"/>
          <w:szCs w:val="24"/>
        </w:rPr>
      </w:pPr>
    </w:p>
    <w:p w14:paraId="07DE7E1A" w14:textId="2F8DD094" w:rsidR="00AA10C9" w:rsidRDefault="00AA10C9" w:rsidP="001260B0">
      <w:pPr>
        <w:spacing w:line="360" w:lineRule="auto"/>
        <w:jc w:val="both"/>
        <w:rPr>
          <w:rFonts w:ascii="Arial" w:eastAsia="Times New Roman" w:hAnsi="Arial"/>
          <w:sz w:val="24"/>
          <w:szCs w:val="24"/>
        </w:rPr>
      </w:pPr>
      <w:r w:rsidRPr="00B55EDB">
        <w:rPr>
          <w:rFonts w:ascii="Arial" w:hAnsi="Arial"/>
          <w:noProof/>
          <w:sz w:val="24"/>
          <w:szCs w:val="24"/>
          <w:lang w:val="en-AU" w:eastAsia="en-AU"/>
        </w:rPr>
        <w:lastRenderedPageBreak/>
        <w:drawing>
          <wp:anchor distT="114300" distB="114300" distL="114300" distR="114300" simplePos="0" relativeHeight="251660288" behindDoc="0" locked="0" layoutInCell="1" hidden="0" allowOverlap="1" wp14:anchorId="646DB643" wp14:editId="366D7D17">
            <wp:simplePos x="0" y="0"/>
            <wp:positionH relativeFrom="column">
              <wp:posOffset>8890</wp:posOffset>
            </wp:positionH>
            <wp:positionV relativeFrom="paragraph">
              <wp:posOffset>464</wp:posOffset>
            </wp:positionV>
            <wp:extent cx="5760000" cy="4864100"/>
            <wp:effectExtent l="0" t="0" r="0" b="0"/>
            <wp:wrapTopAndBottom distT="114300" distB="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760000" cy="4864100"/>
                    </a:xfrm>
                    <a:prstGeom prst="rect">
                      <a:avLst/>
                    </a:prstGeom>
                    <a:ln/>
                  </pic:spPr>
                </pic:pic>
              </a:graphicData>
            </a:graphic>
          </wp:anchor>
        </w:drawing>
      </w:r>
      <w:r w:rsidR="005700CA" w:rsidRPr="00B55EDB">
        <w:rPr>
          <w:rFonts w:ascii="Arial" w:eastAsia="Times New Roman" w:hAnsi="Arial"/>
          <w:b/>
          <w:sz w:val="24"/>
          <w:szCs w:val="24"/>
        </w:rPr>
        <w:t>Appendix</w:t>
      </w:r>
      <w:r w:rsidR="001260B0">
        <w:rPr>
          <w:rFonts w:ascii="Arial" w:eastAsia="Times New Roman" w:hAnsi="Arial"/>
          <w:b/>
          <w:sz w:val="24"/>
          <w:szCs w:val="24"/>
        </w:rPr>
        <w:t xml:space="preserve"> </w:t>
      </w:r>
      <w:r>
        <w:rPr>
          <w:rFonts w:ascii="Arial" w:eastAsia="Times New Roman" w:hAnsi="Arial"/>
          <w:b/>
          <w:sz w:val="24"/>
          <w:szCs w:val="24"/>
        </w:rPr>
        <w:t>B</w:t>
      </w:r>
      <w:r w:rsidR="005700CA" w:rsidRPr="00B55EDB">
        <w:rPr>
          <w:rFonts w:ascii="Arial" w:eastAsia="Times New Roman" w:hAnsi="Arial"/>
          <w:b/>
          <w:sz w:val="24"/>
          <w:szCs w:val="24"/>
        </w:rPr>
        <w:t>: Photos taken from this study of androgen receptor immunohistochemical staining.</w:t>
      </w:r>
      <w:r w:rsidR="005700CA" w:rsidRPr="00B55EDB">
        <w:rPr>
          <w:rFonts w:ascii="Arial" w:eastAsia="Times New Roman" w:hAnsi="Arial"/>
          <w:sz w:val="24"/>
          <w:szCs w:val="24"/>
        </w:rPr>
        <w:t xml:space="preserve"> This figure shows six different androgen receptor (AR) stained slides (labelled A-F) at 400x magnification. The tumour area is scored according to the number of stained tumour nuclei (%) and their respective staining intensity (0, 1+, 2+, 3+) (AR stains as ‘brown’). The photo labelled ‘A’= AR-stained prostatic tissue as a positive control; ‘B’= Negative AR staining (0% of tumour nuclei are stained for AR, zero staining intensity); ‘C’= 20%, 2+; ‘D’= 30%, 1+; ‘E’= 60%, 2+; ‘F’= 100%, 3+. </w:t>
      </w:r>
    </w:p>
    <w:p w14:paraId="5C2A76A0" w14:textId="2BFBFA74" w:rsidR="00AA10C9" w:rsidRDefault="00AA10C9" w:rsidP="001260B0">
      <w:pPr>
        <w:spacing w:line="360" w:lineRule="auto"/>
        <w:jc w:val="both"/>
        <w:rPr>
          <w:rFonts w:ascii="Arial" w:eastAsia="Times New Roman" w:hAnsi="Arial"/>
          <w:sz w:val="24"/>
          <w:szCs w:val="24"/>
        </w:rPr>
      </w:pPr>
    </w:p>
    <w:p w14:paraId="31C60678" w14:textId="0548FF73" w:rsidR="00AA10C9" w:rsidRDefault="00AA10C9" w:rsidP="001260B0">
      <w:pPr>
        <w:spacing w:line="360" w:lineRule="auto"/>
        <w:jc w:val="both"/>
        <w:rPr>
          <w:rFonts w:ascii="Arial" w:eastAsia="Times New Roman" w:hAnsi="Arial"/>
          <w:sz w:val="24"/>
          <w:szCs w:val="24"/>
        </w:rPr>
      </w:pPr>
    </w:p>
    <w:p w14:paraId="489B5939" w14:textId="5948DB1D" w:rsidR="00AA10C9" w:rsidRDefault="00AA10C9" w:rsidP="001260B0">
      <w:pPr>
        <w:spacing w:line="360" w:lineRule="auto"/>
        <w:jc w:val="both"/>
        <w:rPr>
          <w:rFonts w:ascii="Arial" w:eastAsia="Times New Roman" w:hAnsi="Arial"/>
          <w:sz w:val="24"/>
          <w:szCs w:val="24"/>
        </w:rPr>
      </w:pPr>
    </w:p>
    <w:p w14:paraId="374D8E77" w14:textId="282CBBB4" w:rsidR="00AA10C9" w:rsidRDefault="00AA10C9" w:rsidP="001260B0">
      <w:pPr>
        <w:spacing w:line="360" w:lineRule="auto"/>
        <w:jc w:val="both"/>
        <w:rPr>
          <w:rFonts w:ascii="Arial" w:eastAsia="Times New Roman" w:hAnsi="Arial"/>
          <w:sz w:val="24"/>
          <w:szCs w:val="24"/>
        </w:rPr>
      </w:pPr>
    </w:p>
    <w:p w14:paraId="28FCFF98" w14:textId="3008B3CF" w:rsidR="00AA10C9" w:rsidRDefault="00AA10C9" w:rsidP="001260B0">
      <w:pPr>
        <w:spacing w:line="360" w:lineRule="auto"/>
        <w:jc w:val="both"/>
        <w:rPr>
          <w:rFonts w:ascii="Arial" w:eastAsia="Times New Roman" w:hAnsi="Arial"/>
          <w:sz w:val="24"/>
          <w:szCs w:val="24"/>
        </w:rPr>
      </w:pPr>
    </w:p>
    <w:p w14:paraId="1B29D8E1" w14:textId="51B32D7D" w:rsidR="00AA10C9" w:rsidRDefault="00AA10C9" w:rsidP="001260B0">
      <w:pPr>
        <w:spacing w:line="360" w:lineRule="auto"/>
        <w:jc w:val="both"/>
        <w:rPr>
          <w:rFonts w:ascii="Arial" w:eastAsia="Times New Roman" w:hAnsi="Arial"/>
          <w:sz w:val="24"/>
          <w:szCs w:val="24"/>
        </w:rPr>
      </w:pPr>
    </w:p>
    <w:p w14:paraId="42768080" w14:textId="113EC7B8" w:rsidR="00AA10C9" w:rsidRDefault="00AA10C9" w:rsidP="001260B0">
      <w:pPr>
        <w:spacing w:line="360" w:lineRule="auto"/>
        <w:jc w:val="both"/>
        <w:rPr>
          <w:rFonts w:ascii="Arial" w:eastAsia="Times New Roman" w:hAnsi="Arial"/>
          <w:sz w:val="24"/>
          <w:szCs w:val="24"/>
        </w:rPr>
      </w:pPr>
    </w:p>
    <w:p w14:paraId="0CC20454" w14:textId="30F3DBC5" w:rsidR="0014563D" w:rsidRDefault="00450434" w:rsidP="001260B0">
      <w:pPr>
        <w:spacing w:line="360" w:lineRule="auto"/>
        <w:jc w:val="both"/>
        <w:rPr>
          <w:rFonts w:ascii="Arial" w:eastAsia="Times New Roman" w:hAnsi="Arial"/>
          <w:sz w:val="24"/>
          <w:szCs w:val="24"/>
        </w:rPr>
      </w:pPr>
    </w:p>
    <w:p w14:paraId="0897239D" w14:textId="2376563B" w:rsidR="00AA10C9" w:rsidRDefault="00AA10C9" w:rsidP="00AA10C9">
      <w:pPr>
        <w:jc w:val="both"/>
        <w:rPr>
          <w:rFonts w:ascii="Arial" w:hAnsi="Arial"/>
          <w:b/>
          <w:bCs/>
          <w:sz w:val="24"/>
          <w:szCs w:val="24"/>
        </w:rPr>
      </w:pPr>
      <w:r w:rsidRPr="00B55EDB">
        <w:rPr>
          <w:rFonts w:ascii="Arial" w:hAnsi="Arial"/>
          <w:b/>
          <w:bCs/>
          <w:sz w:val="24"/>
          <w:szCs w:val="24"/>
        </w:rPr>
        <w:lastRenderedPageBreak/>
        <w:t xml:space="preserve">Appendix </w:t>
      </w:r>
      <w:r>
        <w:rPr>
          <w:rFonts w:ascii="Arial" w:hAnsi="Arial"/>
          <w:b/>
          <w:bCs/>
          <w:sz w:val="24"/>
          <w:szCs w:val="24"/>
        </w:rPr>
        <w:t>C</w:t>
      </w:r>
      <w:r w:rsidRPr="00B55EDB">
        <w:rPr>
          <w:rFonts w:ascii="Arial" w:hAnsi="Arial"/>
          <w:b/>
          <w:bCs/>
          <w:sz w:val="24"/>
          <w:szCs w:val="24"/>
        </w:rPr>
        <w:t>: Comparison of triple negative breast cancer studies investigating its relationship with androgen receptor status and overall survival</w:t>
      </w:r>
    </w:p>
    <w:p w14:paraId="293DF03D" w14:textId="77777777" w:rsidR="00AA10C9" w:rsidRPr="00B55EDB" w:rsidRDefault="00AA10C9" w:rsidP="00AA10C9">
      <w:pPr>
        <w:jc w:val="both"/>
        <w:rPr>
          <w:rFonts w:ascii="Arial" w:hAnsi="Arial"/>
          <w:b/>
          <w:bCs/>
          <w:sz w:val="24"/>
          <w:szCs w:val="24"/>
        </w:rPr>
      </w:pPr>
    </w:p>
    <w:tbl>
      <w:tblPr>
        <w:tblStyle w:val="TableGrid"/>
        <w:tblW w:w="0" w:type="auto"/>
        <w:tblLook w:val="04A0" w:firstRow="1" w:lastRow="0" w:firstColumn="1" w:lastColumn="0" w:noHBand="0" w:noVBand="1"/>
      </w:tblPr>
      <w:tblGrid>
        <w:gridCol w:w="1641"/>
        <w:gridCol w:w="1437"/>
        <w:gridCol w:w="1257"/>
        <w:gridCol w:w="1353"/>
        <w:gridCol w:w="1963"/>
        <w:gridCol w:w="1413"/>
      </w:tblGrid>
      <w:tr w:rsidR="00AA10C9" w:rsidRPr="00B55EDB" w14:paraId="1A01F9F7" w14:textId="77777777" w:rsidTr="00FF2045">
        <w:trPr>
          <w:trHeight w:val="132"/>
        </w:trPr>
        <w:tc>
          <w:tcPr>
            <w:tcW w:w="1696" w:type="dxa"/>
            <w:shd w:val="clear" w:color="auto" w:fill="A6A6A6" w:themeFill="background1" w:themeFillShade="A6"/>
          </w:tcPr>
          <w:p w14:paraId="48362276" w14:textId="77777777" w:rsidR="00AA10C9" w:rsidRPr="00B55EDB" w:rsidRDefault="00AA10C9" w:rsidP="00FF2045">
            <w:pPr>
              <w:rPr>
                <w:rFonts w:ascii="Arial" w:hAnsi="Arial"/>
                <w:b/>
                <w:bCs/>
                <w:color w:val="000000" w:themeColor="text1"/>
                <w:sz w:val="24"/>
                <w:szCs w:val="24"/>
              </w:rPr>
            </w:pPr>
            <w:r w:rsidRPr="00B55EDB">
              <w:rPr>
                <w:rFonts w:ascii="Arial" w:hAnsi="Arial"/>
                <w:b/>
                <w:bCs/>
                <w:color w:val="000000" w:themeColor="text1"/>
                <w:sz w:val="24"/>
                <w:szCs w:val="24"/>
              </w:rPr>
              <w:t>Study</w:t>
            </w:r>
          </w:p>
        </w:tc>
        <w:tc>
          <w:tcPr>
            <w:tcW w:w="2552" w:type="dxa"/>
            <w:shd w:val="clear" w:color="auto" w:fill="A6A6A6" w:themeFill="background1" w:themeFillShade="A6"/>
          </w:tcPr>
          <w:p w14:paraId="5FD4DB96" w14:textId="77777777" w:rsidR="00AA10C9" w:rsidRPr="00B55EDB" w:rsidRDefault="00AA10C9" w:rsidP="00FF2045">
            <w:pPr>
              <w:rPr>
                <w:rFonts w:ascii="Arial" w:hAnsi="Arial"/>
                <w:b/>
                <w:bCs/>
                <w:color w:val="000000" w:themeColor="text1"/>
                <w:sz w:val="24"/>
                <w:szCs w:val="24"/>
              </w:rPr>
            </w:pPr>
            <w:r w:rsidRPr="00B55EDB">
              <w:rPr>
                <w:rFonts w:ascii="Arial" w:hAnsi="Arial"/>
                <w:b/>
                <w:bCs/>
                <w:color w:val="000000" w:themeColor="text1"/>
                <w:sz w:val="24"/>
                <w:szCs w:val="24"/>
              </w:rPr>
              <w:t>Number of participants (n)</w:t>
            </w:r>
          </w:p>
        </w:tc>
        <w:tc>
          <w:tcPr>
            <w:tcW w:w="2268" w:type="dxa"/>
            <w:shd w:val="clear" w:color="auto" w:fill="A6A6A6" w:themeFill="background1" w:themeFillShade="A6"/>
          </w:tcPr>
          <w:p w14:paraId="03F8F7B7" w14:textId="77777777" w:rsidR="00AA10C9" w:rsidRPr="00B55EDB" w:rsidRDefault="00AA10C9" w:rsidP="00FF2045">
            <w:pPr>
              <w:rPr>
                <w:rFonts w:ascii="Arial" w:hAnsi="Arial"/>
                <w:b/>
                <w:bCs/>
                <w:color w:val="000000" w:themeColor="text1"/>
                <w:sz w:val="24"/>
                <w:szCs w:val="24"/>
              </w:rPr>
            </w:pPr>
            <w:r w:rsidRPr="00B55EDB">
              <w:rPr>
                <w:rFonts w:ascii="Arial" w:hAnsi="Arial"/>
                <w:b/>
                <w:bCs/>
                <w:color w:val="000000" w:themeColor="text1"/>
                <w:sz w:val="24"/>
                <w:szCs w:val="24"/>
              </w:rPr>
              <w:t>AR Staining Threshold</w:t>
            </w:r>
          </w:p>
        </w:tc>
        <w:tc>
          <w:tcPr>
            <w:tcW w:w="1559" w:type="dxa"/>
            <w:shd w:val="clear" w:color="auto" w:fill="A6A6A6" w:themeFill="background1" w:themeFillShade="A6"/>
          </w:tcPr>
          <w:p w14:paraId="0143E261" w14:textId="77777777" w:rsidR="00AA10C9" w:rsidRPr="00B55EDB" w:rsidRDefault="00AA10C9" w:rsidP="00FF2045">
            <w:pPr>
              <w:rPr>
                <w:rFonts w:ascii="Arial" w:hAnsi="Arial"/>
                <w:b/>
                <w:bCs/>
                <w:color w:val="000000" w:themeColor="text1"/>
                <w:sz w:val="24"/>
                <w:szCs w:val="24"/>
              </w:rPr>
            </w:pPr>
            <w:r w:rsidRPr="00B55EDB">
              <w:rPr>
                <w:rFonts w:ascii="Arial" w:hAnsi="Arial"/>
                <w:b/>
                <w:bCs/>
                <w:color w:val="000000" w:themeColor="text1"/>
                <w:sz w:val="24"/>
                <w:szCs w:val="24"/>
              </w:rPr>
              <w:t>AR expression</w:t>
            </w:r>
          </w:p>
        </w:tc>
        <w:tc>
          <w:tcPr>
            <w:tcW w:w="3119" w:type="dxa"/>
            <w:shd w:val="clear" w:color="auto" w:fill="A6A6A6" w:themeFill="background1" w:themeFillShade="A6"/>
          </w:tcPr>
          <w:p w14:paraId="24504DE0" w14:textId="77777777" w:rsidR="00AA10C9" w:rsidRPr="00B55EDB" w:rsidRDefault="00AA10C9" w:rsidP="00FF2045">
            <w:pPr>
              <w:rPr>
                <w:rFonts w:ascii="Arial" w:hAnsi="Arial"/>
                <w:b/>
                <w:bCs/>
                <w:color w:val="000000" w:themeColor="text1"/>
                <w:sz w:val="24"/>
                <w:szCs w:val="24"/>
              </w:rPr>
            </w:pPr>
            <w:r w:rsidRPr="00B55EDB">
              <w:rPr>
                <w:rFonts w:ascii="Arial" w:hAnsi="Arial"/>
                <w:b/>
                <w:bCs/>
                <w:color w:val="000000" w:themeColor="text1"/>
                <w:sz w:val="24"/>
                <w:szCs w:val="24"/>
              </w:rPr>
              <w:t>Significant TNBC Findings</w:t>
            </w:r>
          </w:p>
        </w:tc>
        <w:tc>
          <w:tcPr>
            <w:tcW w:w="2754" w:type="dxa"/>
            <w:shd w:val="clear" w:color="auto" w:fill="A6A6A6" w:themeFill="background1" w:themeFillShade="A6"/>
          </w:tcPr>
          <w:p w14:paraId="37C84B6A" w14:textId="77777777" w:rsidR="00AA10C9" w:rsidRPr="00B55EDB" w:rsidRDefault="00AA10C9" w:rsidP="00FF2045">
            <w:pPr>
              <w:rPr>
                <w:rFonts w:ascii="Arial" w:hAnsi="Arial"/>
                <w:b/>
                <w:bCs/>
                <w:color w:val="000000" w:themeColor="text1"/>
                <w:sz w:val="24"/>
                <w:szCs w:val="24"/>
              </w:rPr>
            </w:pPr>
            <w:r w:rsidRPr="00B55EDB">
              <w:rPr>
                <w:rFonts w:ascii="Arial" w:hAnsi="Arial"/>
                <w:b/>
                <w:bCs/>
                <w:color w:val="000000" w:themeColor="text1"/>
                <w:sz w:val="24"/>
                <w:szCs w:val="24"/>
              </w:rPr>
              <w:t>TNBC Overall Survival (OS)</w:t>
            </w:r>
          </w:p>
        </w:tc>
      </w:tr>
      <w:tr w:rsidR="00AA10C9" w:rsidRPr="00B55EDB" w14:paraId="09FF17E0" w14:textId="77777777" w:rsidTr="00FF2045">
        <w:tc>
          <w:tcPr>
            <w:tcW w:w="1696" w:type="dxa"/>
          </w:tcPr>
          <w:p w14:paraId="58DF296F" w14:textId="77777777" w:rsidR="00AA10C9" w:rsidRPr="00B55EDB" w:rsidRDefault="00AA10C9" w:rsidP="00FF2045">
            <w:pPr>
              <w:rPr>
                <w:rFonts w:ascii="Arial" w:hAnsi="Arial"/>
                <w:sz w:val="24"/>
                <w:szCs w:val="24"/>
              </w:rPr>
            </w:pPr>
            <w:r w:rsidRPr="00B55EDB">
              <w:rPr>
                <w:rFonts w:ascii="Arial" w:hAnsi="Arial"/>
                <w:sz w:val="24"/>
                <w:szCs w:val="24"/>
              </w:rPr>
              <w:t>Astvatsaturyan et al.</w:t>
            </w:r>
            <w:r w:rsidRPr="00B55EDB">
              <w:rPr>
                <w:rFonts w:ascii="Arial" w:hAnsi="Arial"/>
                <w:sz w:val="24"/>
                <w:szCs w:val="24"/>
                <w:vertAlign w:val="superscript"/>
              </w:rPr>
              <w:t>8</w:t>
            </w:r>
          </w:p>
        </w:tc>
        <w:tc>
          <w:tcPr>
            <w:tcW w:w="2552" w:type="dxa"/>
          </w:tcPr>
          <w:p w14:paraId="044563B7" w14:textId="77777777" w:rsidR="00AA10C9" w:rsidRPr="00B55EDB" w:rsidRDefault="00AA10C9" w:rsidP="00FF2045">
            <w:pPr>
              <w:rPr>
                <w:rFonts w:ascii="Arial" w:hAnsi="Arial"/>
                <w:sz w:val="24"/>
                <w:szCs w:val="24"/>
              </w:rPr>
            </w:pPr>
            <w:r w:rsidRPr="00B55EDB">
              <w:rPr>
                <w:rFonts w:ascii="Arial" w:hAnsi="Arial"/>
                <w:sz w:val="24"/>
                <w:szCs w:val="24"/>
              </w:rPr>
              <w:t>n = 135</w:t>
            </w:r>
          </w:p>
        </w:tc>
        <w:tc>
          <w:tcPr>
            <w:tcW w:w="2268" w:type="dxa"/>
          </w:tcPr>
          <w:p w14:paraId="750F1588" w14:textId="77777777" w:rsidR="00AA10C9" w:rsidRPr="00B55EDB" w:rsidRDefault="00AA10C9" w:rsidP="00FF2045">
            <w:pPr>
              <w:rPr>
                <w:rFonts w:ascii="Arial" w:hAnsi="Arial"/>
                <w:sz w:val="24"/>
                <w:szCs w:val="24"/>
              </w:rPr>
            </w:pPr>
            <w:r w:rsidRPr="00B55EDB">
              <w:rPr>
                <w:rFonts w:ascii="Arial" w:hAnsi="Arial"/>
                <w:sz w:val="24"/>
                <w:szCs w:val="24"/>
              </w:rPr>
              <w:t>1%</w:t>
            </w:r>
          </w:p>
        </w:tc>
        <w:tc>
          <w:tcPr>
            <w:tcW w:w="1559" w:type="dxa"/>
          </w:tcPr>
          <w:p w14:paraId="5EB9E922" w14:textId="77777777" w:rsidR="00AA10C9" w:rsidRPr="00B55EDB" w:rsidRDefault="00AA10C9" w:rsidP="00FF2045">
            <w:pPr>
              <w:rPr>
                <w:rFonts w:ascii="Arial" w:hAnsi="Arial"/>
                <w:sz w:val="24"/>
                <w:szCs w:val="24"/>
              </w:rPr>
            </w:pPr>
            <w:r w:rsidRPr="00B55EDB">
              <w:rPr>
                <w:rFonts w:ascii="Arial" w:hAnsi="Arial"/>
                <w:sz w:val="24"/>
                <w:szCs w:val="24"/>
              </w:rPr>
              <w:t>41%</w:t>
            </w:r>
          </w:p>
        </w:tc>
        <w:tc>
          <w:tcPr>
            <w:tcW w:w="3119" w:type="dxa"/>
          </w:tcPr>
          <w:p w14:paraId="1D319864" w14:textId="77777777" w:rsidR="00AA10C9" w:rsidRPr="00B55EDB" w:rsidRDefault="00AA10C9" w:rsidP="00FF2045">
            <w:pPr>
              <w:rPr>
                <w:rFonts w:ascii="Arial" w:hAnsi="Arial"/>
                <w:sz w:val="24"/>
                <w:szCs w:val="24"/>
              </w:rPr>
            </w:pPr>
            <w:r w:rsidRPr="00B55EDB">
              <w:rPr>
                <w:rFonts w:ascii="Arial" w:hAnsi="Arial"/>
                <w:sz w:val="24"/>
                <w:szCs w:val="24"/>
              </w:rPr>
              <w:t>The mean and median age at TNBC diagnosis were 58 and 57 years old respectively</w:t>
            </w:r>
          </w:p>
          <w:p w14:paraId="12B00268" w14:textId="77777777" w:rsidR="00AA10C9" w:rsidRPr="00B55EDB" w:rsidRDefault="00AA10C9" w:rsidP="00FF2045">
            <w:pPr>
              <w:rPr>
                <w:rFonts w:ascii="Arial" w:hAnsi="Arial"/>
                <w:sz w:val="24"/>
                <w:szCs w:val="24"/>
              </w:rPr>
            </w:pPr>
            <w:r w:rsidRPr="00B55EDB">
              <w:rPr>
                <w:rFonts w:ascii="Arial" w:hAnsi="Arial"/>
                <w:sz w:val="24"/>
                <w:szCs w:val="24"/>
              </w:rPr>
              <w:t>AR+ patients were more associated with a greater tumour size than AR- patients (p = 0.027)</w:t>
            </w:r>
          </w:p>
          <w:p w14:paraId="05590D9A" w14:textId="77777777" w:rsidR="00AA10C9" w:rsidRPr="00B55EDB" w:rsidRDefault="00AA10C9" w:rsidP="00FF2045">
            <w:pPr>
              <w:rPr>
                <w:rFonts w:ascii="Arial" w:hAnsi="Arial"/>
                <w:sz w:val="24"/>
                <w:szCs w:val="24"/>
              </w:rPr>
            </w:pPr>
            <w:r w:rsidRPr="00B55EDB">
              <w:rPr>
                <w:rFonts w:ascii="Arial" w:hAnsi="Arial"/>
                <w:sz w:val="24"/>
                <w:szCs w:val="24"/>
              </w:rPr>
              <w:t>AR+ patients were more likely to have axillary lymph node metastases than AR- patients (p = 0.009)</w:t>
            </w:r>
          </w:p>
          <w:p w14:paraId="446B7ACD" w14:textId="77777777" w:rsidR="00AA10C9" w:rsidRPr="00B55EDB" w:rsidRDefault="00AA10C9" w:rsidP="00FF2045">
            <w:pPr>
              <w:rPr>
                <w:rFonts w:ascii="Arial" w:hAnsi="Arial"/>
                <w:sz w:val="24"/>
                <w:szCs w:val="24"/>
              </w:rPr>
            </w:pPr>
            <w:r w:rsidRPr="00B55EDB">
              <w:rPr>
                <w:rFonts w:ascii="Arial" w:hAnsi="Arial"/>
                <w:sz w:val="24"/>
                <w:szCs w:val="24"/>
              </w:rPr>
              <w:t>AR- patients had a greater association with a high Ki-67 score than AR+ patients (p = 0.014)</w:t>
            </w:r>
          </w:p>
        </w:tc>
        <w:tc>
          <w:tcPr>
            <w:tcW w:w="2754" w:type="dxa"/>
          </w:tcPr>
          <w:p w14:paraId="6A52EA9A" w14:textId="77777777" w:rsidR="00AA10C9" w:rsidRPr="00B55EDB" w:rsidRDefault="00AA10C9" w:rsidP="00FF2045">
            <w:pPr>
              <w:rPr>
                <w:rFonts w:ascii="Arial" w:hAnsi="Arial"/>
                <w:sz w:val="24"/>
                <w:szCs w:val="24"/>
              </w:rPr>
            </w:pPr>
            <w:r w:rsidRPr="00B55EDB">
              <w:rPr>
                <w:rFonts w:ascii="Arial" w:hAnsi="Arial"/>
                <w:sz w:val="24"/>
                <w:szCs w:val="24"/>
              </w:rPr>
              <w:t>No OS data</w:t>
            </w:r>
          </w:p>
        </w:tc>
      </w:tr>
      <w:tr w:rsidR="00AA10C9" w:rsidRPr="00B55EDB" w14:paraId="5DFCD190" w14:textId="77777777" w:rsidTr="00FF2045">
        <w:tc>
          <w:tcPr>
            <w:tcW w:w="1696" w:type="dxa"/>
          </w:tcPr>
          <w:p w14:paraId="1A439E81" w14:textId="77777777" w:rsidR="00AA10C9" w:rsidRPr="009252B9" w:rsidRDefault="00AA10C9" w:rsidP="00FF2045">
            <w:pPr>
              <w:rPr>
                <w:rFonts w:ascii="Arial" w:hAnsi="Arial"/>
                <w:sz w:val="24"/>
                <w:szCs w:val="24"/>
                <w:vertAlign w:val="superscript"/>
              </w:rPr>
            </w:pPr>
            <w:r w:rsidRPr="00B55EDB">
              <w:rPr>
                <w:rFonts w:ascii="Arial" w:hAnsi="Arial"/>
                <w:sz w:val="24"/>
                <w:szCs w:val="24"/>
              </w:rPr>
              <w:t>Teoh et al.</w:t>
            </w:r>
            <w:r>
              <w:rPr>
                <w:rFonts w:ascii="Arial" w:hAnsi="Arial"/>
                <w:sz w:val="24"/>
                <w:szCs w:val="24"/>
                <w:vertAlign w:val="superscript"/>
              </w:rPr>
              <w:t>29</w:t>
            </w:r>
          </w:p>
        </w:tc>
        <w:tc>
          <w:tcPr>
            <w:tcW w:w="2552" w:type="dxa"/>
          </w:tcPr>
          <w:p w14:paraId="2F248232" w14:textId="77777777" w:rsidR="00AA10C9" w:rsidRPr="00B55EDB" w:rsidRDefault="00AA10C9" w:rsidP="00FF2045">
            <w:pPr>
              <w:rPr>
                <w:rFonts w:ascii="Arial" w:hAnsi="Arial"/>
                <w:sz w:val="24"/>
                <w:szCs w:val="24"/>
              </w:rPr>
            </w:pPr>
            <w:r w:rsidRPr="00B55EDB">
              <w:rPr>
                <w:rFonts w:ascii="Arial" w:hAnsi="Arial"/>
                <w:sz w:val="24"/>
                <w:szCs w:val="24"/>
              </w:rPr>
              <w:t>n = 97</w:t>
            </w:r>
          </w:p>
        </w:tc>
        <w:tc>
          <w:tcPr>
            <w:tcW w:w="2268" w:type="dxa"/>
          </w:tcPr>
          <w:p w14:paraId="26A38F02" w14:textId="77777777" w:rsidR="00AA10C9" w:rsidRPr="00B55EDB" w:rsidRDefault="00AA10C9" w:rsidP="00FF2045">
            <w:pPr>
              <w:rPr>
                <w:rFonts w:ascii="Arial" w:hAnsi="Arial"/>
                <w:sz w:val="24"/>
                <w:szCs w:val="24"/>
              </w:rPr>
            </w:pPr>
            <w:r w:rsidRPr="00B55EDB">
              <w:rPr>
                <w:rFonts w:ascii="Arial" w:hAnsi="Arial"/>
                <w:sz w:val="24"/>
                <w:szCs w:val="24"/>
              </w:rPr>
              <w:t xml:space="preserve">1% </w:t>
            </w:r>
          </w:p>
        </w:tc>
        <w:tc>
          <w:tcPr>
            <w:tcW w:w="1559" w:type="dxa"/>
          </w:tcPr>
          <w:p w14:paraId="6BB20735" w14:textId="77777777" w:rsidR="00AA10C9" w:rsidRPr="00B55EDB" w:rsidRDefault="00AA10C9" w:rsidP="00FF2045">
            <w:pPr>
              <w:rPr>
                <w:rFonts w:ascii="Arial" w:hAnsi="Arial"/>
                <w:sz w:val="24"/>
                <w:szCs w:val="24"/>
              </w:rPr>
            </w:pPr>
            <w:r w:rsidRPr="00B55EDB">
              <w:rPr>
                <w:rFonts w:ascii="Arial" w:hAnsi="Arial"/>
                <w:sz w:val="24"/>
                <w:szCs w:val="24"/>
              </w:rPr>
              <w:t>31%</w:t>
            </w:r>
          </w:p>
        </w:tc>
        <w:tc>
          <w:tcPr>
            <w:tcW w:w="3119" w:type="dxa"/>
          </w:tcPr>
          <w:p w14:paraId="27CB6109" w14:textId="77777777" w:rsidR="00AA10C9" w:rsidRPr="00B55EDB" w:rsidRDefault="00AA10C9" w:rsidP="00FF2045">
            <w:pPr>
              <w:rPr>
                <w:rFonts w:ascii="Arial" w:hAnsi="Arial"/>
                <w:sz w:val="24"/>
                <w:szCs w:val="24"/>
              </w:rPr>
            </w:pPr>
            <w:r w:rsidRPr="00B55EDB">
              <w:rPr>
                <w:rFonts w:ascii="Arial" w:hAnsi="Arial"/>
                <w:sz w:val="24"/>
                <w:szCs w:val="24"/>
              </w:rPr>
              <w:t>The mean age at TNBC diagnosis = 58.4 years</w:t>
            </w:r>
          </w:p>
          <w:p w14:paraId="40565596" w14:textId="77777777" w:rsidR="00AA10C9" w:rsidRPr="00B55EDB" w:rsidRDefault="00AA10C9" w:rsidP="00FF2045">
            <w:pPr>
              <w:rPr>
                <w:rFonts w:ascii="Arial" w:hAnsi="Arial"/>
                <w:sz w:val="24"/>
                <w:szCs w:val="24"/>
              </w:rPr>
            </w:pPr>
            <w:r w:rsidRPr="00B55EDB">
              <w:rPr>
                <w:rFonts w:ascii="Arial" w:hAnsi="Arial"/>
                <w:sz w:val="24"/>
                <w:szCs w:val="24"/>
              </w:rPr>
              <w:t xml:space="preserve">AR- patients with TNBC were more likely to </w:t>
            </w:r>
            <w:r w:rsidRPr="00B55EDB">
              <w:rPr>
                <w:rFonts w:ascii="Arial" w:hAnsi="Arial"/>
                <w:sz w:val="24"/>
                <w:szCs w:val="24"/>
              </w:rPr>
              <w:lastRenderedPageBreak/>
              <w:t>have a higher tumour grade (p = 0.016)</w:t>
            </w:r>
          </w:p>
        </w:tc>
        <w:tc>
          <w:tcPr>
            <w:tcW w:w="2754" w:type="dxa"/>
          </w:tcPr>
          <w:p w14:paraId="4B1E21A0" w14:textId="77777777" w:rsidR="00AA10C9" w:rsidRPr="00B55EDB" w:rsidRDefault="00AA10C9" w:rsidP="00FF2045">
            <w:pPr>
              <w:rPr>
                <w:rFonts w:ascii="Arial" w:hAnsi="Arial"/>
                <w:sz w:val="24"/>
                <w:szCs w:val="24"/>
              </w:rPr>
            </w:pPr>
            <w:r w:rsidRPr="00B55EDB">
              <w:rPr>
                <w:rFonts w:ascii="Arial" w:hAnsi="Arial"/>
                <w:sz w:val="24"/>
                <w:szCs w:val="24"/>
              </w:rPr>
              <w:lastRenderedPageBreak/>
              <w:t>No OS data</w:t>
            </w:r>
          </w:p>
        </w:tc>
      </w:tr>
      <w:tr w:rsidR="00AA10C9" w:rsidRPr="00B55EDB" w14:paraId="005E778D" w14:textId="77777777" w:rsidTr="00FF2045">
        <w:tc>
          <w:tcPr>
            <w:tcW w:w="1696" w:type="dxa"/>
          </w:tcPr>
          <w:p w14:paraId="4700645E" w14:textId="77777777" w:rsidR="00AA10C9" w:rsidRPr="009252B9" w:rsidRDefault="00AA10C9" w:rsidP="00FF2045">
            <w:pPr>
              <w:rPr>
                <w:rFonts w:ascii="Arial" w:hAnsi="Arial"/>
                <w:sz w:val="24"/>
                <w:szCs w:val="24"/>
                <w:vertAlign w:val="superscript"/>
              </w:rPr>
            </w:pPr>
            <w:r w:rsidRPr="00B55EDB">
              <w:rPr>
                <w:rFonts w:ascii="Arial" w:hAnsi="Arial"/>
                <w:sz w:val="24"/>
                <w:szCs w:val="24"/>
              </w:rPr>
              <w:t>Sunar et al.</w:t>
            </w:r>
            <w:r>
              <w:rPr>
                <w:rFonts w:ascii="Arial" w:hAnsi="Arial"/>
                <w:sz w:val="24"/>
                <w:szCs w:val="24"/>
                <w:vertAlign w:val="superscript"/>
              </w:rPr>
              <w:t>30</w:t>
            </w:r>
          </w:p>
        </w:tc>
        <w:tc>
          <w:tcPr>
            <w:tcW w:w="2552" w:type="dxa"/>
          </w:tcPr>
          <w:p w14:paraId="751748EE" w14:textId="77777777" w:rsidR="00AA10C9" w:rsidRPr="00B55EDB" w:rsidRDefault="00AA10C9" w:rsidP="00FF2045">
            <w:pPr>
              <w:rPr>
                <w:rFonts w:ascii="Arial" w:hAnsi="Arial"/>
                <w:sz w:val="24"/>
                <w:szCs w:val="24"/>
              </w:rPr>
            </w:pPr>
            <w:r w:rsidRPr="00B55EDB">
              <w:rPr>
                <w:rFonts w:ascii="Arial" w:hAnsi="Arial"/>
                <w:sz w:val="24"/>
                <w:szCs w:val="24"/>
              </w:rPr>
              <w:t>n = 84</w:t>
            </w:r>
          </w:p>
        </w:tc>
        <w:tc>
          <w:tcPr>
            <w:tcW w:w="2268" w:type="dxa"/>
          </w:tcPr>
          <w:p w14:paraId="1955CA0D" w14:textId="77777777" w:rsidR="00AA10C9" w:rsidRPr="00B55EDB" w:rsidRDefault="00AA10C9" w:rsidP="00FF2045">
            <w:pPr>
              <w:rPr>
                <w:rFonts w:ascii="Arial" w:hAnsi="Arial"/>
                <w:sz w:val="24"/>
                <w:szCs w:val="24"/>
              </w:rPr>
            </w:pPr>
            <w:r w:rsidRPr="00B55EDB">
              <w:rPr>
                <w:rFonts w:ascii="Arial" w:hAnsi="Arial"/>
                <w:sz w:val="24"/>
                <w:szCs w:val="24"/>
              </w:rPr>
              <w:t xml:space="preserve">1% </w:t>
            </w:r>
          </w:p>
        </w:tc>
        <w:tc>
          <w:tcPr>
            <w:tcW w:w="1559" w:type="dxa"/>
          </w:tcPr>
          <w:p w14:paraId="0B35044E" w14:textId="77777777" w:rsidR="00AA10C9" w:rsidRPr="00B55EDB" w:rsidRDefault="00AA10C9" w:rsidP="00FF2045">
            <w:pPr>
              <w:rPr>
                <w:rFonts w:ascii="Arial" w:hAnsi="Arial"/>
                <w:sz w:val="24"/>
                <w:szCs w:val="24"/>
              </w:rPr>
            </w:pPr>
            <w:r w:rsidRPr="00B55EDB">
              <w:rPr>
                <w:rFonts w:ascii="Arial" w:hAnsi="Arial"/>
                <w:sz w:val="24"/>
                <w:szCs w:val="24"/>
              </w:rPr>
              <w:t>29.8%</w:t>
            </w:r>
          </w:p>
        </w:tc>
        <w:tc>
          <w:tcPr>
            <w:tcW w:w="3119" w:type="dxa"/>
          </w:tcPr>
          <w:p w14:paraId="0BF2E4ED" w14:textId="77777777" w:rsidR="00AA10C9" w:rsidRPr="00B55EDB" w:rsidRDefault="00AA10C9" w:rsidP="00FF2045">
            <w:pPr>
              <w:autoSpaceDE w:val="0"/>
              <w:autoSpaceDN w:val="0"/>
              <w:adjustRightInd w:val="0"/>
              <w:rPr>
                <w:rFonts w:ascii="Arial" w:hAnsi="Arial"/>
                <w:color w:val="000000"/>
                <w:sz w:val="24"/>
                <w:szCs w:val="24"/>
              </w:rPr>
            </w:pPr>
            <w:r w:rsidRPr="00B55EDB">
              <w:rPr>
                <w:rFonts w:ascii="Arial" w:hAnsi="Arial"/>
                <w:color w:val="000000"/>
                <w:sz w:val="24"/>
                <w:szCs w:val="24"/>
              </w:rPr>
              <w:t>The median age of the TNBC patients in the study = 51 years</w:t>
            </w:r>
          </w:p>
          <w:p w14:paraId="0045219B" w14:textId="77777777" w:rsidR="00AA10C9" w:rsidRPr="00B55EDB" w:rsidRDefault="00AA10C9" w:rsidP="00FF2045">
            <w:pPr>
              <w:autoSpaceDE w:val="0"/>
              <w:autoSpaceDN w:val="0"/>
              <w:adjustRightInd w:val="0"/>
              <w:rPr>
                <w:rFonts w:ascii="Arial" w:hAnsi="Arial"/>
                <w:color w:val="000000"/>
                <w:sz w:val="24"/>
                <w:szCs w:val="24"/>
              </w:rPr>
            </w:pPr>
            <w:r w:rsidRPr="00B55EDB">
              <w:rPr>
                <w:rFonts w:ascii="Arial" w:hAnsi="Arial"/>
                <w:color w:val="000000"/>
                <w:sz w:val="24"/>
                <w:szCs w:val="24"/>
              </w:rPr>
              <w:t>AR+ patients were less likely to have grade III tumours (p = &lt;0.001)</w:t>
            </w:r>
          </w:p>
          <w:p w14:paraId="7726F20D" w14:textId="77777777" w:rsidR="00AA10C9" w:rsidRPr="00B55EDB" w:rsidRDefault="00AA10C9" w:rsidP="00FF2045">
            <w:pPr>
              <w:autoSpaceDE w:val="0"/>
              <w:autoSpaceDN w:val="0"/>
              <w:adjustRightInd w:val="0"/>
              <w:rPr>
                <w:rFonts w:ascii="Arial" w:hAnsi="Arial"/>
                <w:color w:val="000000"/>
                <w:sz w:val="24"/>
                <w:szCs w:val="24"/>
              </w:rPr>
            </w:pPr>
            <w:r w:rsidRPr="00B55EDB">
              <w:rPr>
                <w:rFonts w:ascii="Arial" w:hAnsi="Arial"/>
                <w:color w:val="000000"/>
                <w:sz w:val="24"/>
                <w:szCs w:val="24"/>
              </w:rPr>
              <w:t>Invasive ductal carcinomas were more prevalent in AR- patients than AR+ patients (p = &lt;0.002)</w:t>
            </w:r>
          </w:p>
        </w:tc>
        <w:tc>
          <w:tcPr>
            <w:tcW w:w="2754" w:type="dxa"/>
          </w:tcPr>
          <w:p w14:paraId="2C20C626" w14:textId="77777777" w:rsidR="00AA10C9" w:rsidRPr="00B55EDB" w:rsidRDefault="00AA10C9" w:rsidP="00FF2045">
            <w:pPr>
              <w:rPr>
                <w:rFonts w:ascii="Arial" w:hAnsi="Arial"/>
                <w:sz w:val="24"/>
                <w:szCs w:val="24"/>
              </w:rPr>
            </w:pPr>
            <w:r w:rsidRPr="00B55EDB">
              <w:rPr>
                <w:rFonts w:ascii="Arial" w:hAnsi="Arial"/>
                <w:sz w:val="24"/>
                <w:szCs w:val="24"/>
              </w:rPr>
              <w:t>No difference in OS between AR+ and AR- patients</w:t>
            </w:r>
          </w:p>
        </w:tc>
      </w:tr>
      <w:tr w:rsidR="00AA10C9" w:rsidRPr="00B55EDB" w14:paraId="480168C3" w14:textId="77777777" w:rsidTr="00FF2045">
        <w:tc>
          <w:tcPr>
            <w:tcW w:w="1696" w:type="dxa"/>
          </w:tcPr>
          <w:p w14:paraId="431D043C" w14:textId="77777777" w:rsidR="00AA10C9" w:rsidRPr="009252B9" w:rsidRDefault="00AA10C9" w:rsidP="00FF2045">
            <w:pPr>
              <w:rPr>
                <w:rFonts w:ascii="Arial" w:hAnsi="Arial"/>
                <w:sz w:val="24"/>
                <w:szCs w:val="24"/>
                <w:vertAlign w:val="superscript"/>
              </w:rPr>
            </w:pPr>
            <w:r w:rsidRPr="00B55EDB">
              <w:rPr>
                <w:rFonts w:ascii="Arial" w:hAnsi="Arial"/>
                <w:sz w:val="24"/>
                <w:szCs w:val="24"/>
              </w:rPr>
              <w:t>McGhan et al.</w:t>
            </w:r>
            <w:r>
              <w:rPr>
                <w:rFonts w:ascii="Arial" w:hAnsi="Arial"/>
                <w:sz w:val="24"/>
                <w:szCs w:val="24"/>
                <w:vertAlign w:val="superscript"/>
              </w:rPr>
              <w:t>31</w:t>
            </w:r>
          </w:p>
        </w:tc>
        <w:tc>
          <w:tcPr>
            <w:tcW w:w="2552" w:type="dxa"/>
          </w:tcPr>
          <w:p w14:paraId="4B384B7D" w14:textId="77777777" w:rsidR="00AA10C9" w:rsidRPr="00B55EDB" w:rsidRDefault="00AA10C9" w:rsidP="00FF2045">
            <w:pPr>
              <w:rPr>
                <w:rFonts w:ascii="Arial" w:hAnsi="Arial"/>
                <w:sz w:val="24"/>
                <w:szCs w:val="24"/>
              </w:rPr>
            </w:pPr>
            <w:r w:rsidRPr="00B55EDB">
              <w:rPr>
                <w:rFonts w:ascii="Arial" w:hAnsi="Arial"/>
                <w:sz w:val="24"/>
                <w:szCs w:val="24"/>
              </w:rPr>
              <w:t>n = 94</w:t>
            </w:r>
          </w:p>
        </w:tc>
        <w:tc>
          <w:tcPr>
            <w:tcW w:w="2268" w:type="dxa"/>
          </w:tcPr>
          <w:p w14:paraId="49B4CC88" w14:textId="77777777" w:rsidR="00AA10C9" w:rsidRPr="00B55EDB" w:rsidRDefault="00AA10C9" w:rsidP="00FF2045">
            <w:pPr>
              <w:rPr>
                <w:rFonts w:ascii="Arial" w:hAnsi="Arial"/>
                <w:sz w:val="24"/>
                <w:szCs w:val="24"/>
              </w:rPr>
            </w:pPr>
            <w:r w:rsidRPr="00B55EDB">
              <w:rPr>
                <w:rFonts w:ascii="Arial" w:hAnsi="Arial"/>
                <w:sz w:val="24"/>
                <w:szCs w:val="24"/>
              </w:rPr>
              <w:t>10%</w:t>
            </w:r>
          </w:p>
        </w:tc>
        <w:tc>
          <w:tcPr>
            <w:tcW w:w="1559" w:type="dxa"/>
          </w:tcPr>
          <w:p w14:paraId="38175A3E" w14:textId="77777777" w:rsidR="00AA10C9" w:rsidRPr="00B55EDB" w:rsidRDefault="00AA10C9" w:rsidP="00FF2045">
            <w:pPr>
              <w:rPr>
                <w:rFonts w:ascii="Arial" w:hAnsi="Arial"/>
                <w:sz w:val="24"/>
                <w:szCs w:val="24"/>
              </w:rPr>
            </w:pPr>
            <w:r w:rsidRPr="00B55EDB">
              <w:rPr>
                <w:rFonts w:ascii="Arial" w:hAnsi="Arial"/>
                <w:sz w:val="24"/>
                <w:szCs w:val="24"/>
              </w:rPr>
              <w:t>23%</w:t>
            </w:r>
          </w:p>
        </w:tc>
        <w:tc>
          <w:tcPr>
            <w:tcW w:w="3119" w:type="dxa"/>
          </w:tcPr>
          <w:p w14:paraId="72EDD862" w14:textId="77777777" w:rsidR="00AA10C9" w:rsidRPr="00B55EDB" w:rsidRDefault="00AA10C9" w:rsidP="00FF2045">
            <w:pPr>
              <w:rPr>
                <w:rFonts w:ascii="Arial" w:hAnsi="Arial"/>
                <w:sz w:val="24"/>
                <w:szCs w:val="24"/>
              </w:rPr>
            </w:pPr>
            <w:r w:rsidRPr="00B55EDB">
              <w:rPr>
                <w:rFonts w:ascii="Arial" w:hAnsi="Arial"/>
                <w:sz w:val="24"/>
                <w:szCs w:val="24"/>
              </w:rPr>
              <w:t>Mean TNBC patient age = 58 years</w:t>
            </w:r>
          </w:p>
          <w:p w14:paraId="29931BF8" w14:textId="77777777" w:rsidR="00AA10C9" w:rsidRPr="00B55EDB" w:rsidRDefault="00AA10C9" w:rsidP="00FF2045">
            <w:pPr>
              <w:rPr>
                <w:rFonts w:ascii="Arial" w:hAnsi="Arial"/>
                <w:sz w:val="24"/>
                <w:szCs w:val="24"/>
              </w:rPr>
            </w:pPr>
            <w:r w:rsidRPr="00B55EDB">
              <w:rPr>
                <w:rFonts w:ascii="Arial" w:hAnsi="Arial"/>
                <w:sz w:val="24"/>
                <w:szCs w:val="24"/>
              </w:rPr>
              <w:t>AR+ patients are more likely have lymph node metastases than AR- patients (p = 0.033)</w:t>
            </w:r>
          </w:p>
        </w:tc>
        <w:tc>
          <w:tcPr>
            <w:tcW w:w="2754" w:type="dxa"/>
          </w:tcPr>
          <w:p w14:paraId="0BA4B005" w14:textId="77777777" w:rsidR="00AA10C9" w:rsidRPr="00B55EDB" w:rsidRDefault="00AA10C9" w:rsidP="00FF2045">
            <w:pPr>
              <w:autoSpaceDE w:val="0"/>
              <w:autoSpaceDN w:val="0"/>
              <w:adjustRightInd w:val="0"/>
              <w:rPr>
                <w:rFonts w:ascii="Arial" w:hAnsi="Arial"/>
                <w:color w:val="000000" w:themeColor="text1"/>
                <w:sz w:val="24"/>
                <w:szCs w:val="24"/>
              </w:rPr>
            </w:pPr>
            <w:r w:rsidRPr="00B55EDB">
              <w:rPr>
                <w:rFonts w:ascii="Arial" w:hAnsi="Arial"/>
                <w:sz w:val="24"/>
                <w:szCs w:val="24"/>
              </w:rPr>
              <w:t>No statistically significant differences in OS between AR+ and AR- patients</w:t>
            </w:r>
          </w:p>
        </w:tc>
      </w:tr>
      <w:tr w:rsidR="00AA10C9" w:rsidRPr="00B55EDB" w14:paraId="1261C86A" w14:textId="77777777" w:rsidTr="00FF2045">
        <w:tc>
          <w:tcPr>
            <w:tcW w:w="1696" w:type="dxa"/>
          </w:tcPr>
          <w:p w14:paraId="791CDC79" w14:textId="77777777" w:rsidR="00AA10C9" w:rsidRPr="009252B9" w:rsidRDefault="00AA10C9" w:rsidP="00FF2045">
            <w:pPr>
              <w:rPr>
                <w:rFonts w:ascii="Arial" w:hAnsi="Arial"/>
                <w:sz w:val="24"/>
                <w:szCs w:val="24"/>
                <w:vertAlign w:val="superscript"/>
              </w:rPr>
            </w:pPr>
            <w:r w:rsidRPr="00B55EDB">
              <w:rPr>
                <w:rFonts w:ascii="Arial" w:hAnsi="Arial"/>
                <w:sz w:val="24"/>
                <w:szCs w:val="24"/>
              </w:rPr>
              <w:t>Liu et al.</w:t>
            </w:r>
            <w:r>
              <w:rPr>
                <w:rFonts w:ascii="Arial" w:hAnsi="Arial"/>
                <w:sz w:val="24"/>
                <w:szCs w:val="24"/>
                <w:vertAlign w:val="superscript"/>
              </w:rPr>
              <w:t>33</w:t>
            </w:r>
          </w:p>
        </w:tc>
        <w:tc>
          <w:tcPr>
            <w:tcW w:w="2552" w:type="dxa"/>
          </w:tcPr>
          <w:p w14:paraId="634313C7" w14:textId="77777777" w:rsidR="00AA10C9" w:rsidRPr="00B55EDB" w:rsidRDefault="00AA10C9" w:rsidP="00FF2045">
            <w:pPr>
              <w:rPr>
                <w:rFonts w:ascii="Arial" w:hAnsi="Arial"/>
                <w:sz w:val="24"/>
                <w:szCs w:val="24"/>
              </w:rPr>
            </w:pPr>
            <w:r w:rsidRPr="00B55EDB">
              <w:rPr>
                <w:rFonts w:ascii="Arial" w:hAnsi="Arial"/>
                <w:sz w:val="24"/>
                <w:szCs w:val="24"/>
              </w:rPr>
              <w:t>n = 188</w:t>
            </w:r>
          </w:p>
        </w:tc>
        <w:tc>
          <w:tcPr>
            <w:tcW w:w="2268" w:type="dxa"/>
          </w:tcPr>
          <w:p w14:paraId="1F5AA305" w14:textId="77777777" w:rsidR="00AA10C9" w:rsidRPr="00B55EDB" w:rsidRDefault="00AA10C9" w:rsidP="00FF2045">
            <w:pPr>
              <w:rPr>
                <w:rFonts w:ascii="Arial" w:hAnsi="Arial"/>
                <w:sz w:val="24"/>
                <w:szCs w:val="24"/>
              </w:rPr>
            </w:pPr>
            <w:r w:rsidRPr="00B55EDB">
              <w:rPr>
                <w:rFonts w:ascii="Arial" w:hAnsi="Arial"/>
                <w:sz w:val="24"/>
                <w:szCs w:val="24"/>
              </w:rPr>
              <w:t>1%</w:t>
            </w:r>
          </w:p>
        </w:tc>
        <w:tc>
          <w:tcPr>
            <w:tcW w:w="1559" w:type="dxa"/>
          </w:tcPr>
          <w:p w14:paraId="732CB59B" w14:textId="77777777" w:rsidR="00AA10C9" w:rsidRPr="00B55EDB" w:rsidRDefault="00AA10C9" w:rsidP="00FF2045">
            <w:pPr>
              <w:rPr>
                <w:rFonts w:ascii="Arial" w:hAnsi="Arial"/>
                <w:sz w:val="24"/>
                <w:szCs w:val="24"/>
              </w:rPr>
            </w:pPr>
            <w:r w:rsidRPr="00B55EDB">
              <w:rPr>
                <w:rFonts w:ascii="Arial" w:hAnsi="Arial"/>
                <w:sz w:val="24"/>
                <w:szCs w:val="24"/>
              </w:rPr>
              <w:t>21.8%</w:t>
            </w:r>
          </w:p>
        </w:tc>
        <w:tc>
          <w:tcPr>
            <w:tcW w:w="3119" w:type="dxa"/>
          </w:tcPr>
          <w:p w14:paraId="153FDD65" w14:textId="77777777" w:rsidR="00AA10C9" w:rsidRPr="00B55EDB" w:rsidRDefault="00AA10C9" w:rsidP="00FF2045">
            <w:pPr>
              <w:rPr>
                <w:rFonts w:ascii="Arial" w:hAnsi="Arial"/>
                <w:sz w:val="24"/>
                <w:szCs w:val="24"/>
              </w:rPr>
            </w:pPr>
            <w:r w:rsidRPr="00B55EDB">
              <w:rPr>
                <w:rFonts w:ascii="Arial" w:hAnsi="Arial"/>
                <w:sz w:val="24"/>
                <w:szCs w:val="24"/>
              </w:rPr>
              <w:t>The mean age of the patient group = 49.42 years</w:t>
            </w:r>
          </w:p>
          <w:p w14:paraId="4E1D1653" w14:textId="77777777" w:rsidR="00AA10C9" w:rsidRPr="00B55EDB" w:rsidRDefault="00AA10C9" w:rsidP="00FF2045">
            <w:pPr>
              <w:rPr>
                <w:rFonts w:ascii="Arial" w:hAnsi="Arial"/>
                <w:sz w:val="24"/>
                <w:szCs w:val="24"/>
              </w:rPr>
            </w:pPr>
            <w:r w:rsidRPr="00B55EDB">
              <w:rPr>
                <w:rFonts w:ascii="Arial" w:hAnsi="Arial"/>
                <w:sz w:val="24"/>
                <w:szCs w:val="24"/>
              </w:rPr>
              <w:t>AR+ patients were more likely to have a smaller tumour size than AR- patients (p = 0.042)</w:t>
            </w:r>
          </w:p>
          <w:p w14:paraId="4CEE558E" w14:textId="77777777" w:rsidR="00AA10C9" w:rsidRPr="00B55EDB" w:rsidRDefault="00AA10C9" w:rsidP="00FF2045">
            <w:pPr>
              <w:rPr>
                <w:rFonts w:ascii="Arial" w:hAnsi="Arial"/>
                <w:sz w:val="24"/>
                <w:szCs w:val="24"/>
              </w:rPr>
            </w:pPr>
            <w:r w:rsidRPr="00B55EDB">
              <w:rPr>
                <w:rFonts w:ascii="Arial" w:hAnsi="Arial"/>
                <w:sz w:val="24"/>
                <w:szCs w:val="24"/>
              </w:rPr>
              <w:lastRenderedPageBreak/>
              <w:t>No lymph node involvement was more common in AR+ patients than AR- patients (p = 0.032)</w:t>
            </w:r>
          </w:p>
        </w:tc>
        <w:tc>
          <w:tcPr>
            <w:tcW w:w="2754" w:type="dxa"/>
          </w:tcPr>
          <w:p w14:paraId="6E54F589" w14:textId="77777777" w:rsidR="00AA10C9" w:rsidRPr="00B55EDB" w:rsidRDefault="00AA10C9" w:rsidP="00FF2045">
            <w:pPr>
              <w:rPr>
                <w:rFonts w:ascii="Arial" w:hAnsi="Arial"/>
                <w:sz w:val="24"/>
                <w:szCs w:val="24"/>
              </w:rPr>
            </w:pPr>
            <w:r w:rsidRPr="00B55EDB">
              <w:rPr>
                <w:rFonts w:ascii="Arial" w:hAnsi="Arial"/>
                <w:sz w:val="24"/>
                <w:szCs w:val="24"/>
              </w:rPr>
              <w:lastRenderedPageBreak/>
              <w:t>No correlation between AR expression and OS</w:t>
            </w:r>
          </w:p>
          <w:p w14:paraId="4C5C7783" w14:textId="77777777" w:rsidR="00AA10C9" w:rsidRPr="00B55EDB" w:rsidRDefault="00AA10C9" w:rsidP="00FF2045">
            <w:pPr>
              <w:autoSpaceDE w:val="0"/>
              <w:autoSpaceDN w:val="0"/>
              <w:adjustRightInd w:val="0"/>
              <w:rPr>
                <w:rFonts w:ascii="Arial" w:hAnsi="Arial"/>
                <w:color w:val="000000" w:themeColor="text1"/>
                <w:sz w:val="24"/>
                <w:szCs w:val="24"/>
              </w:rPr>
            </w:pPr>
            <w:r w:rsidRPr="00B55EDB">
              <w:rPr>
                <w:rFonts w:ascii="Arial" w:hAnsi="Arial"/>
                <w:sz w:val="24"/>
                <w:szCs w:val="24"/>
              </w:rPr>
              <w:t xml:space="preserve">AR+ patients with stage III TNBC were more likely to </w:t>
            </w:r>
            <w:r w:rsidRPr="00B55EDB">
              <w:rPr>
                <w:rFonts w:ascii="Arial" w:hAnsi="Arial"/>
                <w:sz w:val="24"/>
                <w:szCs w:val="24"/>
              </w:rPr>
              <w:lastRenderedPageBreak/>
              <w:t>have poorer OS outcomes than AR- patients (p = 0.035)</w:t>
            </w:r>
          </w:p>
        </w:tc>
      </w:tr>
      <w:tr w:rsidR="00AA10C9" w:rsidRPr="00B55EDB" w14:paraId="664E74C8" w14:textId="77777777" w:rsidTr="00FF2045">
        <w:tc>
          <w:tcPr>
            <w:tcW w:w="1696" w:type="dxa"/>
          </w:tcPr>
          <w:p w14:paraId="4C524C98" w14:textId="77777777" w:rsidR="00AA10C9" w:rsidRPr="009252B9" w:rsidRDefault="00AA10C9" w:rsidP="00FF2045">
            <w:pPr>
              <w:rPr>
                <w:rFonts w:ascii="Arial" w:hAnsi="Arial"/>
                <w:sz w:val="24"/>
                <w:szCs w:val="24"/>
                <w:vertAlign w:val="superscript"/>
              </w:rPr>
            </w:pPr>
            <w:r w:rsidRPr="00B55EDB">
              <w:rPr>
                <w:rFonts w:ascii="Arial" w:hAnsi="Arial"/>
                <w:sz w:val="24"/>
                <w:szCs w:val="24"/>
              </w:rPr>
              <w:lastRenderedPageBreak/>
              <w:t>Riaz et al.</w:t>
            </w:r>
            <w:r>
              <w:rPr>
                <w:rFonts w:ascii="Arial" w:hAnsi="Arial"/>
                <w:sz w:val="24"/>
                <w:szCs w:val="24"/>
                <w:vertAlign w:val="superscript"/>
              </w:rPr>
              <w:t>34</w:t>
            </w:r>
          </w:p>
        </w:tc>
        <w:tc>
          <w:tcPr>
            <w:tcW w:w="2552" w:type="dxa"/>
          </w:tcPr>
          <w:p w14:paraId="0C514501" w14:textId="77777777" w:rsidR="00AA10C9" w:rsidRPr="00B55EDB" w:rsidRDefault="00AA10C9" w:rsidP="00FF2045">
            <w:pPr>
              <w:rPr>
                <w:rFonts w:ascii="Arial" w:hAnsi="Arial"/>
                <w:sz w:val="24"/>
                <w:szCs w:val="24"/>
              </w:rPr>
            </w:pPr>
            <w:r w:rsidRPr="00B55EDB">
              <w:rPr>
                <w:rFonts w:ascii="Arial" w:hAnsi="Arial"/>
                <w:sz w:val="24"/>
                <w:szCs w:val="24"/>
              </w:rPr>
              <w:t>n = 197</w:t>
            </w:r>
          </w:p>
        </w:tc>
        <w:tc>
          <w:tcPr>
            <w:tcW w:w="2268" w:type="dxa"/>
          </w:tcPr>
          <w:p w14:paraId="24D0EC6A" w14:textId="77777777" w:rsidR="00AA10C9" w:rsidRPr="00B55EDB" w:rsidRDefault="00AA10C9" w:rsidP="00FF2045">
            <w:pPr>
              <w:rPr>
                <w:rFonts w:ascii="Arial" w:hAnsi="Arial"/>
                <w:sz w:val="24"/>
                <w:szCs w:val="24"/>
              </w:rPr>
            </w:pPr>
            <w:r w:rsidRPr="00B55EDB">
              <w:rPr>
                <w:rFonts w:ascii="Arial" w:hAnsi="Arial"/>
                <w:sz w:val="24"/>
                <w:szCs w:val="24"/>
              </w:rPr>
              <w:t>Not specified</w:t>
            </w:r>
          </w:p>
        </w:tc>
        <w:tc>
          <w:tcPr>
            <w:tcW w:w="1559" w:type="dxa"/>
          </w:tcPr>
          <w:p w14:paraId="7E0A690F" w14:textId="77777777" w:rsidR="00AA10C9" w:rsidRPr="00B55EDB" w:rsidRDefault="00AA10C9" w:rsidP="00FF2045">
            <w:pPr>
              <w:rPr>
                <w:rFonts w:ascii="Arial" w:hAnsi="Arial"/>
                <w:sz w:val="24"/>
                <w:szCs w:val="24"/>
              </w:rPr>
            </w:pPr>
            <w:r w:rsidRPr="00B55EDB">
              <w:rPr>
                <w:rFonts w:ascii="Arial" w:hAnsi="Arial"/>
                <w:sz w:val="24"/>
                <w:szCs w:val="24"/>
              </w:rPr>
              <w:t>18.8%</w:t>
            </w:r>
          </w:p>
        </w:tc>
        <w:tc>
          <w:tcPr>
            <w:tcW w:w="3119" w:type="dxa"/>
          </w:tcPr>
          <w:p w14:paraId="706D5A62" w14:textId="77777777" w:rsidR="00AA10C9" w:rsidRPr="00B55EDB" w:rsidRDefault="00AA10C9" w:rsidP="00FF2045">
            <w:pPr>
              <w:rPr>
                <w:rFonts w:ascii="Arial" w:hAnsi="Arial"/>
                <w:sz w:val="24"/>
                <w:szCs w:val="24"/>
              </w:rPr>
            </w:pPr>
            <w:r w:rsidRPr="00B55EDB">
              <w:rPr>
                <w:rFonts w:ascii="Arial" w:hAnsi="Arial"/>
                <w:sz w:val="24"/>
                <w:szCs w:val="24"/>
              </w:rPr>
              <w:t>The median age of the TNBC patients in the study = 49.5 years</w:t>
            </w:r>
          </w:p>
          <w:p w14:paraId="2E315E35" w14:textId="77777777" w:rsidR="00AA10C9" w:rsidRPr="00B55EDB" w:rsidRDefault="00AA10C9" w:rsidP="00FF2045">
            <w:pPr>
              <w:rPr>
                <w:rFonts w:ascii="Arial" w:hAnsi="Arial"/>
                <w:sz w:val="24"/>
                <w:szCs w:val="24"/>
              </w:rPr>
            </w:pPr>
            <w:r w:rsidRPr="00B55EDB">
              <w:rPr>
                <w:rFonts w:ascii="Arial" w:hAnsi="Arial"/>
                <w:sz w:val="24"/>
                <w:szCs w:val="24"/>
              </w:rPr>
              <w:t>AR+ patients were more likely to present with a lower tumour grade (p = &lt;0.001)</w:t>
            </w:r>
          </w:p>
        </w:tc>
        <w:tc>
          <w:tcPr>
            <w:tcW w:w="2754" w:type="dxa"/>
          </w:tcPr>
          <w:p w14:paraId="36F7F3CB" w14:textId="77777777" w:rsidR="00AA10C9" w:rsidRPr="00B55EDB" w:rsidRDefault="00AA10C9" w:rsidP="00FF2045">
            <w:pPr>
              <w:autoSpaceDE w:val="0"/>
              <w:autoSpaceDN w:val="0"/>
              <w:adjustRightInd w:val="0"/>
              <w:rPr>
                <w:rFonts w:ascii="Arial" w:hAnsi="Arial"/>
                <w:color w:val="000000" w:themeColor="text1"/>
                <w:sz w:val="24"/>
                <w:szCs w:val="24"/>
              </w:rPr>
            </w:pPr>
            <w:r w:rsidRPr="00B55EDB">
              <w:rPr>
                <w:rFonts w:ascii="Arial" w:hAnsi="Arial"/>
                <w:color w:val="000000" w:themeColor="text1"/>
                <w:sz w:val="24"/>
                <w:szCs w:val="24"/>
              </w:rPr>
              <w:t>AR+ patients demonstrate better OS than AR- patients</w:t>
            </w:r>
          </w:p>
          <w:p w14:paraId="615072BC" w14:textId="77777777" w:rsidR="00AA10C9" w:rsidRPr="00B55EDB" w:rsidRDefault="00AA10C9" w:rsidP="00FF2045">
            <w:pPr>
              <w:rPr>
                <w:rFonts w:ascii="Arial" w:hAnsi="Arial"/>
                <w:sz w:val="24"/>
                <w:szCs w:val="24"/>
              </w:rPr>
            </w:pPr>
            <w:r w:rsidRPr="00B55EDB">
              <w:rPr>
                <w:rFonts w:ascii="Arial" w:hAnsi="Arial"/>
                <w:color w:val="000000" w:themeColor="text1"/>
                <w:sz w:val="24"/>
                <w:szCs w:val="24"/>
              </w:rPr>
              <w:t>AR+ patients with axillary lymph node metastases have longer OS times compared to AR- patients with axillary lymph node metastases (p = 0.005)</w:t>
            </w:r>
          </w:p>
        </w:tc>
      </w:tr>
      <w:tr w:rsidR="00AA10C9" w:rsidRPr="00B55EDB" w14:paraId="62A65D36" w14:textId="77777777" w:rsidTr="00FF2045">
        <w:tc>
          <w:tcPr>
            <w:tcW w:w="1696" w:type="dxa"/>
          </w:tcPr>
          <w:p w14:paraId="6AE2F85E" w14:textId="77777777" w:rsidR="00AA10C9" w:rsidRPr="009252B9" w:rsidRDefault="00AA10C9" w:rsidP="00FF2045">
            <w:pPr>
              <w:rPr>
                <w:rFonts w:ascii="Arial" w:hAnsi="Arial"/>
                <w:sz w:val="24"/>
                <w:szCs w:val="24"/>
                <w:vertAlign w:val="superscript"/>
              </w:rPr>
            </w:pPr>
            <w:r w:rsidRPr="00B55EDB">
              <w:rPr>
                <w:rFonts w:ascii="Arial" w:hAnsi="Arial"/>
                <w:sz w:val="24"/>
                <w:szCs w:val="24"/>
              </w:rPr>
              <w:t>Jam et al.</w:t>
            </w:r>
            <w:r>
              <w:rPr>
                <w:rFonts w:ascii="Arial" w:hAnsi="Arial"/>
                <w:sz w:val="24"/>
                <w:szCs w:val="24"/>
                <w:vertAlign w:val="superscript"/>
              </w:rPr>
              <w:t>35</w:t>
            </w:r>
          </w:p>
        </w:tc>
        <w:tc>
          <w:tcPr>
            <w:tcW w:w="2552" w:type="dxa"/>
          </w:tcPr>
          <w:p w14:paraId="205F1494" w14:textId="77777777" w:rsidR="00AA10C9" w:rsidRPr="00B55EDB" w:rsidRDefault="00AA10C9" w:rsidP="00FF2045">
            <w:pPr>
              <w:rPr>
                <w:rFonts w:ascii="Arial" w:hAnsi="Arial"/>
                <w:sz w:val="24"/>
                <w:szCs w:val="24"/>
              </w:rPr>
            </w:pPr>
            <w:r w:rsidRPr="00B55EDB">
              <w:rPr>
                <w:rFonts w:ascii="Arial" w:hAnsi="Arial"/>
                <w:sz w:val="24"/>
                <w:szCs w:val="24"/>
              </w:rPr>
              <w:t>n = 77</w:t>
            </w:r>
          </w:p>
        </w:tc>
        <w:tc>
          <w:tcPr>
            <w:tcW w:w="2268" w:type="dxa"/>
          </w:tcPr>
          <w:p w14:paraId="7AA530ED" w14:textId="77777777" w:rsidR="00AA10C9" w:rsidRPr="00B55EDB" w:rsidRDefault="00AA10C9" w:rsidP="00FF2045">
            <w:pPr>
              <w:rPr>
                <w:rFonts w:ascii="Arial" w:hAnsi="Arial"/>
                <w:sz w:val="24"/>
                <w:szCs w:val="24"/>
              </w:rPr>
            </w:pPr>
            <w:r w:rsidRPr="00B55EDB">
              <w:rPr>
                <w:rFonts w:ascii="Arial" w:hAnsi="Arial"/>
                <w:sz w:val="24"/>
                <w:szCs w:val="24"/>
              </w:rPr>
              <w:t>10%</w:t>
            </w:r>
          </w:p>
        </w:tc>
        <w:tc>
          <w:tcPr>
            <w:tcW w:w="1559" w:type="dxa"/>
          </w:tcPr>
          <w:p w14:paraId="2E52F906" w14:textId="77777777" w:rsidR="00AA10C9" w:rsidRPr="00B55EDB" w:rsidRDefault="00AA10C9" w:rsidP="00FF2045">
            <w:pPr>
              <w:rPr>
                <w:rFonts w:ascii="Arial" w:hAnsi="Arial"/>
                <w:sz w:val="24"/>
                <w:szCs w:val="24"/>
              </w:rPr>
            </w:pPr>
            <w:r w:rsidRPr="00B55EDB">
              <w:rPr>
                <w:rFonts w:ascii="Arial" w:hAnsi="Arial"/>
                <w:sz w:val="24"/>
                <w:szCs w:val="24"/>
              </w:rPr>
              <w:t>34%</w:t>
            </w:r>
          </w:p>
        </w:tc>
        <w:tc>
          <w:tcPr>
            <w:tcW w:w="3119" w:type="dxa"/>
          </w:tcPr>
          <w:p w14:paraId="402817A6" w14:textId="77777777" w:rsidR="00AA10C9" w:rsidRPr="00B55EDB" w:rsidRDefault="00AA10C9" w:rsidP="00FF2045">
            <w:pPr>
              <w:rPr>
                <w:rFonts w:ascii="Arial" w:hAnsi="Arial"/>
                <w:sz w:val="24"/>
                <w:szCs w:val="24"/>
              </w:rPr>
            </w:pPr>
            <w:r w:rsidRPr="00B55EDB">
              <w:rPr>
                <w:rFonts w:ascii="Arial" w:hAnsi="Arial"/>
                <w:sz w:val="24"/>
                <w:szCs w:val="24"/>
              </w:rPr>
              <w:t>Mean age at TNBC diagnosis = 45.3 years</w:t>
            </w:r>
          </w:p>
          <w:p w14:paraId="5D20052F" w14:textId="77777777" w:rsidR="00AA10C9" w:rsidRPr="00B55EDB" w:rsidRDefault="00AA10C9" w:rsidP="00FF2045">
            <w:pPr>
              <w:rPr>
                <w:rFonts w:ascii="Arial" w:hAnsi="Arial"/>
                <w:sz w:val="24"/>
                <w:szCs w:val="24"/>
              </w:rPr>
            </w:pPr>
            <w:r w:rsidRPr="00B55EDB">
              <w:rPr>
                <w:rFonts w:ascii="Arial" w:hAnsi="Arial"/>
                <w:sz w:val="24"/>
                <w:szCs w:val="24"/>
              </w:rPr>
              <w:t xml:space="preserve">AR+ patients had a greater association with a higher tumour grade and lymphovascular </w:t>
            </w:r>
            <w:r w:rsidRPr="00B55EDB">
              <w:rPr>
                <w:rFonts w:ascii="Arial" w:hAnsi="Arial"/>
                <w:sz w:val="24"/>
                <w:szCs w:val="24"/>
              </w:rPr>
              <w:lastRenderedPageBreak/>
              <w:t>space invasion than AR- patients (p = 0.029 and p = 0.01 respectively)</w:t>
            </w:r>
          </w:p>
        </w:tc>
        <w:tc>
          <w:tcPr>
            <w:tcW w:w="2754" w:type="dxa"/>
          </w:tcPr>
          <w:p w14:paraId="3073B9A9" w14:textId="77777777" w:rsidR="00AA10C9" w:rsidRPr="00B55EDB" w:rsidRDefault="00AA10C9" w:rsidP="00FF2045">
            <w:pPr>
              <w:rPr>
                <w:rFonts w:ascii="Arial" w:hAnsi="Arial"/>
                <w:sz w:val="24"/>
                <w:szCs w:val="24"/>
              </w:rPr>
            </w:pPr>
            <w:r w:rsidRPr="00B55EDB">
              <w:rPr>
                <w:rFonts w:ascii="Arial" w:hAnsi="Arial"/>
                <w:sz w:val="24"/>
                <w:szCs w:val="24"/>
              </w:rPr>
              <w:lastRenderedPageBreak/>
              <w:t>No OS data</w:t>
            </w:r>
          </w:p>
        </w:tc>
      </w:tr>
      <w:tr w:rsidR="00AA10C9" w:rsidRPr="00B55EDB" w14:paraId="6622C772" w14:textId="77777777" w:rsidTr="00FF2045">
        <w:tc>
          <w:tcPr>
            <w:tcW w:w="1696" w:type="dxa"/>
          </w:tcPr>
          <w:p w14:paraId="2352D223" w14:textId="77777777" w:rsidR="00AA10C9" w:rsidRPr="009252B9" w:rsidRDefault="00AA10C9" w:rsidP="00FF2045">
            <w:pPr>
              <w:rPr>
                <w:rFonts w:ascii="Arial" w:hAnsi="Arial"/>
                <w:sz w:val="24"/>
                <w:szCs w:val="24"/>
                <w:vertAlign w:val="superscript"/>
              </w:rPr>
            </w:pPr>
            <w:r w:rsidRPr="00B55EDB">
              <w:rPr>
                <w:rFonts w:ascii="Arial" w:hAnsi="Arial"/>
                <w:sz w:val="24"/>
                <w:szCs w:val="24"/>
              </w:rPr>
              <w:t>Payandeh et al.</w:t>
            </w:r>
            <w:r>
              <w:rPr>
                <w:rFonts w:ascii="Arial" w:hAnsi="Arial"/>
                <w:sz w:val="24"/>
                <w:szCs w:val="24"/>
                <w:vertAlign w:val="superscript"/>
              </w:rPr>
              <w:t>36</w:t>
            </w:r>
          </w:p>
        </w:tc>
        <w:tc>
          <w:tcPr>
            <w:tcW w:w="2552" w:type="dxa"/>
          </w:tcPr>
          <w:p w14:paraId="3B54434F" w14:textId="77777777" w:rsidR="00AA10C9" w:rsidRPr="00B55EDB" w:rsidRDefault="00AA10C9" w:rsidP="00FF2045">
            <w:pPr>
              <w:rPr>
                <w:rFonts w:ascii="Arial" w:hAnsi="Arial"/>
                <w:sz w:val="24"/>
                <w:szCs w:val="24"/>
              </w:rPr>
            </w:pPr>
            <w:r w:rsidRPr="00B55EDB">
              <w:rPr>
                <w:rFonts w:ascii="Arial" w:hAnsi="Arial"/>
                <w:sz w:val="24"/>
                <w:szCs w:val="24"/>
              </w:rPr>
              <w:t>n = 41</w:t>
            </w:r>
          </w:p>
        </w:tc>
        <w:tc>
          <w:tcPr>
            <w:tcW w:w="2268" w:type="dxa"/>
          </w:tcPr>
          <w:p w14:paraId="2AA70930" w14:textId="77777777" w:rsidR="00AA10C9" w:rsidRPr="00B55EDB" w:rsidRDefault="00AA10C9" w:rsidP="00FF2045">
            <w:pPr>
              <w:rPr>
                <w:rFonts w:ascii="Arial" w:hAnsi="Arial"/>
                <w:sz w:val="24"/>
                <w:szCs w:val="24"/>
              </w:rPr>
            </w:pPr>
            <w:r w:rsidRPr="00B55EDB">
              <w:rPr>
                <w:rFonts w:ascii="Arial" w:hAnsi="Arial"/>
                <w:sz w:val="24"/>
                <w:szCs w:val="24"/>
              </w:rPr>
              <w:t>10%</w:t>
            </w:r>
          </w:p>
        </w:tc>
        <w:tc>
          <w:tcPr>
            <w:tcW w:w="1559" w:type="dxa"/>
          </w:tcPr>
          <w:p w14:paraId="651847F5" w14:textId="77777777" w:rsidR="00AA10C9" w:rsidRPr="00B55EDB" w:rsidRDefault="00AA10C9" w:rsidP="00FF2045">
            <w:pPr>
              <w:rPr>
                <w:rFonts w:ascii="Arial" w:hAnsi="Arial"/>
                <w:sz w:val="24"/>
                <w:szCs w:val="24"/>
              </w:rPr>
            </w:pPr>
            <w:r w:rsidRPr="00B55EDB">
              <w:rPr>
                <w:rFonts w:ascii="Arial" w:hAnsi="Arial"/>
                <w:sz w:val="24"/>
                <w:szCs w:val="24"/>
              </w:rPr>
              <w:t>24.4%</w:t>
            </w:r>
          </w:p>
        </w:tc>
        <w:tc>
          <w:tcPr>
            <w:tcW w:w="3119" w:type="dxa"/>
          </w:tcPr>
          <w:p w14:paraId="6F8D73D1" w14:textId="77777777" w:rsidR="00AA10C9" w:rsidRPr="00B55EDB" w:rsidRDefault="00AA10C9" w:rsidP="00FF2045">
            <w:pPr>
              <w:rPr>
                <w:rFonts w:ascii="Arial" w:hAnsi="Arial"/>
                <w:sz w:val="24"/>
                <w:szCs w:val="24"/>
              </w:rPr>
            </w:pPr>
            <w:r w:rsidRPr="00B55EDB">
              <w:rPr>
                <w:rFonts w:ascii="Arial" w:hAnsi="Arial"/>
                <w:sz w:val="24"/>
                <w:szCs w:val="24"/>
              </w:rPr>
              <w:t>Mean age at TNBC diagnosis = 46.8 years</w:t>
            </w:r>
          </w:p>
          <w:p w14:paraId="20A115C2" w14:textId="77777777" w:rsidR="00AA10C9" w:rsidRPr="00B55EDB" w:rsidRDefault="00AA10C9" w:rsidP="00FF2045">
            <w:pPr>
              <w:rPr>
                <w:rFonts w:ascii="Arial" w:hAnsi="Arial"/>
                <w:sz w:val="24"/>
                <w:szCs w:val="24"/>
              </w:rPr>
            </w:pPr>
            <w:r w:rsidRPr="00B55EDB">
              <w:rPr>
                <w:rFonts w:ascii="Arial" w:hAnsi="Arial"/>
                <w:sz w:val="24"/>
                <w:szCs w:val="24"/>
              </w:rPr>
              <w:t>No significant differences between AR status and TNBC clinicopathological characteristics</w:t>
            </w:r>
          </w:p>
        </w:tc>
        <w:tc>
          <w:tcPr>
            <w:tcW w:w="2754" w:type="dxa"/>
          </w:tcPr>
          <w:p w14:paraId="5ECC7EA1" w14:textId="77777777" w:rsidR="00AA10C9" w:rsidRPr="00B55EDB" w:rsidRDefault="00AA10C9" w:rsidP="00FF2045">
            <w:pPr>
              <w:rPr>
                <w:rFonts w:ascii="Arial" w:hAnsi="Arial"/>
                <w:sz w:val="24"/>
                <w:szCs w:val="24"/>
              </w:rPr>
            </w:pPr>
            <w:r w:rsidRPr="00B55EDB">
              <w:rPr>
                <w:rFonts w:ascii="Arial" w:hAnsi="Arial"/>
                <w:sz w:val="24"/>
                <w:szCs w:val="24"/>
              </w:rPr>
              <w:t>The mean OS was greater in AR+ patients than AR- patients (26.3 months vs 23.2 months respectively</w:t>
            </w:r>
          </w:p>
        </w:tc>
      </w:tr>
      <w:tr w:rsidR="00AA10C9" w:rsidRPr="00B55EDB" w14:paraId="0767B09E" w14:textId="77777777" w:rsidTr="00FF2045">
        <w:tc>
          <w:tcPr>
            <w:tcW w:w="1696" w:type="dxa"/>
          </w:tcPr>
          <w:p w14:paraId="5F4A3BE6" w14:textId="77777777" w:rsidR="00AA10C9" w:rsidRPr="009252B9" w:rsidRDefault="00AA10C9" w:rsidP="00FF2045">
            <w:pPr>
              <w:rPr>
                <w:rFonts w:ascii="Arial" w:hAnsi="Arial"/>
                <w:sz w:val="24"/>
                <w:szCs w:val="24"/>
                <w:vertAlign w:val="superscript"/>
              </w:rPr>
            </w:pPr>
            <w:r w:rsidRPr="00B55EDB">
              <w:rPr>
                <w:rFonts w:ascii="Arial" w:hAnsi="Arial"/>
                <w:sz w:val="24"/>
                <w:szCs w:val="24"/>
              </w:rPr>
              <w:t>Cabezas-Quintario et al.</w:t>
            </w:r>
            <w:r>
              <w:rPr>
                <w:rFonts w:ascii="Arial" w:hAnsi="Arial"/>
                <w:sz w:val="24"/>
                <w:szCs w:val="24"/>
                <w:vertAlign w:val="superscript"/>
              </w:rPr>
              <w:t>37</w:t>
            </w:r>
          </w:p>
        </w:tc>
        <w:tc>
          <w:tcPr>
            <w:tcW w:w="2552" w:type="dxa"/>
          </w:tcPr>
          <w:p w14:paraId="3DE8DE71" w14:textId="77777777" w:rsidR="00AA10C9" w:rsidRPr="00B55EDB" w:rsidRDefault="00AA10C9" w:rsidP="00FF2045">
            <w:pPr>
              <w:rPr>
                <w:rFonts w:ascii="Arial" w:hAnsi="Arial"/>
                <w:sz w:val="24"/>
                <w:szCs w:val="24"/>
              </w:rPr>
            </w:pPr>
            <w:r w:rsidRPr="00B55EDB">
              <w:rPr>
                <w:rFonts w:ascii="Arial" w:hAnsi="Arial"/>
                <w:sz w:val="24"/>
                <w:szCs w:val="24"/>
              </w:rPr>
              <w:t>n = 101</w:t>
            </w:r>
          </w:p>
        </w:tc>
        <w:tc>
          <w:tcPr>
            <w:tcW w:w="2268" w:type="dxa"/>
          </w:tcPr>
          <w:p w14:paraId="29AA6081" w14:textId="77777777" w:rsidR="00AA10C9" w:rsidRPr="00B55EDB" w:rsidRDefault="00AA10C9" w:rsidP="00FF2045">
            <w:pPr>
              <w:rPr>
                <w:rFonts w:ascii="Arial" w:hAnsi="Arial"/>
                <w:sz w:val="24"/>
                <w:szCs w:val="24"/>
              </w:rPr>
            </w:pPr>
            <w:r w:rsidRPr="00B55EDB">
              <w:rPr>
                <w:rFonts w:ascii="Arial" w:hAnsi="Arial"/>
                <w:sz w:val="24"/>
                <w:szCs w:val="24"/>
              </w:rPr>
              <w:t>1%</w:t>
            </w:r>
          </w:p>
        </w:tc>
        <w:tc>
          <w:tcPr>
            <w:tcW w:w="1559" w:type="dxa"/>
          </w:tcPr>
          <w:p w14:paraId="08450B56" w14:textId="77777777" w:rsidR="00AA10C9" w:rsidRPr="00B55EDB" w:rsidRDefault="00AA10C9" w:rsidP="00FF2045">
            <w:pPr>
              <w:rPr>
                <w:rFonts w:ascii="Arial" w:hAnsi="Arial"/>
                <w:sz w:val="24"/>
                <w:szCs w:val="24"/>
              </w:rPr>
            </w:pPr>
            <w:r w:rsidRPr="00B55EDB">
              <w:rPr>
                <w:rFonts w:ascii="Arial" w:hAnsi="Arial"/>
                <w:sz w:val="24"/>
                <w:szCs w:val="24"/>
              </w:rPr>
              <w:t>40%</w:t>
            </w:r>
          </w:p>
        </w:tc>
        <w:tc>
          <w:tcPr>
            <w:tcW w:w="3119" w:type="dxa"/>
          </w:tcPr>
          <w:p w14:paraId="5BD086E1" w14:textId="77777777" w:rsidR="00AA10C9" w:rsidRPr="00B55EDB" w:rsidRDefault="00AA10C9" w:rsidP="00FF2045">
            <w:pPr>
              <w:rPr>
                <w:rFonts w:ascii="Arial" w:hAnsi="Arial"/>
                <w:sz w:val="24"/>
                <w:szCs w:val="24"/>
              </w:rPr>
            </w:pPr>
            <w:r w:rsidRPr="00B55EDB">
              <w:rPr>
                <w:rFonts w:ascii="Arial" w:hAnsi="Arial"/>
                <w:sz w:val="24"/>
                <w:szCs w:val="24"/>
              </w:rPr>
              <w:t xml:space="preserve">The median age for patients in this study = 60 years </w:t>
            </w:r>
          </w:p>
          <w:p w14:paraId="69D35F1F" w14:textId="77777777" w:rsidR="00AA10C9" w:rsidRPr="00B55EDB" w:rsidRDefault="00AA10C9" w:rsidP="00FF2045">
            <w:pPr>
              <w:rPr>
                <w:rFonts w:ascii="Arial" w:hAnsi="Arial"/>
                <w:sz w:val="24"/>
                <w:szCs w:val="24"/>
              </w:rPr>
            </w:pPr>
            <w:r w:rsidRPr="00B55EDB">
              <w:rPr>
                <w:rFonts w:ascii="Arial" w:hAnsi="Arial"/>
                <w:sz w:val="24"/>
                <w:szCs w:val="24"/>
              </w:rPr>
              <w:t>AR- patients had greater rates of high Ki-67 scores than AR+ patients (p = 0.001)</w:t>
            </w:r>
          </w:p>
          <w:p w14:paraId="6CF50BFD" w14:textId="77777777" w:rsidR="00AA10C9" w:rsidRPr="00B55EDB" w:rsidRDefault="00AA10C9" w:rsidP="00FF2045">
            <w:pPr>
              <w:rPr>
                <w:rFonts w:ascii="Arial" w:hAnsi="Arial"/>
                <w:sz w:val="24"/>
                <w:szCs w:val="24"/>
              </w:rPr>
            </w:pPr>
            <w:r w:rsidRPr="00B55EDB">
              <w:rPr>
                <w:rFonts w:ascii="Arial" w:hAnsi="Arial"/>
                <w:sz w:val="24"/>
                <w:szCs w:val="24"/>
              </w:rPr>
              <w:t>AR- patients were more associated with a high tumour grade than AR+ patients (p = 0.008)</w:t>
            </w:r>
          </w:p>
        </w:tc>
        <w:tc>
          <w:tcPr>
            <w:tcW w:w="2754" w:type="dxa"/>
          </w:tcPr>
          <w:p w14:paraId="0FD9E00D" w14:textId="77777777" w:rsidR="00AA10C9" w:rsidRPr="00B55EDB" w:rsidRDefault="00AA10C9" w:rsidP="00FF2045">
            <w:pPr>
              <w:rPr>
                <w:rFonts w:ascii="Arial" w:hAnsi="Arial"/>
                <w:sz w:val="24"/>
                <w:szCs w:val="24"/>
              </w:rPr>
            </w:pPr>
            <w:r w:rsidRPr="00B55EDB">
              <w:rPr>
                <w:rFonts w:ascii="Arial" w:hAnsi="Arial"/>
                <w:sz w:val="24"/>
                <w:szCs w:val="24"/>
              </w:rPr>
              <w:t>3- and 5-year OS rates were worse in AR- patients than in AR+ patients (86% and 80% vs 100% vs 96% respectively; p = 0.034)</w:t>
            </w:r>
          </w:p>
          <w:p w14:paraId="3474FF02" w14:textId="77777777" w:rsidR="00AA10C9" w:rsidRPr="00B55EDB" w:rsidRDefault="00AA10C9" w:rsidP="00FF2045">
            <w:pPr>
              <w:rPr>
                <w:rFonts w:ascii="Arial" w:hAnsi="Arial"/>
                <w:sz w:val="24"/>
                <w:szCs w:val="24"/>
              </w:rPr>
            </w:pPr>
            <w:r w:rsidRPr="00B55EDB">
              <w:rPr>
                <w:rFonts w:ascii="Arial" w:hAnsi="Arial"/>
                <w:sz w:val="24"/>
                <w:szCs w:val="24"/>
              </w:rPr>
              <w:t>Axillary lymph node involvement was associated with poorer OS (p = 0.046)</w:t>
            </w:r>
          </w:p>
        </w:tc>
      </w:tr>
      <w:tr w:rsidR="00AA10C9" w:rsidRPr="00B55EDB" w14:paraId="6973A1A8" w14:textId="77777777" w:rsidTr="00FF2045">
        <w:tc>
          <w:tcPr>
            <w:tcW w:w="1696" w:type="dxa"/>
          </w:tcPr>
          <w:p w14:paraId="2FEF5C6A" w14:textId="77777777" w:rsidR="00AA10C9" w:rsidRPr="009252B9" w:rsidRDefault="00AA10C9" w:rsidP="00FF2045">
            <w:pPr>
              <w:rPr>
                <w:rFonts w:ascii="Arial" w:hAnsi="Arial"/>
                <w:sz w:val="24"/>
                <w:szCs w:val="24"/>
                <w:vertAlign w:val="superscript"/>
              </w:rPr>
            </w:pPr>
            <w:r w:rsidRPr="00B55EDB">
              <w:rPr>
                <w:rFonts w:ascii="Arial" w:hAnsi="Arial"/>
                <w:sz w:val="24"/>
                <w:szCs w:val="24"/>
              </w:rPr>
              <w:lastRenderedPageBreak/>
              <w:t>Lyalkin et al.</w:t>
            </w:r>
            <w:r>
              <w:rPr>
                <w:rFonts w:ascii="Arial" w:hAnsi="Arial"/>
                <w:sz w:val="24"/>
                <w:szCs w:val="24"/>
                <w:vertAlign w:val="superscript"/>
              </w:rPr>
              <w:t>38</w:t>
            </w:r>
          </w:p>
        </w:tc>
        <w:tc>
          <w:tcPr>
            <w:tcW w:w="2552" w:type="dxa"/>
          </w:tcPr>
          <w:p w14:paraId="0CB91F22" w14:textId="77777777" w:rsidR="00AA10C9" w:rsidRPr="00B55EDB" w:rsidRDefault="00AA10C9" w:rsidP="00FF2045">
            <w:pPr>
              <w:rPr>
                <w:rFonts w:ascii="Arial" w:hAnsi="Arial"/>
                <w:sz w:val="24"/>
                <w:szCs w:val="24"/>
              </w:rPr>
            </w:pPr>
            <w:r w:rsidRPr="00B55EDB">
              <w:rPr>
                <w:rFonts w:ascii="Arial" w:hAnsi="Arial"/>
                <w:sz w:val="24"/>
                <w:szCs w:val="24"/>
              </w:rPr>
              <w:t>n = 116</w:t>
            </w:r>
          </w:p>
        </w:tc>
        <w:tc>
          <w:tcPr>
            <w:tcW w:w="2268" w:type="dxa"/>
          </w:tcPr>
          <w:p w14:paraId="34EC1FE9" w14:textId="77777777" w:rsidR="00AA10C9" w:rsidRPr="00B55EDB" w:rsidRDefault="00AA10C9" w:rsidP="00FF2045">
            <w:pPr>
              <w:rPr>
                <w:rFonts w:ascii="Arial" w:hAnsi="Arial"/>
                <w:sz w:val="24"/>
                <w:szCs w:val="24"/>
              </w:rPr>
            </w:pPr>
            <w:r w:rsidRPr="00B55EDB">
              <w:rPr>
                <w:rFonts w:ascii="Arial" w:hAnsi="Arial"/>
                <w:sz w:val="24"/>
                <w:szCs w:val="24"/>
              </w:rPr>
              <w:t>10%</w:t>
            </w:r>
          </w:p>
        </w:tc>
        <w:tc>
          <w:tcPr>
            <w:tcW w:w="1559" w:type="dxa"/>
          </w:tcPr>
          <w:p w14:paraId="61910F33" w14:textId="77777777" w:rsidR="00AA10C9" w:rsidRPr="00B55EDB" w:rsidRDefault="00AA10C9" w:rsidP="00FF2045">
            <w:pPr>
              <w:rPr>
                <w:rFonts w:ascii="Arial" w:hAnsi="Arial"/>
                <w:sz w:val="24"/>
                <w:szCs w:val="24"/>
              </w:rPr>
            </w:pPr>
            <w:r w:rsidRPr="00B55EDB">
              <w:rPr>
                <w:rFonts w:ascii="Arial" w:hAnsi="Arial"/>
                <w:sz w:val="24"/>
                <w:szCs w:val="24"/>
              </w:rPr>
              <w:t>38%</w:t>
            </w:r>
          </w:p>
        </w:tc>
        <w:tc>
          <w:tcPr>
            <w:tcW w:w="3119" w:type="dxa"/>
          </w:tcPr>
          <w:p w14:paraId="15010467" w14:textId="77777777" w:rsidR="00AA10C9" w:rsidRPr="00B55EDB" w:rsidRDefault="00AA10C9" w:rsidP="00FF2045">
            <w:pPr>
              <w:rPr>
                <w:rFonts w:ascii="Arial" w:hAnsi="Arial"/>
                <w:sz w:val="24"/>
                <w:szCs w:val="24"/>
              </w:rPr>
            </w:pPr>
            <w:r w:rsidRPr="00B55EDB">
              <w:rPr>
                <w:rFonts w:ascii="Arial" w:hAnsi="Arial"/>
                <w:sz w:val="24"/>
                <w:szCs w:val="24"/>
              </w:rPr>
              <w:t>The mean age of patients at the inclusion of the study = 51.7 years</w:t>
            </w:r>
          </w:p>
          <w:p w14:paraId="631293F8" w14:textId="77777777" w:rsidR="00AA10C9" w:rsidRPr="00B55EDB" w:rsidRDefault="00AA10C9" w:rsidP="00FF2045">
            <w:pPr>
              <w:rPr>
                <w:rFonts w:ascii="Arial" w:hAnsi="Arial"/>
                <w:sz w:val="24"/>
                <w:szCs w:val="24"/>
              </w:rPr>
            </w:pPr>
            <w:r w:rsidRPr="00B55EDB">
              <w:rPr>
                <w:rFonts w:ascii="Arial" w:hAnsi="Arial"/>
                <w:sz w:val="24"/>
                <w:szCs w:val="24"/>
              </w:rPr>
              <w:t>AR- tumours were more common in older patients than AR+ tumours (p = 0.001)</w:t>
            </w:r>
          </w:p>
          <w:p w14:paraId="5AC385E8" w14:textId="77777777" w:rsidR="00AA10C9" w:rsidRPr="00B55EDB" w:rsidRDefault="00AA10C9" w:rsidP="00FF2045">
            <w:pPr>
              <w:rPr>
                <w:rFonts w:ascii="Arial" w:hAnsi="Arial"/>
                <w:sz w:val="24"/>
                <w:szCs w:val="24"/>
              </w:rPr>
            </w:pPr>
            <w:r w:rsidRPr="00B55EDB">
              <w:rPr>
                <w:rFonts w:ascii="Arial" w:hAnsi="Arial"/>
                <w:sz w:val="24"/>
                <w:szCs w:val="24"/>
              </w:rPr>
              <w:t>AR- patients were more likely to present with later stage TNBC than AR+ patients (p = 0.005)</w:t>
            </w:r>
          </w:p>
          <w:p w14:paraId="19F4F5F1" w14:textId="77777777" w:rsidR="00AA10C9" w:rsidRPr="00B55EDB" w:rsidRDefault="00AA10C9" w:rsidP="00FF2045">
            <w:pPr>
              <w:rPr>
                <w:rFonts w:ascii="Arial" w:hAnsi="Arial"/>
                <w:sz w:val="24"/>
                <w:szCs w:val="24"/>
              </w:rPr>
            </w:pPr>
            <w:r w:rsidRPr="00B55EDB">
              <w:rPr>
                <w:rFonts w:ascii="Arial" w:hAnsi="Arial"/>
                <w:sz w:val="24"/>
                <w:szCs w:val="24"/>
              </w:rPr>
              <w:t>AR- patients were more correlated with axillary lymph node involvement than AR+ patients (p = 0.01)</w:t>
            </w:r>
          </w:p>
        </w:tc>
        <w:tc>
          <w:tcPr>
            <w:tcW w:w="2754" w:type="dxa"/>
          </w:tcPr>
          <w:p w14:paraId="658BDE2A" w14:textId="77777777" w:rsidR="00AA10C9" w:rsidRPr="00B55EDB" w:rsidRDefault="00AA10C9" w:rsidP="00FF2045">
            <w:pPr>
              <w:rPr>
                <w:rFonts w:ascii="Arial" w:hAnsi="Arial"/>
                <w:sz w:val="24"/>
                <w:szCs w:val="24"/>
              </w:rPr>
            </w:pPr>
            <w:r w:rsidRPr="00B55EDB">
              <w:rPr>
                <w:rFonts w:ascii="Arial" w:hAnsi="Arial"/>
                <w:sz w:val="24"/>
                <w:szCs w:val="24"/>
              </w:rPr>
              <w:t>The median OS was higher in AR+ patients than AR- patients (57 months vs 27 months respectively; p = &lt;0.0001)</w:t>
            </w:r>
          </w:p>
          <w:p w14:paraId="41D6D344" w14:textId="77777777" w:rsidR="00AA10C9" w:rsidRPr="00B55EDB" w:rsidRDefault="00AA10C9" w:rsidP="00FF2045">
            <w:pPr>
              <w:rPr>
                <w:rFonts w:ascii="Arial" w:hAnsi="Arial"/>
                <w:sz w:val="24"/>
                <w:szCs w:val="24"/>
              </w:rPr>
            </w:pPr>
            <w:r w:rsidRPr="00B55EDB">
              <w:rPr>
                <w:rFonts w:ascii="Arial" w:hAnsi="Arial"/>
                <w:sz w:val="24"/>
                <w:szCs w:val="24"/>
              </w:rPr>
              <w:t>AR+ patients had a higher 5-year OS probability than AR- patients (47.6% vs 20.0% respectively; p = &lt;0.05)</w:t>
            </w:r>
          </w:p>
        </w:tc>
      </w:tr>
      <w:tr w:rsidR="00AA10C9" w:rsidRPr="00B55EDB" w14:paraId="5580A2A6" w14:textId="77777777" w:rsidTr="00FF2045">
        <w:tc>
          <w:tcPr>
            <w:tcW w:w="1696" w:type="dxa"/>
          </w:tcPr>
          <w:p w14:paraId="140D8E97" w14:textId="77777777" w:rsidR="00AA10C9" w:rsidRPr="009252B9" w:rsidRDefault="00AA10C9" w:rsidP="00FF2045">
            <w:pPr>
              <w:rPr>
                <w:rFonts w:ascii="Arial" w:hAnsi="Arial"/>
                <w:sz w:val="24"/>
                <w:szCs w:val="24"/>
                <w:vertAlign w:val="superscript"/>
              </w:rPr>
            </w:pPr>
            <w:r w:rsidRPr="00B55EDB">
              <w:rPr>
                <w:rFonts w:ascii="Arial" w:hAnsi="Arial"/>
                <w:sz w:val="24"/>
                <w:szCs w:val="24"/>
              </w:rPr>
              <w:t>Zakaria et al.</w:t>
            </w:r>
            <w:r>
              <w:rPr>
                <w:rFonts w:ascii="Arial" w:hAnsi="Arial"/>
                <w:sz w:val="24"/>
                <w:szCs w:val="24"/>
                <w:vertAlign w:val="superscript"/>
              </w:rPr>
              <w:t>39</w:t>
            </w:r>
          </w:p>
        </w:tc>
        <w:tc>
          <w:tcPr>
            <w:tcW w:w="2552" w:type="dxa"/>
          </w:tcPr>
          <w:p w14:paraId="6723E130" w14:textId="77777777" w:rsidR="00AA10C9" w:rsidRPr="00B55EDB" w:rsidRDefault="00AA10C9" w:rsidP="00FF2045">
            <w:pPr>
              <w:rPr>
                <w:rFonts w:ascii="Arial" w:hAnsi="Arial"/>
                <w:sz w:val="24"/>
                <w:szCs w:val="24"/>
              </w:rPr>
            </w:pPr>
            <w:r w:rsidRPr="00B55EDB">
              <w:rPr>
                <w:rFonts w:ascii="Arial" w:hAnsi="Arial"/>
                <w:sz w:val="24"/>
                <w:szCs w:val="24"/>
              </w:rPr>
              <w:t>n = 77</w:t>
            </w:r>
          </w:p>
        </w:tc>
        <w:tc>
          <w:tcPr>
            <w:tcW w:w="2268" w:type="dxa"/>
          </w:tcPr>
          <w:p w14:paraId="6682E054" w14:textId="77777777" w:rsidR="00AA10C9" w:rsidRPr="00B55EDB" w:rsidRDefault="00AA10C9" w:rsidP="00FF2045">
            <w:pPr>
              <w:rPr>
                <w:rFonts w:ascii="Arial" w:hAnsi="Arial"/>
                <w:sz w:val="24"/>
                <w:szCs w:val="24"/>
              </w:rPr>
            </w:pPr>
            <w:r w:rsidRPr="00B55EDB">
              <w:rPr>
                <w:rFonts w:ascii="Arial" w:hAnsi="Arial"/>
                <w:sz w:val="24"/>
                <w:szCs w:val="24"/>
              </w:rPr>
              <w:t>10%</w:t>
            </w:r>
          </w:p>
        </w:tc>
        <w:tc>
          <w:tcPr>
            <w:tcW w:w="1559" w:type="dxa"/>
          </w:tcPr>
          <w:p w14:paraId="45E4D3F3" w14:textId="77777777" w:rsidR="00AA10C9" w:rsidRPr="00B55EDB" w:rsidRDefault="00AA10C9" w:rsidP="00FF2045">
            <w:pPr>
              <w:rPr>
                <w:rFonts w:ascii="Arial" w:hAnsi="Arial"/>
                <w:sz w:val="24"/>
                <w:szCs w:val="24"/>
              </w:rPr>
            </w:pPr>
            <w:r w:rsidRPr="00B55EDB">
              <w:rPr>
                <w:rFonts w:ascii="Arial" w:hAnsi="Arial"/>
                <w:sz w:val="24"/>
                <w:szCs w:val="24"/>
              </w:rPr>
              <w:t>27.27%</w:t>
            </w:r>
          </w:p>
        </w:tc>
        <w:tc>
          <w:tcPr>
            <w:tcW w:w="3119" w:type="dxa"/>
          </w:tcPr>
          <w:p w14:paraId="76A3FE85" w14:textId="77777777" w:rsidR="00AA10C9" w:rsidRPr="00B55EDB" w:rsidRDefault="00AA10C9" w:rsidP="00FF2045">
            <w:pPr>
              <w:rPr>
                <w:rFonts w:ascii="Arial" w:hAnsi="Arial"/>
                <w:sz w:val="24"/>
                <w:szCs w:val="24"/>
              </w:rPr>
            </w:pPr>
            <w:r w:rsidRPr="00B55EDB">
              <w:rPr>
                <w:rFonts w:ascii="Arial" w:hAnsi="Arial"/>
                <w:sz w:val="24"/>
                <w:szCs w:val="24"/>
              </w:rPr>
              <w:t>The median age of patients = 35.6 years</w:t>
            </w:r>
          </w:p>
          <w:p w14:paraId="0C682E14" w14:textId="77777777" w:rsidR="00AA10C9" w:rsidRPr="00B55EDB" w:rsidRDefault="00AA10C9" w:rsidP="00FF2045">
            <w:pPr>
              <w:rPr>
                <w:rFonts w:ascii="Arial" w:hAnsi="Arial"/>
                <w:sz w:val="24"/>
                <w:szCs w:val="24"/>
              </w:rPr>
            </w:pPr>
            <w:r w:rsidRPr="00B55EDB">
              <w:rPr>
                <w:rFonts w:ascii="Arial" w:hAnsi="Arial"/>
                <w:sz w:val="24"/>
                <w:szCs w:val="24"/>
              </w:rPr>
              <w:t xml:space="preserve">AR- patients were more likely to have a bigger tumour size (p = 0.001), axillary lymph node metastases (p = 0.007), higher tumour grade (p = &lt;0.001) and higher tumour </w:t>
            </w:r>
            <w:r w:rsidRPr="00B55EDB">
              <w:rPr>
                <w:rFonts w:ascii="Arial" w:hAnsi="Arial"/>
                <w:sz w:val="24"/>
                <w:szCs w:val="24"/>
              </w:rPr>
              <w:lastRenderedPageBreak/>
              <w:t>stage (p = &lt;0.001)</w:t>
            </w:r>
          </w:p>
        </w:tc>
        <w:tc>
          <w:tcPr>
            <w:tcW w:w="2754" w:type="dxa"/>
          </w:tcPr>
          <w:p w14:paraId="13BC6F30" w14:textId="77777777" w:rsidR="00AA10C9" w:rsidRPr="00B55EDB" w:rsidRDefault="00AA10C9" w:rsidP="00FF2045">
            <w:pPr>
              <w:rPr>
                <w:rFonts w:ascii="Arial" w:hAnsi="Arial"/>
                <w:sz w:val="24"/>
                <w:szCs w:val="24"/>
              </w:rPr>
            </w:pPr>
            <w:r w:rsidRPr="00B55EDB">
              <w:rPr>
                <w:rFonts w:ascii="Arial" w:hAnsi="Arial"/>
                <w:sz w:val="24"/>
                <w:szCs w:val="24"/>
              </w:rPr>
              <w:lastRenderedPageBreak/>
              <w:t>The median OS for the TNBC cohort was 46.58 months</w:t>
            </w:r>
          </w:p>
          <w:p w14:paraId="3F024793" w14:textId="77777777" w:rsidR="00AA10C9" w:rsidRPr="00B55EDB" w:rsidRDefault="00AA10C9" w:rsidP="00FF2045">
            <w:pPr>
              <w:rPr>
                <w:rFonts w:ascii="Arial" w:hAnsi="Arial"/>
                <w:sz w:val="24"/>
                <w:szCs w:val="24"/>
              </w:rPr>
            </w:pPr>
            <w:r w:rsidRPr="00B55EDB">
              <w:rPr>
                <w:rFonts w:ascii="Arial" w:hAnsi="Arial"/>
                <w:sz w:val="24"/>
                <w:szCs w:val="24"/>
              </w:rPr>
              <w:t>5-year OS was 63% for the TNBC cohort</w:t>
            </w:r>
          </w:p>
        </w:tc>
      </w:tr>
      <w:tr w:rsidR="00AA10C9" w:rsidRPr="00B55EDB" w14:paraId="65718971" w14:textId="77777777" w:rsidTr="00FF2045">
        <w:tc>
          <w:tcPr>
            <w:tcW w:w="1696" w:type="dxa"/>
          </w:tcPr>
          <w:p w14:paraId="42ECA8C0" w14:textId="77777777" w:rsidR="00AA10C9" w:rsidRPr="009252B9" w:rsidRDefault="00AA10C9" w:rsidP="00FF2045">
            <w:pPr>
              <w:rPr>
                <w:rFonts w:ascii="Arial" w:hAnsi="Arial"/>
                <w:sz w:val="24"/>
                <w:szCs w:val="24"/>
                <w:vertAlign w:val="superscript"/>
              </w:rPr>
            </w:pPr>
            <w:r w:rsidRPr="00B55EDB">
              <w:rPr>
                <w:rFonts w:ascii="Arial" w:hAnsi="Arial"/>
                <w:sz w:val="24"/>
                <w:szCs w:val="24"/>
              </w:rPr>
              <w:t>Hu et al.</w:t>
            </w:r>
            <w:r>
              <w:rPr>
                <w:rFonts w:ascii="Arial" w:hAnsi="Arial"/>
                <w:sz w:val="24"/>
                <w:szCs w:val="24"/>
                <w:vertAlign w:val="superscript"/>
              </w:rPr>
              <w:t>41</w:t>
            </w:r>
          </w:p>
        </w:tc>
        <w:tc>
          <w:tcPr>
            <w:tcW w:w="2552" w:type="dxa"/>
          </w:tcPr>
          <w:p w14:paraId="0C129D8D" w14:textId="77777777" w:rsidR="00AA10C9" w:rsidRPr="00B55EDB" w:rsidRDefault="00AA10C9" w:rsidP="00FF2045">
            <w:pPr>
              <w:rPr>
                <w:rFonts w:ascii="Arial" w:hAnsi="Arial"/>
                <w:sz w:val="24"/>
                <w:szCs w:val="24"/>
              </w:rPr>
            </w:pPr>
            <w:r w:rsidRPr="00B55EDB">
              <w:rPr>
                <w:rFonts w:ascii="Arial" w:hAnsi="Arial"/>
                <w:sz w:val="24"/>
                <w:szCs w:val="24"/>
              </w:rPr>
              <w:t>n = 360</w:t>
            </w:r>
          </w:p>
        </w:tc>
        <w:tc>
          <w:tcPr>
            <w:tcW w:w="2268" w:type="dxa"/>
          </w:tcPr>
          <w:p w14:paraId="4132EEDB" w14:textId="77777777" w:rsidR="00AA10C9" w:rsidRPr="00B55EDB" w:rsidRDefault="00AA10C9" w:rsidP="00FF2045">
            <w:pPr>
              <w:rPr>
                <w:rFonts w:ascii="Arial" w:hAnsi="Arial"/>
                <w:sz w:val="24"/>
                <w:szCs w:val="24"/>
              </w:rPr>
            </w:pPr>
            <w:r w:rsidRPr="00B55EDB">
              <w:rPr>
                <w:rFonts w:ascii="Arial" w:hAnsi="Arial"/>
                <w:sz w:val="24"/>
                <w:szCs w:val="24"/>
              </w:rPr>
              <w:t>10%</w:t>
            </w:r>
          </w:p>
        </w:tc>
        <w:tc>
          <w:tcPr>
            <w:tcW w:w="1559" w:type="dxa"/>
          </w:tcPr>
          <w:p w14:paraId="5A023015" w14:textId="77777777" w:rsidR="00AA10C9" w:rsidRPr="00B55EDB" w:rsidRDefault="00AA10C9" w:rsidP="00FF2045">
            <w:pPr>
              <w:rPr>
                <w:rFonts w:ascii="Arial" w:hAnsi="Arial"/>
                <w:sz w:val="24"/>
                <w:szCs w:val="24"/>
              </w:rPr>
            </w:pPr>
            <w:r w:rsidRPr="00B55EDB">
              <w:rPr>
                <w:rFonts w:ascii="Arial" w:hAnsi="Arial"/>
                <w:sz w:val="24"/>
                <w:szCs w:val="24"/>
              </w:rPr>
              <w:t>31.4%</w:t>
            </w:r>
          </w:p>
        </w:tc>
        <w:tc>
          <w:tcPr>
            <w:tcW w:w="3119" w:type="dxa"/>
          </w:tcPr>
          <w:p w14:paraId="20FB7E62" w14:textId="77777777" w:rsidR="00AA10C9" w:rsidRPr="00B55EDB" w:rsidRDefault="00AA10C9" w:rsidP="00FF2045">
            <w:pPr>
              <w:rPr>
                <w:rFonts w:ascii="Arial" w:hAnsi="Arial"/>
                <w:sz w:val="24"/>
                <w:szCs w:val="24"/>
              </w:rPr>
            </w:pPr>
            <w:r w:rsidRPr="00B55EDB">
              <w:rPr>
                <w:rFonts w:ascii="Arial" w:hAnsi="Arial"/>
                <w:sz w:val="24"/>
                <w:szCs w:val="24"/>
              </w:rPr>
              <w:t>The median age for the patient group = 52 years</w:t>
            </w:r>
          </w:p>
          <w:p w14:paraId="6B2C2687" w14:textId="77777777" w:rsidR="00AA10C9" w:rsidRPr="00B55EDB" w:rsidRDefault="00AA10C9" w:rsidP="00FF2045">
            <w:pPr>
              <w:rPr>
                <w:rFonts w:ascii="Arial" w:hAnsi="Arial"/>
                <w:sz w:val="24"/>
                <w:szCs w:val="24"/>
              </w:rPr>
            </w:pPr>
            <w:r w:rsidRPr="00B55EDB">
              <w:rPr>
                <w:rFonts w:ascii="Arial" w:hAnsi="Arial"/>
                <w:sz w:val="24"/>
                <w:szCs w:val="24"/>
              </w:rPr>
              <w:t>AR+ patients were more likely to present with grade III tumours than AR- patients (p = 0.007)</w:t>
            </w:r>
          </w:p>
          <w:p w14:paraId="17CEFA56" w14:textId="77777777" w:rsidR="00AA10C9" w:rsidRPr="00B55EDB" w:rsidRDefault="00AA10C9" w:rsidP="00FF2045">
            <w:pPr>
              <w:rPr>
                <w:rFonts w:ascii="Arial" w:hAnsi="Arial"/>
                <w:sz w:val="24"/>
                <w:szCs w:val="24"/>
              </w:rPr>
            </w:pPr>
            <w:r w:rsidRPr="00B55EDB">
              <w:rPr>
                <w:rFonts w:ascii="Arial" w:hAnsi="Arial"/>
                <w:sz w:val="24"/>
                <w:szCs w:val="24"/>
              </w:rPr>
              <w:t>AR+ patients were more associated with a lower Ki-67 score than AR- patients (p = 0.007)</w:t>
            </w:r>
          </w:p>
        </w:tc>
        <w:tc>
          <w:tcPr>
            <w:tcW w:w="2754" w:type="dxa"/>
          </w:tcPr>
          <w:p w14:paraId="7A66814B" w14:textId="77777777" w:rsidR="00AA10C9" w:rsidRPr="00B55EDB" w:rsidRDefault="00AA10C9" w:rsidP="00FF2045">
            <w:pPr>
              <w:rPr>
                <w:rFonts w:ascii="Arial" w:hAnsi="Arial"/>
                <w:sz w:val="24"/>
                <w:szCs w:val="24"/>
              </w:rPr>
            </w:pPr>
            <w:r w:rsidRPr="00B55EDB">
              <w:rPr>
                <w:rFonts w:ascii="Arial" w:hAnsi="Arial"/>
                <w:sz w:val="24"/>
                <w:szCs w:val="24"/>
              </w:rPr>
              <w:t>5-year OS for entire cohort was 80%</w:t>
            </w:r>
          </w:p>
          <w:p w14:paraId="497B0219" w14:textId="77777777" w:rsidR="00AA10C9" w:rsidRPr="00B55EDB" w:rsidRDefault="00AA10C9" w:rsidP="00FF2045">
            <w:pPr>
              <w:rPr>
                <w:rFonts w:ascii="Arial" w:hAnsi="Arial"/>
                <w:sz w:val="24"/>
                <w:szCs w:val="24"/>
              </w:rPr>
            </w:pPr>
            <w:r w:rsidRPr="00B55EDB">
              <w:rPr>
                <w:rFonts w:ascii="Arial" w:hAnsi="Arial"/>
                <w:sz w:val="24"/>
                <w:szCs w:val="24"/>
              </w:rPr>
              <w:t>AR was an independent prognostic factor for OS (p = 0.020)</w:t>
            </w:r>
          </w:p>
          <w:p w14:paraId="0F0C49A2" w14:textId="77777777" w:rsidR="00AA10C9" w:rsidRPr="00B55EDB" w:rsidRDefault="00AA10C9" w:rsidP="00FF2045">
            <w:pPr>
              <w:rPr>
                <w:rFonts w:ascii="Arial" w:hAnsi="Arial"/>
                <w:sz w:val="24"/>
                <w:szCs w:val="24"/>
              </w:rPr>
            </w:pPr>
            <w:r w:rsidRPr="00B55EDB">
              <w:rPr>
                <w:rFonts w:ascii="Arial" w:hAnsi="Arial"/>
                <w:sz w:val="24"/>
                <w:szCs w:val="24"/>
              </w:rPr>
              <w:t>Better survival was more associated with AR+ patients</w:t>
            </w:r>
          </w:p>
        </w:tc>
      </w:tr>
    </w:tbl>
    <w:p w14:paraId="4FB299BA" w14:textId="6EE4DF75" w:rsidR="00CF0F20" w:rsidRPr="00CF0F20" w:rsidRDefault="00AA10C9" w:rsidP="00CF0F20">
      <w:pPr>
        <w:rPr>
          <w:rFonts w:ascii="Arial" w:hAnsi="Arial"/>
          <w:sz w:val="24"/>
          <w:szCs w:val="24"/>
        </w:rPr>
        <w:sectPr w:rsidR="00CF0F20" w:rsidRPr="00CF0F20" w:rsidSect="004D19E1">
          <w:headerReference w:type="even" r:id="rId7"/>
          <w:headerReference w:type="default" r:id="rId8"/>
          <w:footerReference w:type="even" r:id="rId9"/>
          <w:footerReference w:type="default" r:id="rId10"/>
          <w:headerReference w:type="first" r:id="rId11"/>
          <w:footerReference w:type="first" r:id="rId12"/>
          <w:pgSz w:w="11909" w:h="16834"/>
          <w:pgMar w:top="1134" w:right="1701" w:bottom="1134" w:left="1134" w:header="720" w:footer="720" w:gutter="0"/>
          <w:pgNumType w:start="42"/>
          <w:cols w:space="720"/>
          <w:docGrid w:linePitch="299"/>
        </w:sectPr>
      </w:pPr>
      <w:r w:rsidRPr="00B55EDB">
        <w:rPr>
          <w:rFonts w:ascii="Arial" w:eastAsia="Times New Roman" w:hAnsi="Arial"/>
          <w:noProof/>
          <w:sz w:val="24"/>
          <w:szCs w:val="24"/>
          <w:lang w:val="en-AU" w:eastAsia="en-AU"/>
        </w:rPr>
        <mc:AlternateContent>
          <mc:Choice Requires="wps">
            <w:drawing>
              <wp:anchor distT="0" distB="0" distL="114300" distR="114300" simplePos="0" relativeHeight="251662336" behindDoc="0" locked="0" layoutInCell="1" allowOverlap="1" wp14:anchorId="11C06112" wp14:editId="1C58A39E">
                <wp:simplePos x="0" y="0"/>
                <wp:positionH relativeFrom="column">
                  <wp:posOffset>-100330</wp:posOffset>
                </wp:positionH>
                <wp:positionV relativeFrom="paragraph">
                  <wp:posOffset>49530</wp:posOffset>
                </wp:positionV>
                <wp:extent cx="5872480" cy="16503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72480" cy="1650365"/>
                        </a:xfrm>
                        <a:prstGeom prst="rect">
                          <a:avLst/>
                        </a:prstGeom>
                        <a:noFill/>
                        <a:ln w="6350">
                          <a:noFill/>
                        </a:ln>
                      </wps:spPr>
                      <wps:txbx>
                        <w:txbxContent>
                          <w:p w14:paraId="3638903D" w14:textId="77777777" w:rsidR="00AA10C9" w:rsidRPr="00CF0F20" w:rsidRDefault="00AA10C9" w:rsidP="00AA10C9">
                            <w:pPr>
                              <w:jc w:val="both"/>
                              <w:rPr>
                                <w:rFonts w:ascii="Arial" w:hAnsi="Arial"/>
                                <w:sz w:val="20"/>
                                <w:szCs w:val="20"/>
                              </w:rPr>
                            </w:pPr>
                            <w:bookmarkStart w:id="1" w:name="_Toc89629718"/>
                            <w:r w:rsidRPr="00CF0F20">
                              <w:rPr>
                                <w:rFonts w:ascii="Arial" w:hAnsi="Arial"/>
                                <w:sz w:val="20"/>
                                <w:szCs w:val="20"/>
                              </w:rPr>
                              <w:t>This table compares different studies which investigate the relationship between androgen receptor status in triple negative breast cancer with patient clinicopathological characteristics. It presents the number of triple negative breast cancer patients included in the study, staining threshold used to define androgen receptor positive/negative tumours, percentage of patients who have androgen receptor positive tumours and key findings from the results in the study, including overall survival data.</w:t>
                            </w:r>
                            <w:bookmarkEnd w:id="1"/>
                            <w:r w:rsidRPr="00CF0F20">
                              <w:rPr>
                                <w:rFonts w:ascii="Arial" w:hAnsi="Arial"/>
                                <w:sz w:val="20"/>
                                <w:szCs w:val="20"/>
                              </w:rPr>
                              <w:t xml:space="preserve"> </w:t>
                            </w:r>
                          </w:p>
                          <w:p w14:paraId="330248D5" w14:textId="77777777" w:rsidR="00AA10C9" w:rsidRPr="00CF0F20" w:rsidRDefault="00AA10C9" w:rsidP="00AA10C9">
                            <w:pPr>
                              <w:jc w:val="both"/>
                              <w:rPr>
                                <w:rFonts w:ascii="Arial" w:hAnsi="Arial"/>
                                <w:sz w:val="20"/>
                                <w:szCs w:val="20"/>
                              </w:rPr>
                            </w:pPr>
                            <w:bookmarkStart w:id="2" w:name="_Toc89629719"/>
                          </w:p>
                          <w:p w14:paraId="79B0D098" w14:textId="77777777" w:rsidR="00AA10C9" w:rsidRPr="00CF0F20" w:rsidRDefault="00AA10C9" w:rsidP="00AA10C9">
                            <w:pPr>
                              <w:jc w:val="both"/>
                              <w:rPr>
                                <w:rFonts w:ascii="Arial" w:hAnsi="Arial"/>
                                <w:sz w:val="20"/>
                                <w:szCs w:val="20"/>
                              </w:rPr>
                            </w:pPr>
                            <w:r w:rsidRPr="00CF0F20">
                              <w:rPr>
                                <w:rFonts w:ascii="Arial" w:hAnsi="Arial"/>
                                <w:sz w:val="20"/>
                                <w:szCs w:val="20"/>
                              </w:rPr>
                              <w:t>Abbreviations: AR = androgen receptor; ‘AR+’ = androgen receptor positive; ‘AR-’ = androgen receptor negative; OS = overall survival</w:t>
                            </w:r>
                            <w:bookmarkEnd w:id="2"/>
                            <w:r w:rsidRPr="00CF0F20">
                              <w:rPr>
                                <w:rFonts w:ascii="Arial" w:hAnsi="Arial"/>
                                <w:sz w:val="20"/>
                                <w:szCs w:val="20"/>
                              </w:rPr>
                              <w:t>; TNBC= triple negative breast cancer</w:t>
                            </w:r>
                          </w:p>
                          <w:p w14:paraId="0F3F406C" w14:textId="77777777" w:rsidR="00AA10C9" w:rsidRPr="00CF0F20" w:rsidRDefault="00AA10C9" w:rsidP="00AA10C9">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06112" id="_x0000_t202" coordsize="21600,21600" o:spt="202" path="m,l,21600r21600,l21600,xe">
                <v:stroke joinstyle="miter"/>
                <v:path gradientshapeok="t" o:connecttype="rect"/>
              </v:shapetype>
              <v:shape id="Text Box 14" o:spid="_x0000_s1026" type="#_x0000_t202" style="position:absolute;margin-left:-7.9pt;margin-top:3.9pt;width:462.4pt;height:1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" filled="f" stroked="f" strokeweight=".5pt">
                <v:textbox>
                  <w:txbxContent>
                    <w:p w14:paraId="3638903D" w14:textId="77777777" w:rsidR="00AA10C9" w:rsidRPr="00CF0F20" w:rsidRDefault="00AA10C9" w:rsidP="00AA10C9">
                      <w:pPr>
                        <w:jc w:val="both"/>
                        <w:rPr>
                          <w:rFonts w:ascii="Arial" w:hAnsi="Arial"/>
                          <w:sz w:val="20"/>
                          <w:szCs w:val="20"/>
                        </w:rPr>
                      </w:pPr>
                      <w:bookmarkStart w:id="3" w:name="_Toc89629718"/>
                      <w:r w:rsidRPr="00CF0F20">
                        <w:rPr>
                          <w:rFonts w:ascii="Arial" w:hAnsi="Arial"/>
                          <w:sz w:val="20"/>
                          <w:szCs w:val="20"/>
                        </w:rPr>
                        <w:t>This table compares different studies which investigate the relationship between androgen receptor status in triple negative breast cancer with patient clinicopathological characteristics. It presents the number of triple negative breast cancer patients included in the study, staining threshold used to define androgen receptor positive/negative tumours, percentage of patients who have androgen receptor positive tumours and key findings from the results in the study, including overall survival data.</w:t>
                      </w:r>
                      <w:bookmarkEnd w:id="3"/>
                      <w:r w:rsidRPr="00CF0F20">
                        <w:rPr>
                          <w:rFonts w:ascii="Arial" w:hAnsi="Arial"/>
                          <w:sz w:val="20"/>
                          <w:szCs w:val="20"/>
                        </w:rPr>
                        <w:t xml:space="preserve"> </w:t>
                      </w:r>
                    </w:p>
                    <w:p w14:paraId="330248D5" w14:textId="77777777" w:rsidR="00AA10C9" w:rsidRPr="00CF0F20" w:rsidRDefault="00AA10C9" w:rsidP="00AA10C9">
                      <w:pPr>
                        <w:jc w:val="both"/>
                        <w:rPr>
                          <w:rFonts w:ascii="Arial" w:hAnsi="Arial"/>
                          <w:sz w:val="20"/>
                          <w:szCs w:val="20"/>
                        </w:rPr>
                      </w:pPr>
                      <w:bookmarkStart w:id="4" w:name="_Toc89629719"/>
                    </w:p>
                    <w:p w14:paraId="79B0D098" w14:textId="77777777" w:rsidR="00AA10C9" w:rsidRPr="00CF0F20" w:rsidRDefault="00AA10C9" w:rsidP="00AA10C9">
                      <w:pPr>
                        <w:jc w:val="both"/>
                        <w:rPr>
                          <w:rFonts w:ascii="Arial" w:hAnsi="Arial"/>
                          <w:sz w:val="20"/>
                          <w:szCs w:val="20"/>
                        </w:rPr>
                      </w:pPr>
                      <w:r w:rsidRPr="00CF0F20">
                        <w:rPr>
                          <w:rFonts w:ascii="Arial" w:hAnsi="Arial"/>
                          <w:sz w:val="20"/>
                          <w:szCs w:val="20"/>
                        </w:rPr>
                        <w:t>Abbreviations: AR = androgen receptor; ‘AR+’ = androgen receptor positive; ‘AR-’ = androgen receptor negative; OS = overall survival</w:t>
                      </w:r>
                      <w:bookmarkEnd w:id="4"/>
                      <w:r w:rsidRPr="00CF0F20">
                        <w:rPr>
                          <w:rFonts w:ascii="Arial" w:hAnsi="Arial"/>
                          <w:sz w:val="20"/>
                          <w:szCs w:val="20"/>
                        </w:rPr>
                        <w:t>; TNBC= triple negative breast cancer</w:t>
                      </w:r>
                    </w:p>
                    <w:p w14:paraId="0F3F406C" w14:textId="77777777" w:rsidR="00AA10C9" w:rsidRPr="00CF0F20" w:rsidRDefault="00AA10C9" w:rsidP="00AA10C9">
                      <w:pPr>
                        <w:rPr>
                          <w:rFonts w:ascii="Arial" w:hAnsi="Arial"/>
                        </w:rPr>
                      </w:pPr>
                    </w:p>
                  </w:txbxContent>
                </v:textbox>
              </v:shape>
            </w:pict>
          </mc:Fallback>
        </mc:AlternateContent>
      </w:r>
    </w:p>
    <w:p w14:paraId="2346D1A1" w14:textId="77777777" w:rsidR="00CF0F20" w:rsidRPr="00CF0F20" w:rsidRDefault="00CF0F20" w:rsidP="00CF0F20">
      <w:pPr>
        <w:rPr>
          <w:rFonts w:ascii="Arial" w:eastAsia="Times New Roman" w:hAnsi="Arial"/>
          <w:sz w:val="24"/>
          <w:szCs w:val="24"/>
        </w:rPr>
      </w:pPr>
    </w:p>
    <w:sectPr w:rsidR="00CF0F20" w:rsidRPr="00CF0F20" w:rsidSect="00064DF6">
      <w:footerReference w:type="even" r:id="rId13"/>
      <w:footerReference w:type="default" r:id="rId14"/>
      <w:pgSz w:w="11909" w:h="16834"/>
      <w:pgMar w:top="1133" w:right="1133" w:bottom="1133" w:left="1700" w:header="720" w:footer="720" w:gutter="0"/>
      <w:pgNumType w:start="46"/>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69DA7" w14:textId="77777777" w:rsidR="009A25E3" w:rsidRDefault="009A25E3">
      <w:pPr>
        <w:spacing w:line="240" w:lineRule="auto"/>
      </w:pPr>
      <w:r>
        <w:separator/>
      </w:r>
    </w:p>
  </w:endnote>
  <w:endnote w:type="continuationSeparator" w:id="0">
    <w:p w14:paraId="2566589C" w14:textId="77777777" w:rsidR="009A25E3" w:rsidRDefault="009A25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9142833"/>
      <w:docPartObj>
        <w:docPartGallery w:val="Page Numbers (Bottom of Page)"/>
        <w:docPartUnique/>
      </w:docPartObj>
    </w:sdtPr>
    <w:sdtEndPr>
      <w:rPr>
        <w:rStyle w:val="PageNumber"/>
      </w:rPr>
    </w:sdtEndPr>
    <w:sdtContent>
      <w:p w14:paraId="29D52354" w14:textId="49DCEC83" w:rsidR="00AA10C9" w:rsidRDefault="00AA10C9" w:rsidP="00B55E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E2AA5">
          <w:rPr>
            <w:rStyle w:val="PageNumber"/>
            <w:noProof/>
          </w:rPr>
          <w:t>50</w:t>
        </w:r>
        <w:r>
          <w:rPr>
            <w:rStyle w:val="PageNumber"/>
          </w:rPr>
          <w:fldChar w:fldCharType="end"/>
        </w:r>
      </w:p>
    </w:sdtContent>
  </w:sdt>
  <w:p w14:paraId="70B91E6F" w14:textId="77777777" w:rsidR="00AA10C9" w:rsidRDefault="00AA10C9" w:rsidP="002817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6968" w14:textId="3BD99B55" w:rsidR="00AA10C9" w:rsidRDefault="00450434" w:rsidP="0028179B">
    <w:pPr>
      <w:ind w:right="360"/>
      <w:jc w:val="right"/>
      <w:rPr>
        <w:rFonts w:eastAsia="Times New Roman" w:cs="Times New Roman"/>
      </w:rPr>
    </w:pPr>
    <w:r>
      <w:rPr>
        <w:rFonts w:eastAsia="Times New Roman" w:cs="Times New Roman"/>
        <w:noProof/>
      </w:rPr>
      <mc:AlternateContent>
        <mc:Choice Requires="wps">
          <w:drawing>
            <wp:anchor distT="0" distB="0" distL="114300" distR="114300" simplePos="0" relativeHeight="251659264" behindDoc="0" locked="0" layoutInCell="0" allowOverlap="1" wp14:anchorId="2628DC6E" wp14:editId="37963806">
              <wp:simplePos x="0" y="0"/>
              <wp:positionH relativeFrom="page">
                <wp:posOffset>0</wp:posOffset>
              </wp:positionH>
              <wp:positionV relativeFrom="page">
                <wp:posOffset>10234930</wp:posOffset>
              </wp:positionV>
              <wp:extent cx="7562215" cy="263525"/>
              <wp:effectExtent l="0" t="0" r="0" b="3175"/>
              <wp:wrapNone/>
              <wp:docPr id="1" name="MSIPCM680647de838778501b294297"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D87F2F" w14:textId="3ACDE3B0" w:rsidR="00450434" w:rsidRPr="00450434" w:rsidRDefault="00450434" w:rsidP="00450434">
                          <w:pPr>
                            <w:rPr>
                              <w:rFonts w:ascii="Rockwell" w:hAnsi="Rockwell"/>
                              <w:color w:val="0078D7"/>
                              <w:sz w:val="18"/>
                            </w:rPr>
                          </w:pPr>
                          <w:r w:rsidRPr="00450434">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628DC6E" id="_x0000_t202" coordsize="21600,21600" o:spt="202" path="m,l,21600r21600,l21600,xe">
              <v:stroke joinstyle="miter"/>
              <v:path gradientshapeok="t" o:connecttype="rect"/>
            </v:shapetype>
            <v:shape id="MSIPCM680647de838778501b294297" o:spid="_x0000_s1027" type="#_x0000_t202" alt="{&quot;HashCode&quot;:-1348403003,&quot;Height&quot;:841.0,&quot;Width&quot;:595.0,&quot;Placement&quot;:&quot;Footer&quot;,&quot;Index&quot;:&quot;Primary&quot;,&quot;Section&quot;:1,&quot;Top&quot;:0.0,&quot;Left&quot;:0.0}" style="position:absolute;left:0;text-align:left;margin-left:0;margin-top:805.9pt;width:595.45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" o:allowincell="f" filled="f" stroked="f" strokeweight=".5pt">
              <v:fill o:detectmouseclick="t"/>
              <v:textbox inset="20pt,0,,0">
                <w:txbxContent>
                  <w:p w14:paraId="51D87F2F" w14:textId="3ACDE3B0" w:rsidR="00450434" w:rsidRPr="00450434" w:rsidRDefault="00450434" w:rsidP="00450434">
                    <w:pPr>
                      <w:rPr>
                        <w:rFonts w:ascii="Rockwell" w:hAnsi="Rockwell"/>
                        <w:color w:val="0078D7"/>
                        <w:sz w:val="18"/>
                      </w:rPr>
                    </w:pPr>
                    <w:r w:rsidRPr="00450434">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D22E" w14:textId="77777777" w:rsidR="00450434" w:rsidRDefault="004504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0293317"/>
      <w:docPartObj>
        <w:docPartGallery w:val="Page Numbers (Bottom of Page)"/>
        <w:docPartUnique/>
      </w:docPartObj>
    </w:sdtPr>
    <w:sdtEndPr>
      <w:rPr>
        <w:rStyle w:val="PageNumber"/>
      </w:rPr>
    </w:sdtEndPr>
    <w:sdtContent>
      <w:p w14:paraId="72F0D091" w14:textId="77777777" w:rsidR="005700CA" w:rsidRDefault="005700CA" w:rsidP="00B55E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7E47CF" w14:textId="77777777" w:rsidR="005700CA" w:rsidRDefault="005700CA" w:rsidP="0028179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7577" w14:textId="4D0FF269" w:rsidR="005700CA" w:rsidRDefault="00450434" w:rsidP="0028179B">
    <w:pPr>
      <w:ind w:right="360"/>
      <w:jc w:val="right"/>
      <w:rPr>
        <w:rFonts w:eastAsia="Times New Roman" w:cs="Times New Roman"/>
      </w:rPr>
    </w:pPr>
    <w:r>
      <w:rPr>
        <w:rFonts w:eastAsia="Times New Roman" w:cs="Times New Roman"/>
        <w:noProof/>
      </w:rPr>
      <mc:AlternateContent>
        <mc:Choice Requires="wps">
          <w:drawing>
            <wp:anchor distT="0" distB="0" distL="114300" distR="114300" simplePos="0" relativeHeight="251660288" behindDoc="0" locked="0" layoutInCell="0" allowOverlap="1" wp14:anchorId="77D38F57" wp14:editId="71DC9BA7">
              <wp:simplePos x="0" y="0"/>
              <wp:positionH relativeFrom="page">
                <wp:posOffset>0</wp:posOffset>
              </wp:positionH>
              <wp:positionV relativeFrom="page">
                <wp:posOffset>10234930</wp:posOffset>
              </wp:positionV>
              <wp:extent cx="7562215" cy="263525"/>
              <wp:effectExtent l="0" t="0" r="0" b="3175"/>
              <wp:wrapNone/>
              <wp:docPr id="2" name="MSIPCMcf5d470ab8b7dfba4138c0c2" descr="{&quot;HashCode&quot;:-13484030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215"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1EB4F5" w14:textId="5F47DD1A" w:rsidR="00450434" w:rsidRPr="00450434" w:rsidRDefault="00450434" w:rsidP="00450434">
                          <w:pPr>
                            <w:rPr>
                              <w:rFonts w:ascii="Rockwell" w:hAnsi="Rockwell"/>
                              <w:color w:val="0078D7"/>
                              <w:sz w:val="18"/>
                            </w:rPr>
                          </w:pPr>
                          <w:r w:rsidRPr="00450434">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7D38F57" id="_x0000_t202" coordsize="21600,21600" o:spt="202" path="m,l,21600r21600,l21600,xe">
              <v:stroke joinstyle="miter"/>
              <v:path gradientshapeok="t" o:connecttype="rect"/>
            </v:shapetype>
            <v:shape id="MSIPCMcf5d470ab8b7dfba4138c0c2" o:spid="_x0000_s1028" type="#_x0000_t202" alt="{&quot;HashCode&quot;:-1348403003,&quot;Height&quot;:841.0,&quot;Width&quot;:595.0,&quot;Placement&quot;:&quot;Footer&quot;,&quot;Index&quot;:&quot;Primary&quot;,&quot;Section&quot;:2,&quot;Top&quot;:0.0,&quot;Left&quot;:0.0}" style="position:absolute;left:0;text-align:left;margin-left:0;margin-top:805.9pt;width:595.45pt;height:20.7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" o:allowincell="f" filled="f" stroked="f" strokeweight=".5pt">
              <v:fill o:detectmouseclick="t"/>
              <v:textbox inset="20pt,0,,0">
                <w:txbxContent>
                  <w:p w14:paraId="5A1EB4F5" w14:textId="5F47DD1A" w:rsidR="00450434" w:rsidRPr="00450434" w:rsidRDefault="00450434" w:rsidP="00450434">
                    <w:pPr>
                      <w:rPr>
                        <w:rFonts w:ascii="Rockwell" w:hAnsi="Rockwell"/>
                        <w:color w:val="0078D7"/>
                        <w:sz w:val="18"/>
                      </w:rPr>
                    </w:pPr>
                    <w:r w:rsidRPr="00450434">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82905" w14:textId="77777777" w:rsidR="009A25E3" w:rsidRDefault="009A25E3">
      <w:pPr>
        <w:spacing w:line="240" w:lineRule="auto"/>
      </w:pPr>
      <w:r>
        <w:separator/>
      </w:r>
    </w:p>
  </w:footnote>
  <w:footnote w:type="continuationSeparator" w:id="0">
    <w:p w14:paraId="7F13D43F" w14:textId="77777777" w:rsidR="009A25E3" w:rsidRDefault="009A25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0E3B" w14:textId="77777777" w:rsidR="00450434" w:rsidRDefault="00450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3288" w14:textId="77777777" w:rsidR="00450434" w:rsidRDefault="00450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AE04" w14:textId="77777777" w:rsidR="00450434" w:rsidRDefault="004504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D92"/>
    <w:rsid w:val="00091AFB"/>
    <w:rsid w:val="000F5D59"/>
    <w:rsid w:val="001260B0"/>
    <w:rsid w:val="0013759F"/>
    <w:rsid w:val="0017394B"/>
    <w:rsid w:val="002619F8"/>
    <w:rsid w:val="00450434"/>
    <w:rsid w:val="00520BDE"/>
    <w:rsid w:val="00545DAB"/>
    <w:rsid w:val="005700CA"/>
    <w:rsid w:val="005738CB"/>
    <w:rsid w:val="00581969"/>
    <w:rsid w:val="007E6D92"/>
    <w:rsid w:val="008573ED"/>
    <w:rsid w:val="008A43D5"/>
    <w:rsid w:val="009252B9"/>
    <w:rsid w:val="00983CA5"/>
    <w:rsid w:val="009A25E3"/>
    <w:rsid w:val="009B0A42"/>
    <w:rsid w:val="00AA10C9"/>
    <w:rsid w:val="00AC0485"/>
    <w:rsid w:val="00AE2AA5"/>
    <w:rsid w:val="00B45B75"/>
    <w:rsid w:val="00B711CD"/>
    <w:rsid w:val="00CB1D9A"/>
    <w:rsid w:val="00CF0F20"/>
    <w:rsid w:val="00DF2616"/>
    <w:rsid w:val="00F00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F239D"/>
  <w15:chartTrackingRefBased/>
  <w15:docId w15:val="{790155C7-5545-406C-BE9E-3A38EEF26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0CA"/>
    <w:pPr>
      <w:spacing w:after="0" w:line="276" w:lineRule="auto"/>
    </w:pPr>
    <w:rPr>
      <w:rFonts w:ascii="Times New Roman" w:eastAsia="Arial" w:hAnsi="Times New Roman" w:cs="Arial"/>
      <w:lang w:val="en-GB" w:eastAsia="en-GB"/>
    </w:rPr>
  </w:style>
  <w:style w:type="paragraph" w:styleId="Heading1">
    <w:name w:val="heading 1"/>
    <w:basedOn w:val="Normal"/>
    <w:next w:val="Normal"/>
    <w:link w:val="Heading1Char"/>
    <w:uiPriority w:val="9"/>
    <w:qFormat/>
    <w:rsid w:val="005700CA"/>
    <w:pPr>
      <w:keepNext/>
      <w:keepLines/>
      <w:spacing w:before="400" w:after="240" w:line="360" w:lineRule="auto"/>
      <w:outlineLvl w:val="0"/>
    </w:pPr>
    <w:rPr>
      <w:b/>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0CA"/>
    <w:rPr>
      <w:rFonts w:ascii="Times New Roman" w:eastAsia="Arial" w:hAnsi="Times New Roman" w:cs="Arial"/>
      <w:b/>
      <w:sz w:val="28"/>
      <w:szCs w:val="40"/>
      <w:lang w:val="en-GB" w:eastAsia="en-GB"/>
    </w:rPr>
  </w:style>
  <w:style w:type="paragraph" w:styleId="Footer">
    <w:name w:val="footer"/>
    <w:basedOn w:val="Normal"/>
    <w:link w:val="FooterChar"/>
    <w:uiPriority w:val="99"/>
    <w:unhideWhenUsed/>
    <w:rsid w:val="005700CA"/>
    <w:pPr>
      <w:tabs>
        <w:tab w:val="center" w:pos="4513"/>
        <w:tab w:val="right" w:pos="9026"/>
      </w:tabs>
      <w:spacing w:line="240" w:lineRule="auto"/>
    </w:pPr>
  </w:style>
  <w:style w:type="character" w:customStyle="1" w:styleId="FooterChar">
    <w:name w:val="Footer Char"/>
    <w:basedOn w:val="DefaultParagraphFont"/>
    <w:link w:val="Footer"/>
    <w:uiPriority w:val="99"/>
    <w:rsid w:val="005700CA"/>
    <w:rPr>
      <w:rFonts w:ascii="Times New Roman" w:eastAsia="Arial" w:hAnsi="Times New Roman" w:cs="Arial"/>
      <w:lang w:val="en-GB" w:eastAsia="en-GB"/>
    </w:rPr>
  </w:style>
  <w:style w:type="character" w:styleId="PageNumber">
    <w:name w:val="page number"/>
    <w:basedOn w:val="DefaultParagraphFont"/>
    <w:uiPriority w:val="99"/>
    <w:semiHidden/>
    <w:unhideWhenUsed/>
    <w:rsid w:val="005700CA"/>
  </w:style>
  <w:style w:type="table" w:styleId="TableGrid">
    <w:name w:val="Table Grid"/>
    <w:basedOn w:val="TableNormal"/>
    <w:uiPriority w:val="39"/>
    <w:rsid w:val="005700CA"/>
    <w:pPr>
      <w:spacing w:before="120" w:after="120" w:line="240" w:lineRule="auto"/>
    </w:pPr>
    <w:rPr>
      <w:rFonts w:ascii="Arial" w:eastAsia="Arial" w:hAnsi="Arial"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3CA5"/>
    <w:pPr>
      <w:tabs>
        <w:tab w:val="center" w:pos="4513"/>
        <w:tab w:val="right" w:pos="9026"/>
      </w:tabs>
      <w:spacing w:line="240" w:lineRule="auto"/>
    </w:pPr>
  </w:style>
  <w:style w:type="character" w:customStyle="1" w:styleId="HeaderChar">
    <w:name w:val="Header Char"/>
    <w:basedOn w:val="DefaultParagraphFont"/>
    <w:link w:val="Header"/>
    <w:uiPriority w:val="99"/>
    <w:rsid w:val="00983CA5"/>
    <w:rPr>
      <w:rFonts w:ascii="Times New Roman" w:eastAsia="Arial" w:hAnsi="Times New Roman"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1170</Words>
  <Characters>6670</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Pratt, Lucas</cp:lastModifiedBy>
  <cp:revision>2</cp:revision>
  <dcterms:created xsi:type="dcterms:W3CDTF">2023-05-09T19:54:00Z</dcterms:created>
  <dcterms:modified xsi:type="dcterms:W3CDTF">2023-05-09T19:54:00Z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2023-05-09T19:54:16Z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378cac13-e1f6-47c3-895c-433b2301f627</vt:lpwstr>
  </property>
  <property fmtid="{D5CDD505-2E9C-101B-9397-08002B2CF9AE}" pid="8" name="MSIP_Label_2bbab825-a111-45e4-86a1-18cee0005896_ContentBits">
    <vt:lpwstr>2</vt:lpwstr>
  </property>
</Properties>
</file>