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321B" w14:textId="77777777" w:rsidR="00095B7C" w:rsidRPr="00095B7C" w:rsidRDefault="00095B7C" w:rsidP="00095B7C">
      <w:pPr>
        <w:spacing w:line="480" w:lineRule="auto"/>
        <w:rPr>
          <w:rFonts w:ascii="Arial" w:eastAsia="Calibri" w:hAnsi="Arial" w:cs="Arial"/>
          <w:b/>
          <w:bCs/>
          <w:sz w:val="32"/>
          <w:szCs w:val="32"/>
        </w:rPr>
      </w:pPr>
      <w:bookmarkStart w:id="0" w:name="_Hlk115789921"/>
      <w:bookmarkStart w:id="1" w:name="_Hlk122335941"/>
      <w:bookmarkEnd w:id="0"/>
      <w:r w:rsidRPr="00095B7C">
        <w:rPr>
          <w:rFonts w:ascii="Arial" w:eastAsia="Calibri" w:hAnsi="Arial" w:cs="Arial"/>
          <w:b/>
          <w:bCs/>
          <w:sz w:val="32"/>
          <w:szCs w:val="32"/>
        </w:rPr>
        <w:t>Comparative effectiveness of umeclidinium/vilanterol versus inhaled corticosteroid/long-acting β</w:t>
      </w:r>
      <w:r w:rsidRPr="00095B7C">
        <w:rPr>
          <w:rFonts w:ascii="Arial" w:eastAsia="Calibri" w:hAnsi="Arial" w:cs="Arial"/>
          <w:b/>
          <w:bCs/>
          <w:sz w:val="32"/>
          <w:szCs w:val="32"/>
          <w:vertAlign w:val="subscript"/>
        </w:rPr>
        <w:t>2</w:t>
      </w:r>
      <w:r w:rsidRPr="00095B7C">
        <w:rPr>
          <w:rFonts w:ascii="Arial" w:eastAsia="Calibri" w:hAnsi="Arial" w:cs="Arial"/>
          <w:b/>
          <w:bCs/>
          <w:sz w:val="32"/>
          <w:szCs w:val="32"/>
        </w:rPr>
        <w:t xml:space="preserve">-agonist in patients with chronic obstructive pulmonary disease in </w:t>
      </w:r>
      <w:r w:rsidRPr="00095B7C">
        <w:rPr>
          <w:rFonts w:ascii="Calibri" w:eastAsia="Calibri" w:hAnsi="Calibri" w:cs="Times New Roman"/>
          <w:b/>
          <w:bCs/>
          <w:sz w:val="36"/>
          <w:szCs w:val="36"/>
        </w:rPr>
        <w:t xml:space="preserve">a primary care setting in </w:t>
      </w:r>
      <w:r w:rsidRPr="00095B7C">
        <w:rPr>
          <w:rFonts w:ascii="Arial" w:eastAsia="Calibri" w:hAnsi="Arial" w:cs="Arial"/>
          <w:b/>
          <w:bCs/>
          <w:sz w:val="32"/>
          <w:szCs w:val="32"/>
        </w:rPr>
        <w:t>England</w:t>
      </w:r>
    </w:p>
    <w:bookmarkEnd w:id="1"/>
    <w:p w14:paraId="0CD71C9D" w14:textId="77777777" w:rsidR="00095B7C" w:rsidRPr="00095B7C" w:rsidRDefault="00095B7C" w:rsidP="00095B7C">
      <w:pPr>
        <w:spacing w:after="120" w:line="480" w:lineRule="auto"/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</w:pPr>
      <w:r w:rsidRPr="00095B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Authors: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 xml:space="preserve"> Alexandrosz Czira</w:t>
      </w:r>
      <w:r w:rsidRPr="00095B7C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1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, Gema Requena</w:t>
      </w:r>
      <w:r w:rsidRPr="00095B7C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1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, Victoria Banks</w:t>
      </w:r>
      <w:r w:rsidRPr="00095B7C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2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*, Robert Wood</w:t>
      </w:r>
      <w:r w:rsidRPr="00095B7C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2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, Theo Tritton</w:t>
      </w:r>
      <w:r w:rsidRPr="00095B7C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2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, Catherine M Castillo</w:t>
      </w:r>
      <w:r w:rsidRPr="00095B7C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2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, Jie Yeap</w:t>
      </w:r>
      <w:r w:rsidRPr="00095B7C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2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*, Rosie Wild</w:t>
      </w:r>
      <w:r w:rsidRPr="00095B7C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2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, Chris Compton</w:t>
      </w:r>
      <w:r w:rsidRPr="00095B7C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1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, Kieran J Rothnie</w:t>
      </w:r>
      <w:r w:rsidRPr="00095B7C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1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, Felix Herth</w:t>
      </w:r>
      <w:r w:rsidRPr="00095B7C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3,4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, Jennifer K Quint</w:t>
      </w:r>
      <w:r w:rsidRPr="00095B7C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5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, Afisi S. Ismaila</w:t>
      </w:r>
      <w:r w:rsidRPr="00095B7C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6,7</w:t>
      </w:r>
    </w:p>
    <w:p w14:paraId="33716E9B" w14:textId="77777777" w:rsidR="00095B7C" w:rsidRPr="00095B7C" w:rsidRDefault="00095B7C" w:rsidP="00095B7C">
      <w:pPr>
        <w:spacing w:after="220" w:line="480" w:lineRule="auto"/>
        <w:rPr>
          <w:rFonts w:ascii="Arial" w:eastAsia="ArialUnicodeMS" w:hAnsi="Arial" w:cs="Arial"/>
          <w:sz w:val="20"/>
          <w:szCs w:val="20"/>
          <w:lang w:eastAsia="en-GB"/>
        </w:rPr>
      </w:pPr>
      <w:r w:rsidRPr="00095B7C">
        <w:rPr>
          <w:rFonts w:ascii="Arial" w:eastAsia="ArialUnicodeMS" w:hAnsi="Arial" w:cs="Arial"/>
          <w:b/>
          <w:bCs/>
          <w:sz w:val="20"/>
          <w:szCs w:val="20"/>
          <w:lang w:eastAsia="en-GB"/>
        </w:rPr>
        <w:t>Affiliations:</w:t>
      </w:r>
      <w:r w:rsidRPr="00095B7C">
        <w:rPr>
          <w:rFonts w:ascii="Arial" w:eastAsia="ArialUnicodeMS" w:hAnsi="Arial" w:cs="Arial"/>
          <w:sz w:val="20"/>
          <w:szCs w:val="20"/>
          <w:lang w:eastAsia="en-GB"/>
        </w:rPr>
        <w:t xml:space="preserve"> </w:t>
      </w:r>
      <w:r w:rsidRPr="00095B7C">
        <w:rPr>
          <w:rFonts w:ascii="Arial" w:eastAsia="ArialUnicodeMS" w:hAnsi="Arial" w:cs="Arial"/>
          <w:sz w:val="20"/>
          <w:szCs w:val="20"/>
          <w:vertAlign w:val="superscript"/>
          <w:lang w:eastAsia="en-GB"/>
        </w:rPr>
        <w:t>1</w:t>
      </w:r>
      <w:r w:rsidRPr="00095B7C">
        <w:rPr>
          <w:rFonts w:ascii="Arial" w:eastAsia="ArialUnicodeMS" w:hAnsi="Arial" w:cs="Arial"/>
          <w:sz w:val="20"/>
          <w:szCs w:val="20"/>
          <w:lang w:eastAsia="en-GB"/>
        </w:rPr>
        <w:t xml:space="preserve">R&amp;D Global Medical, GSK, Brentford, Middlesex, UK; </w:t>
      </w:r>
      <w:r w:rsidRPr="00095B7C">
        <w:rPr>
          <w:rFonts w:ascii="Arial" w:eastAsia="ArialUnicodeMS" w:hAnsi="Arial" w:cs="Arial"/>
          <w:sz w:val="20"/>
          <w:szCs w:val="20"/>
          <w:vertAlign w:val="superscript"/>
          <w:lang w:eastAsia="en-GB"/>
        </w:rPr>
        <w:t>2</w:t>
      </w:r>
      <w:r w:rsidRPr="00095B7C">
        <w:rPr>
          <w:rFonts w:ascii="Arial" w:eastAsia="ArialUnicodeMS" w:hAnsi="Arial" w:cs="Arial"/>
          <w:sz w:val="20"/>
          <w:szCs w:val="20"/>
          <w:lang w:eastAsia="en-GB"/>
        </w:rPr>
        <w:t>Real-world Evidence,</w:t>
      </w:r>
      <w:r w:rsidRPr="00095B7C">
        <w:rPr>
          <w:rFonts w:ascii="Arial" w:eastAsia="ArialUnicodeMS" w:hAnsi="Arial" w:cs="Arial"/>
          <w:sz w:val="20"/>
          <w:szCs w:val="20"/>
          <w:vertAlign w:val="superscript"/>
          <w:lang w:eastAsia="en-GB"/>
        </w:rPr>
        <w:t xml:space="preserve"> </w:t>
      </w:r>
      <w:r w:rsidRPr="00095B7C">
        <w:rPr>
          <w:rFonts w:ascii="Arial" w:eastAsia="ArialUnicodeMS" w:hAnsi="Arial" w:cs="Arial"/>
          <w:sz w:val="20"/>
          <w:szCs w:val="20"/>
          <w:lang w:eastAsia="en-GB"/>
        </w:rPr>
        <w:t xml:space="preserve">Adelphi Real World, Bollington, Cheshire, UK; </w:t>
      </w:r>
      <w:r w:rsidRPr="00095B7C">
        <w:rPr>
          <w:rFonts w:ascii="Arial" w:eastAsia="ArialUnicodeMS" w:hAnsi="Arial" w:cs="Arial"/>
          <w:sz w:val="20"/>
          <w:szCs w:val="20"/>
          <w:vertAlign w:val="superscript"/>
          <w:lang w:eastAsia="en-GB"/>
        </w:rPr>
        <w:t>3</w:t>
      </w:r>
      <w:r w:rsidRPr="00095B7C">
        <w:rPr>
          <w:rFonts w:ascii="Arial" w:eastAsia="ArialUnicodeMS" w:hAnsi="Arial" w:cs="Arial"/>
          <w:sz w:val="20"/>
          <w:szCs w:val="20"/>
          <w:lang w:eastAsia="en-GB"/>
        </w:rPr>
        <w:t xml:space="preserve">Department of Pulmonology and Respiratory Care Medicine, Thoraxklinik at the University of Heidelberg, Heidelberg, Germany; </w:t>
      </w:r>
      <w:r w:rsidRPr="00095B7C">
        <w:rPr>
          <w:rFonts w:ascii="Arial" w:eastAsia="ArialUnicodeMS" w:hAnsi="Arial" w:cs="Arial"/>
          <w:sz w:val="20"/>
          <w:szCs w:val="20"/>
          <w:vertAlign w:val="superscript"/>
          <w:lang w:eastAsia="en-GB"/>
        </w:rPr>
        <w:t>4</w:t>
      </w:r>
      <w:r w:rsidRPr="00095B7C">
        <w:rPr>
          <w:rFonts w:ascii="Arial" w:eastAsia="ArialUnicodeMS" w:hAnsi="Arial" w:cs="Arial"/>
          <w:sz w:val="20"/>
          <w:szCs w:val="20"/>
          <w:lang w:eastAsia="en-GB"/>
        </w:rPr>
        <w:t xml:space="preserve">Translational Lung Research Center Heidelberg, Member of the German Center for Lung Research DZL, Heidelberg, Germany; </w:t>
      </w:r>
      <w:r w:rsidRPr="00095B7C">
        <w:rPr>
          <w:rFonts w:ascii="Arial" w:eastAsia="ArialUnicodeMS" w:hAnsi="Arial" w:cs="Arial"/>
          <w:sz w:val="20"/>
          <w:szCs w:val="20"/>
          <w:vertAlign w:val="superscript"/>
          <w:lang w:eastAsia="en-GB"/>
        </w:rPr>
        <w:t>5</w:t>
      </w:r>
      <w:r w:rsidRPr="00095B7C">
        <w:rPr>
          <w:rFonts w:ascii="Arial" w:eastAsia="ArialUnicodeMS" w:hAnsi="Arial" w:cs="Arial"/>
          <w:sz w:val="20"/>
          <w:szCs w:val="20"/>
          <w:lang w:eastAsia="en-GB"/>
        </w:rPr>
        <w:t xml:space="preserve">National Heart and Lung Institute, Imperial College London, London, UK; </w:t>
      </w:r>
      <w:r w:rsidRPr="00095B7C">
        <w:rPr>
          <w:rFonts w:ascii="Arial" w:eastAsia="ArialUnicodeMS" w:hAnsi="Arial" w:cs="Arial"/>
          <w:sz w:val="20"/>
          <w:szCs w:val="20"/>
          <w:vertAlign w:val="superscript"/>
          <w:lang w:eastAsia="en-GB"/>
        </w:rPr>
        <w:t>6</w:t>
      </w:r>
      <w:r w:rsidRPr="00095B7C">
        <w:rPr>
          <w:rFonts w:ascii="Arial" w:eastAsia="ArialUnicodeMS" w:hAnsi="Arial" w:cs="Arial"/>
          <w:sz w:val="20"/>
          <w:szCs w:val="20"/>
          <w:lang w:eastAsia="en-GB"/>
        </w:rPr>
        <w:t xml:space="preserve">Value Evidence and Outcomes, GSK, Collegeville, PA, USA; </w:t>
      </w:r>
      <w:r w:rsidRPr="00095B7C">
        <w:rPr>
          <w:rFonts w:ascii="Arial" w:eastAsia="ArialUnicodeMS" w:hAnsi="Arial" w:cs="Arial"/>
          <w:sz w:val="20"/>
          <w:szCs w:val="20"/>
          <w:vertAlign w:val="superscript"/>
          <w:lang w:eastAsia="en-GB"/>
        </w:rPr>
        <w:t>7</w:t>
      </w:r>
      <w:r w:rsidRPr="00095B7C">
        <w:rPr>
          <w:rFonts w:ascii="Arial" w:eastAsia="ArialUnicodeMS" w:hAnsi="Arial" w:cs="Arial"/>
          <w:sz w:val="20"/>
          <w:szCs w:val="20"/>
          <w:lang w:eastAsia="en-GB"/>
        </w:rPr>
        <w:t>Department of Health Research Methods, Evidence and Impact, McMaster University, Hamilton, ON, Canada</w:t>
      </w:r>
    </w:p>
    <w:p w14:paraId="1AC00854" w14:textId="446CEBF0" w:rsidR="00095B7C" w:rsidRPr="00E934AA" w:rsidRDefault="00095B7C" w:rsidP="00E934AA">
      <w:pPr>
        <w:spacing w:after="220" w:line="48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sz w:val="20"/>
          <w:szCs w:val="20"/>
          <w:lang w:eastAsia="en-GB"/>
        </w:rPr>
        <w:t>*At the time of the study</w:t>
      </w:r>
      <w:r>
        <w:rPr>
          <w:rFonts w:ascii="Arial" w:eastAsia="Times New Roman" w:hAnsi="Arial" w:cs="Arial"/>
          <w:b/>
          <w:bCs/>
          <w:sz w:val="32"/>
          <w:szCs w:val="32"/>
          <w:lang w:eastAsia="en-GB"/>
        </w:rPr>
        <w:br w:type="page"/>
      </w:r>
    </w:p>
    <w:p w14:paraId="4C93499B" w14:textId="581C41E3" w:rsidR="00095B7C" w:rsidRPr="00095B7C" w:rsidRDefault="00095B7C" w:rsidP="00095B7C">
      <w:pPr>
        <w:keepNext/>
        <w:spacing w:after="120" w:line="360" w:lineRule="auto"/>
        <w:outlineLvl w:val="0"/>
        <w:rPr>
          <w:rFonts w:ascii="Arial" w:eastAsia="Times New Roman" w:hAnsi="Arial" w:cs="Arial"/>
          <w:b/>
          <w:bCs/>
          <w:sz w:val="32"/>
          <w:szCs w:val="32"/>
          <w:lang w:eastAsia="en-GB"/>
        </w:rPr>
      </w:pPr>
      <w:r w:rsidRPr="00095B7C">
        <w:rPr>
          <w:rFonts w:ascii="Arial" w:eastAsia="Times New Roman" w:hAnsi="Arial" w:cs="Arial"/>
          <w:b/>
          <w:bCs/>
          <w:sz w:val="32"/>
          <w:szCs w:val="32"/>
          <w:lang w:eastAsia="en-GB"/>
        </w:rPr>
        <w:lastRenderedPageBreak/>
        <w:t>Supplementary material</w:t>
      </w:r>
    </w:p>
    <w:p w14:paraId="497BA044" w14:textId="77777777" w:rsidR="00095B7C" w:rsidRPr="00095B7C" w:rsidRDefault="00095B7C" w:rsidP="00095B7C">
      <w:pPr>
        <w:spacing w:after="2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Supplementary Figure 1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. Sample attrition</w:t>
      </w:r>
    </w:p>
    <w:p w14:paraId="26C02C31" w14:textId="77777777" w:rsidR="00095B7C" w:rsidRPr="00095B7C" w:rsidRDefault="00095B7C" w:rsidP="00095B7C">
      <w:pPr>
        <w:spacing w:after="22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095B7C">
        <w:rPr>
          <w:rFonts w:ascii="Calibri" w:eastAsia="Times New Roman" w:hAnsi="Calibri" w:cs="Calibri"/>
          <w:noProof/>
          <w:sz w:val="20"/>
          <w:szCs w:val="20"/>
          <w:lang w:eastAsia="en-GB"/>
        </w:rPr>
        <w:drawing>
          <wp:inline distT="0" distB="0" distL="0" distR="0" wp14:anchorId="45C15A15" wp14:editId="25A9B331">
            <wp:extent cx="5581937" cy="5131064"/>
            <wp:effectExtent l="0" t="0" r="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937" cy="5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C2553" w14:textId="77777777" w:rsidR="00095B7C" w:rsidRPr="00095B7C" w:rsidRDefault="00095B7C" w:rsidP="00095B7C">
      <w:pPr>
        <w:spacing w:after="220" w:line="48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sz w:val="20"/>
          <w:szCs w:val="20"/>
          <w:lang w:eastAsia="en-GB"/>
        </w:rPr>
        <w:t>COPD, chronic obstructive pulmonary disease; FEV</w:t>
      </w:r>
      <w:r w:rsidRPr="00095B7C">
        <w:rPr>
          <w:rFonts w:ascii="Arial" w:eastAsia="Times New Roman" w:hAnsi="Arial" w:cs="Arial"/>
          <w:sz w:val="20"/>
          <w:szCs w:val="20"/>
          <w:vertAlign w:val="subscript"/>
          <w:lang w:eastAsia="en-GB"/>
        </w:rPr>
        <w:t>1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, forced expiratory volume in 1 second; FVC, forced vital capacity; GP, general practitioner; HES, Health Episode Statistics; ICS, inhaled corticosteroid; LABA, long-acting β</w:t>
      </w:r>
      <w:r w:rsidRPr="00095B7C">
        <w:rPr>
          <w:rFonts w:ascii="Arial" w:eastAsia="Times New Roman" w:hAnsi="Arial" w:cs="Arial"/>
          <w:sz w:val="20"/>
          <w:szCs w:val="20"/>
          <w:vertAlign w:val="subscript"/>
          <w:lang w:eastAsia="en-GB"/>
        </w:rPr>
        <w:t>2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-agonist; LAMA, long-acting muscarinic antagonist; UMEC, umeclidinium; VI, vilanterol.</w:t>
      </w:r>
    </w:p>
    <w:p w14:paraId="164A8CC7" w14:textId="77777777" w:rsidR="00095B7C" w:rsidRPr="00095B7C" w:rsidRDefault="00095B7C" w:rsidP="00095B7C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sectPr w:rsidR="00095B7C" w:rsidRPr="00095B7C" w:rsidSect="00E939F4"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4507794C" w14:textId="77777777" w:rsidR="00095B7C" w:rsidRPr="00095B7C" w:rsidRDefault="00095B7C" w:rsidP="00095B7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Supplementary Figure 2.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 xml:space="preserve"> Kaplan–Meier plots of time-to-first triple therapy for A) unweighted and B) weighted analyses</w:t>
      </w:r>
    </w:p>
    <w:p w14:paraId="4AC52BA1" w14:textId="77777777" w:rsidR="00095B7C" w:rsidRPr="00095B7C" w:rsidRDefault="00095B7C" w:rsidP="00095B7C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en-GB"/>
        </w:rPr>
      </w:pPr>
    </w:p>
    <w:p w14:paraId="0927A339" w14:textId="77777777" w:rsidR="00095B7C" w:rsidRPr="00095B7C" w:rsidRDefault="00095B7C" w:rsidP="00095B7C">
      <w:pPr>
        <w:spacing w:after="22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095B7C">
        <w:rPr>
          <w:rFonts w:ascii="Calibri" w:eastAsia="Times New Roman" w:hAnsi="Calibri" w:cs="Calibri"/>
          <w:noProof/>
          <w:sz w:val="20"/>
          <w:szCs w:val="20"/>
          <w:lang w:eastAsia="en-GB"/>
        </w:rPr>
        <w:drawing>
          <wp:inline distT="0" distB="0" distL="0" distR="0" wp14:anchorId="7A4C374A" wp14:editId="58F1FF94">
            <wp:extent cx="5731510" cy="3079115"/>
            <wp:effectExtent l="0" t="0" r="2540" b="6985"/>
            <wp:docPr id="2" name="Picture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line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98D65" w14:textId="0BBD92EA" w:rsidR="00095B7C" w:rsidRPr="00E934AA" w:rsidRDefault="00095B7C" w:rsidP="00E934AA">
      <w:pPr>
        <w:spacing w:after="220" w:line="48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sz w:val="20"/>
          <w:szCs w:val="20"/>
          <w:lang w:eastAsia="en-GB"/>
        </w:rPr>
        <w:t>ICS, inhaled corticosteroid; LABA, long-acting β</w:t>
      </w:r>
      <w:r w:rsidRPr="00095B7C">
        <w:rPr>
          <w:rFonts w:ascii="Arial" w:eastAsia="Times New Roman" w:hAnsi="Arial" w:cs="Arial"/>
          <w:sz w:val="20"/>
          <w:szCs w:val="20"/>
          <w:vertAlign w:val="subscript"/>
          <w:lang w:eastAsia="en-GB"/>
        </w:rPr>
        <w:t>2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-agonist; UMEC, umeclidinium; VI, vilanterol.</w:t>
      </w:r>
      <w:r w:rsidRPr="00095B7C">
        <w:rPr>
          <w:rFonts w:ascii="Calibri" w:eastAsia="Times New Roman" w:hAnsi="Calibri" w:cs="Calibri"/>
          <w:sz w:val="20"/>
          <w:szCs w:val="20"/>
          <w:lang w:eastAsia="en-GB"/>
        </w:rPr>
        <w:br w:type="page"/>
      </w:r>
    </w:p>
    <w:p w14:paraId="77523501" w14:textId="77777777" w:rsidR="00095B7C" w:rsidRPr="00095B7C" w:rsidRDefault="00095B7C" w:rsidP="00095B7C">
      <w:pPr>
        <w:spacing w:after="22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sectPr w:rsidR="00095B7C" w:rsidRPr="00095B7C" w:rsidSect="00E939F4"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27C854FC" w14:textId="77777777" w:rsidR="00095B7C" w:rsidRPr="00095B7C" w:rsidRDefault="00095B7C" w:rsidP="00095B7C">
      <w:pPr>
        <w:spacing w:after="220" w:line="48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Supplementary Figure 3.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 xml:space="preserve"> Kaplan–Meier plots of time-to-first moderate-to-severe COPD exacerbation for A) unweighted and B) weighted analyses</w:t>
      </w:r>
    </w:p>
    <w:p w14:paraId="4B71177F" w14:textId="77777777" w:rsidR="00095B7C" w:rsidRPr="00095B7C" w:rsidRDefault="00095B7C" w:rsidP="00095B7C">
      <w:pPr>
        <w:spacing w:after="220" w:line="240" w:lineRule="auto"/>
        <w:rPr>
          <w:rFonts w:ascii="Calibri" w:eastAsia="Times New Roman" w:hAnsi="Calibri" w:cs="Calibri"/>
          <w:sz w:val="20"/>
          <w:szCs w:val="20"/>
          <w:lang w:eastAsia="en-GB"/>
        </w:rPr>
      </w:pPr>
      <w:r w:rsidRPr="00095B7C">
        <w:rPr>
          <w:rFonts w:ascii="Calibri" w:eastAsia="Times New Roman" w:hAnsi="Calibri" w:cs="Calibri"/>
          <w:noProof/>
          <w:sz w:val="20"/>
          <w:szCs w:val="20"/>
          <w:lang w:eastAsia="en-GB"/>
        </w:rPr>
        <w:drawing>
          <wp:inline distT="0" distB="0" distL="0" distR="0" wp14:anchorId="56E6A79B" wp14:editId="69B8D327">
            <wp:extent cx="5731510" cy="3168015"/>
            <wp:effectExtent l="0" t="0" r="2540" b="0"/>
            <wp:docPr id="3" name="Picture 3" descr="Chart, line 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art, line chart, histo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F35B5" w14:textId="77777777" w:rsidR="00095B7C" w:rsidRPr="00095B7C" w:rsidRDefault="00095B7C" w:rsidP="00095B7C">
      <w:pPr>
        <w:spacing w:after="0" w:line="240" w:lineRule="auto"/>
        <w:rPr>
          <w:rFonts w:ascii="Calibri" w:eastAsia="Times New Roman" w:hAnsi="Calibri" w:cs="Calibri"/>
          <w:lang w:eastAsia="en-GB"/>
        </w:rPr>
      </w:pPr>
      <w:r w:rsidRPr="00095B7C">
        <w:rPr>
          <w:rFonts w:ascii="Arial" w:eastAsia="Times New Roman" w:hAnsi="Arial" w:cs="Arial"/>
          <w:sz w:val="20"/>
          <w:szCs w:val="20"/>
          <w:lang w:eastAsia="en-GB"/>
        </w:rPr>
        <w:t>COPD, chronic obstructive pulmonary disease. ICS, inhaled corticosteroid; LABA, long-acting β</w:t>
      </w:r>
      <w:r w:rsidRPr="00095B7C">
        <w:rPr>
          <w:rFonts w:ascii="Arial" w:eastAsia="Times New Roman" w:hAnsi="Arial" w:cs="Arial"/>
          <w:sz w:val="20"/>
          <w:szCs w:val="20"/>
          <w:vertAlign w:val="subscript"/>
          <w:lang w:eastAsia="en-GB"/>
        </w:rPr>
        <w:t>2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-agonist; UMEC, umeclidinium; VI, vilanterol.</w:t>
      </w:r>
      <w:r w:rsidRPr="00095B7C">
        <w:rPr>
          <w:rFonts w:ascii="Calibri" w:eastAsia="Times New Roman" w:hAnsi="Calibri" w:cs="Calibri"/>
          <w:lang w:eastAsia="en-GB"/>
        </w:rPr>
        <w:br w:type="page"/>
      </w:r>
    </w:p>
    <w:p w14:paraId="12DC410A" w14:textId="77777777" w:rsidR="00095B7C" w:rsidRPr="00095B7C" w:rsidRDefault="00095B7C" w:rsidP="00095B7C">
      <w:pPr>
        <w:spacing w:after="220" w:line="360" w:lineRule="auto"/>
        <w:rPr>
          <w:rFonts w:ascii="Calibri" w:eastAsia="Times New Roman" w:hAnsi="Calibri" w:cs="Calibri"/>
          <w:b/>
          <w:bCs/>
          <w:szCs w:val="24"/>
          <w:lang w:eastAsia="en-GB"/>
        </w:rPr>
        <w:sectPr w:rsidR="00095B7C" w:rsidRPr="00095B7C" w:rsidSect="00E939F4">
          <w:pgSz w:w="11906" w:h="16838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26B7DFC5" w14:textId="77777777" w:rsidR="00095B7C" w:rsidRPr="00095B7C" w:rsidRDefault="00095B7C" w:rsidP="00095B7C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Supplementary Table 1.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 xml:space="preserve"> PS model balance: Number (%) covariates with insufficient balance for models for each outcome </w:t>
      </w:r>
    </w:p>
    <w:tbl>
      <w:tblPr>
        <w:tblStyle w:val="TableGrid1"/>
        <w:tblW w:w="14080" w:type="dxa"/>
        <w:tblLook w:val="04A0" w:firstRow="1" w:lastRow="0" w:firstColumn="1" w:lastColumn="0" w:noHBand="0" w:noVBand="1"/>
      </w:tblPr>
      <w:tblGrid>
        <w:gridCol w:w="4693"/>
        <w:gridCol w:w="2346"/>
        <w:gridCol w:w="2347"/>
        <w:gridCol w:w="2347"/>
        <w:gridCol w:w="2347"/>
      </w:tblGrid>
      <w:tr w:rsidR="00095B7C" w:rsidRPr="00095B7C" w14:paraId="4BF60D6B" w14:textId="77777777" w:rsidTr="00344913">
        <w:trPr>
          <w:trHeight w:val="259"/>
        </w:trPr>
        <w:tc>
          <w:tcPr>
            <w:tcW w:w="4693" w:type="dxa"/>
          </w:tcPr>
          <w:p w14:paraId="771058D0" w14:textId="77777777" w:rsidR="00095B7C" w:rsidRPr="00095B7C" w:rsidRDefault="00095B7C" w:rsidP="00095B7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693" w:type="dxa"/>
            <w:gridSpan w:val="2"/>
            <w:vAlign w:val="center"/>
          </w:tcPr>
          <w:p w14:paraId="492C120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Unweighted</w:t>
            </w: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br/>
              <w:t>(number [%] of imbalanced covariates)</w:t>
            </w:r>
          </w:p>
        </w:tc>
        <w:tc>
          <w:tcPr>
            <w:tcW w:w="4694" w:type="dxa"/>
            <w:gridSpan w:val="2"/>
            <w:vAlign w:val="center"/>
          </w:tcPr>
          <w:p w14:paraId="3ABBA6AD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Weighted </w:t>
            </w: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br/>
              <w:t>(number [%] of imbalanced covariates)</w:t>
            </w:r>
          </w:p>
        </w:tc>
      </w:tr>
      <w:tr w:rsidR="00095B7C" w:rsidRPr="00095B7C" w14:paraId="3DF29BAB" w14:textId="77777777" w:rsidTr="00344913">
        <w:trPr>
          <w:trHeight w:val="243"/>
        </w:trPr>
        <w:tc>
          <w:tcPr>
            <w:tcW w:w="14080" w:type="dxa"/>
            <w:gridSpan w:val="5"/>
          </w:tcPr>
          <w:p w14:paraId="396DA228" w14:textId="77777777" w:rsidR="00095B7C" w:rsidRPr="00095B7C" w:rsidRDefault="00095B7C" w:rsidP="00095B7C">
            <w:pPr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Adherence</w:t>
            </w: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n-GB"/>
              </w:rPr>
              <w:t>a</w:t>
            </w:r>
          </w:p>
        </w:tc>
      </w:tr>
      <w:tr w:rsidR="00095B7C" w:rsidRPr="00095B7C" w14:paraId="643D3E73" w14:textId="77777777" w:rsidTr="00344913">
        <w:trPr>
          <w:trHeight w:val="259"/>
        </w:trPr>
        <w:tc>
          <w:tcPr>
            <w:tcW w:w="4693" w:type="dxa"/>
          </w:tcPr>
          <w:p w14:paraId="1F4ABF5F" w14:textId="77777777" w:rsidR="00095B7C" w:rsidRPr="00095B7C" w:rsidRDefault="00095B7C" w:rsidP="00095B7C">
            <w:pPr>
              <w:ind w:left="44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 months</w:t>
            </w:r>
          </w:p>
        </w:tc>
        <w:tc>
          <w:tcPr>
            <w:tcW w:w="4693" w:type="dxa"/>
            <w:gridSpan w:val="2"/>
          </w:tcPr>
          <w:p w14:paraId="119C6799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28/43 (65.1)</w:t>
            </w:r>
          </w:p>
        </w:tc>
        <w:tc>
          <w:tcPr>
            <w:tcW w:w="4694" w:type="dxa"/>
            <w:gridSpan w:val="2"/>
          </w:tcPr>
          <w:p w14:paraId="383F0205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9/43 (20.9)</w:t>
            </w:r>
          </w:p>
        </w:tc>
      </w:tr>
      <w:tr w:rsidR="00095B7C" w:rsidRPr="00095B7C" w14:paraId="58401D6D" w14:textId="77777777" w:rsidTr="00344913">
        <w:trPr>
          <w:trHeight w:val="259"/>
        </w:trPr>
        <w:tc>
          <w:tcPr>
            <w:tcW w:w="4693" w:type="dxa"/>
          </w:tcPr>
          <w:p w14:paraId="1C91AA4E" w14:textId="77777777" w:rsidR="00095B7C" w:rsidRPr="00095B7C" w:rsidRDefault="00095B7C" w:rsidP="00095B7C">
            <w:pPr>
              <w:ind w:left="44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 months</w:t>
            </w:r>
          </w:p>
        </w:tc>
        <w:tc>
          <w:tcPr>
            <w:tcW w:w="4693" w:type="dxa"/>
            <w:gridSpan w:val="2"/>
          </w:tcPr>
          <w:p w14:paraId="1B3F34BA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25/43 (58.1)</w:t>
            </w:r>
          </w:p>
        </w:tc>
        <w:tc>
          <w:tcPr>
            <w:tcW w:w="4694" w:type="dxa"/>
            <w:gridSpan w:val="2"/>
          </w:tcPr>
          <w:p w14:paraId="62D6747F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10/43 (23.3)</w:t>
            </w:r>
          </w:p>
        </w:tc>
      </w:tr>
      <w:tr w:rsidR="00095B7C" w:rsidRPr="00095B7C" w14:paraId="35E8184C" w14:textId="77777777" w:rsidTr="00344913">
        <w:trPr>
          <w:trHeight w:val="259"/>
        </w:trPr>
        <w:tc>
          <w:tcPr>
            <w:tcW w:w="4693" w:type="dxa"/>
          </w:tcPr>
          <w:p w14:paraId="2EB5D104" w14:textId="77777777" w:rsidR="00095B7C" w:rsidRPr="00095B7C" w:rsidRDefault="00095B7C" w:rsidP="00095B7C">
            <w:pPr>
              <w:ind w:left="44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 months</w:t>
            </w:r>
          </w:p>
        </w:tc>
        <w:tc>
          <w:tcPr>
            <w:tcW w:w="4693" w:type="dxa"/>
            <w:gridSpan w:val="2"/>
          </w:tcPr>
          <w:p w14:paraId="102047F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27/43 (62.8)</w:t>
            </w:r>
          </w:p>
        </w:tc>
        <w:tc>
          <w:tcPr>
            <w:tcW w:w="4694" w:type="dxa"/>
            <w:gridSpan w:val="2"/>
          </w:tcPr>
          <w:p w14:paraId="4174B8F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11/43 (25.6)</w:t>
            </w:r>
          </w:p>
        </w:tc>
      </w:tr>
      <w:tr w:rsidR="00095B7C" w:rsidRPr="00095B7C" w14:paraId="16D86D60" w14:textId="77777777" w:rsidTr="00344913">
        <w:trPr>
          <w:trHeight w:val="259"/>
        </w:trPr>
        <w:tc>
          <w:tcPr>
            <w:tcW w:w="4693" w:type="dxa"/>
          </w:tcPr>
          <w:p w14:paraId="23F8E32B" w14:textId="77777777" w:rsidR="00095B7C" w:rsidRPr="00095B7C" w:rsidRDefault="00095B7C" w:rsidP="00095B7C">
            <w:pPr>
              <w:ind w:left="44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 months</w:t>
            </w:r>
          </w:p>
        </w:tc>
        <w:tc>
          <w:tcPr>
            <w:tcW w:w="4693" w:type="dxa"/>
            <w:gridSpan w:val="2"/>
          </w:tcPr>
          <w:p w14:paraId="1E2FAE0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17/39 (43.6)</w:t>
            </w:r>
          </w:p>
        </w:tc>
        <w:tc>
          <w:tcPr>
            <w:tcW w:w="4694" w:type="dxa"/>
            <w:gridSpan w:val="2"/>
          </w:tcPr>
          <w:p w14:paraId="26333DD9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6/39 (15.4)</w:t>
            </w:r>
          </w:p>
        </w:tc>
      </w:tr>
      <w:tr w:rsidR="00095B7C" w:rsidRPr="00095B7C" w14:paraId="3AA9FB9A" w14:textId="77777777" w:rsidTr="00344913">
        <w:trPr>
          <w:trHeight w:val="259"/>
        </w:trPr>
        <w:tc>
          <w:tcPr>
            <w:tcW w:w="4693" w:type="dxa"/>
          </w:tcPr>
          <w:p w14:paraId="07E8B08E" w14:textId="77777777" w:rsidR="00095B7C" w:rsidRPr="00095B7C" w:rsidRDefault="00095B7C" w:rsidP="00095B7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Time-to-first triple therapy</w:t>
            </w:r>
          </w:p>
        </w:tc>
        <w:tc>
          <w:tcPr>
            <w:tcW w:w="4693" w:type="dxa"/>
            <w:gridSpan w:val="2"/>
          </w:tcPr>
          <w:p w14:paraId="04C9DF4D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25/46 (54.3)</w:t>
            </w:r>
          </w:p>
        </w:tc>
        <w:tc>
          <w:tcPr>
            <w:tcW w:w="4694" w:type="dxa"/>
            <w:gridSpan w:val="2"/>
          </w:tcPr>
          <w:p w14:paraId="4F884ACA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14/46 (30.4)</w:t>
            </w:r>
          </w:p>
        </w:tc>
      </w:tr>
      <w:tr w:rsidR="00095B7C" w:rsidRPr="00095B7C" w14:paraId="201C91D5" w14:textId="77777777" w:rsidTr="00344913">
        <w:trPr>
          <w:trHeight w:val="259"/>
        </w:trPr>
        <w:tc>
          <w:tcPr>
            <w:tcW w:w="14080" w:type="dxa"/>
            <w:gridSpan w:val="5"/>
          </w:tcPr>
          <w:p w14:paraId="26262315" w14:textId="77777777" w:rsidR="00095B7C" w:rsidRPr="00095B7C" w:rsidRDefault="00095B7C" w:rsidP="00095B7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Time-to-first on-treatment COPD exacerbation</w:t>
            </w:r>
          </w:p>
        </w:tc>
      </w:tr>
      <w:tr w:rsidR="00095B7C" w:rsidRPr="00095B7C" w14:paraId="06F4423C" w14:textId="77777777" w:rsidTr="00344913">
        <w:trPr>
          <w:trHeight w:val="259"/>
        </w:trPr>
        <w:tc>
          <w:tcPr>
            <w:tcW w:w="4693" w:type="dxa"/>
          </w:tcPr>
          <w:p w14:paraId="03134A83" w14:textId="77777777" w:rsidR="00095B7C" w:rsidRPr="00095B7C" w:rsidRDefault="00095B7C" w:rsidP="00095B7C">
            <w:pPr>
              <w:ind w:left="447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Moderate-to-severe </w:t>
            </w:r>
          </w:p>
        </w:tc>
        <w:tc>
          <w:tcPr>
            <w:tcW w:w="4693" w:type="dxa"/>
            <w:gridSpan w:val="2"/>
          </w:tcPr>
          <w:p w14:paraId="161E2490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38/60 (63.3)</w:t>
            </w:r>
          </w:p>
        </w:tc>
        <w:tc>
          <w:tcPr>
            <w:tcW w:w="4694" w:type="dxa"/>
            <w:gridSpan w:val="2"/>
          </w:tcPr>
          <w:p w14:paraId="1D6D58C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19/60 (31.7)</w:t>
            </w:r>
          </w:p>
        </w:tc>
      </w:tr>
      <w:tr w:rsidR="00095B7C" w:rsidRPr="00095B7C" w14:paraId="3B361909" w14:textId="77777777" w:rsidTr="00344913">
        <w:trPr>
          <w:trHeight w:val="259"/>
        </w:trPr>
        <w:tc>
          <w:tcPr>
            <w:tcW w:w="4693" w:type="dxa"/>
          </w:tcPr>
          <w:p w14:paraId="639DAD25" w14:textId="77777777" w:rsidR="00095B7C" w:rsidRPr="00095B7C" w:rsidRDefault="00095B7C" w:rsidP="00095B7C">
            <w:pPr>
              <w:ind w:left="44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Moderate </w:t>
            </w:r>
          </w:p>
        </w:tc>
        <w:tc>
          <w:tcPr>
            <w:tcW w:w="4693" w:type="dxa"/>
            <w:gridSpan w:val="2"/>
          </w:tcPr>
          <w:p w14:paraId="33084ADF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24/47 (51.1)</w:t>
            </w:r>
          </w:p>
        </w:tc>
        <w:tc>
          <w:tcPr>
            <w:tcW w:w="4694" w:type="dxa"/>
            <w:gridSpan w:val="2"/>
          </w:tcPr>
          <w:p w14:paraId="602D0C1A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12/47 (25.5)</w:t>
            </w:r>
          </w:p>
        </w:tc>
      </w:tr>
      <w:tr w:rsidR="00095B7C" w:rsidRPr="00095B7C" w14:paraId="5B41B739" w14:textId="77777777" w:rsidTr="00344913">
        <w:trPr>
          <w:trHeight w:val="259"/>
        </w:trPr>
        <w:tc>
          <w:tcPr>
            <w:tcW w:w="4693" w:type="dxa"/>
          </w:tcPr>
          <w:p w14:paraId="256B5513" w14:textId="77777777" w:rsidR="00095B7C" w:rsidRPr="00095B7C" w:rsidRDefault="00095B7C" w:rsidP="00095B7C">
            <w:pPr>
              <w:ind w:left="44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Severe </w:t>
            </w:r>
          </w:p>
        </w:tc>
        <w:tc>
          <w:tcPr>
            <w:tcW w:w="4693" w:type="dxa"/>
            <w:gridSpan w:val="2"/>
          </w:tcPr>
          <w:p w14:paraId="21AB7579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21/48 (43.8)</w:t>
            </w:r>
          </w:p>
        </w:tc>
        <w:tc>
          <w:tcPr>
            <w:tcW w:w="4694" w:type="dxa"/>
            <w:gridSpan w:val="2"/>
          </w:tcPr>
          <w:p w14:paraId="49C665F1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4/48 (8.3)</w:t>
            </w:r>
          </w:p>
        </w:tc>
      </w:tr>
      <w:tr w:rsidR="00095B7C" w:rsidRPr="00095B7C" w14:paraId="0A7F5508" w14:textId="77777777" w:rsidTr="00344913">
        <w:trPr>
          <w:trHeight w:val="259"/>
        </w:trPr>
        <w:tc>
          <w:tcPr>
            <w:tcW w:w="4693" w:type="dxa"/>
          </w:tcPr>
          <w:p w14:paraId="031EFC66" w14:textId="77777777" w:rsidR="00095B7C" w:rsidRPr="00095B7C" w:rsidRDefault="00095B7C" w:rsidP="00095B7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HCRU at 12 months</w:t>
            </w:r>
          </w:p>
        </w:tc>
        <w:tc>
          <w:tcPr>
            <w:tcW w:w="2346" w:type="dxa"/>
          </w:tcPr>
          <w:p w14:paraId="56C57DBD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COPD-related</w:t>
            </w:r>
          </w:p>
        </w:tc>
        <w:tc>
          <w:tcPr>
            <w:tcW w:w="2347" w:type="dxa"/>
          </w:tcPr>
          <w:p w14:paraId="7175ADB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All-cause</w:t>
            </w:r>
          </w:p>
        </w:tc>
        <w:tc>
          <w:tcPr>
            <w:tcW w:w="2347" w:type="dxa"/>
          </w:tcPr>
          <w:p w14:paraId="4A95AE67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COPD-related</w:t>
            </w:r>
          </w:p>
        </w:tc>
        <w:tc>
          <w:tcPr>
            <w:tcW w:w="2347" w:type="dxa"/>
          </w:tcPr>
          <w:p w14:paraId="6B50815A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All-cause</w:t>
            </w:r>
          </w:p>
        </w:tc>
      </w:tr>
      <w:tr w:rsidR="00095B7C" w:rsidRPr="00095B7C" w14:paraId="78536B7A" w14:textId="77777777" w:rsidTr="00344913">
        <w:trPr>
          <w:trHeight w:val="259"/>
        </w:trPr>
        <w:tc>
          <w:tcPr>
            <w:tcW w:w="4693" w:type="dxa"/>
          </w:tcPr>
          <w:p w14:paraId="51EDC6C8" w14:textId="77777777" w:rsidR="00095B7C" w:rsidRPr="00095B7C" w:rsidRDefault="00095B7C" w:rsidP="00095B7C">
            <w:pPr>
              <w:ind w:left="447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Number of prescriptions</w:t>
            </w:r>
          </w:p>
        </w:tc>
        <w:tc>
          <w:tcPr>
            <w:tcW w:w="2346" w:type="dxa"/>
          </w:tcPr>
          <w:p w14:paraId="29EFCD4F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26/51 (51.0)</w:t>
            </w:r>
          </w:p>
        </w:tc>
        <w:tc>
          <w:tcPr>
            <w:tcW w:w="2347" w:type="dxa"/>
          </w:tcPr>
          <w:p w14:paraId="6FA423B1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36/58 (62.1)</w:t>
            </w:r>
          </w:p>
        </w:tc>
        <w:tc>
          <w:tcPr>
            <w:tcW w:w="2347" w:type="dxa"/>
          </w:tcPr>
          <w:p w14:paraId="06FA2EE5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16/51 (31.4)</w:t>
            </w:r>
          </w:p>
        </w:tc>
        <w:tc>
          <w:tcPr>
            <w:tcW w:w="2347" w:type="dxa"/>
          </w:tcPr>
          <w:p w14:paraId="46E5C8C1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18/58 (31.0)</w:t>
            </w:r>
          </w:p>
        </w:tc>
      </w:tr>
      <w:tr w:rsidR="00095B7C" w:rsidRPr="00095B7C" w14:paraId="6E0722D8" w14:textId="77777777" w:rsidTr="00344913">
        <w:trPr>
          <w:trHeight w:val="259"/>
        </w:trPr>
        <w:tc>
          <w:tcPr>
            <w:tcW w:w="4693" w:type="dxa"/>
          </w:tcPr>
          <w:p w14:paraId="334F1F95" w14:textId="77777777" w:rsidR="00095B7C" w:rsidRPr="00095B7C" w:rsidRDefault="00095B7C" w:rsidP="00095B7C">
            <w:pPr>
              <w:ind w:left="44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of consultations</w:t>
            </w:r>
          </w:p>
        </w:tc>
        <w:tc>
          <w:tcPr>
            <w:tcW w:w="2346" w:type="dxa"/>
          </w:tcPr>
          <w:p w14:paraId="7D7B5F2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37/55 (67.3)</w:t>
            </w:r>
          </w:p>
        </w:tc>
        <w:tc>
          <w:tcPr>
            <w:tcW w:w="2347" w:type="dxa"/>
          </w:tcPr>
          <w:p w14:paraId="00FD8A8D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26/60 (43.3)</w:t>
            </w:r>
          </w:p>
        </w:tc>
        <w:tc>
          <w:tcPr>
            <w:tcW w:w="2347" w:type="dxa"/>
          </w:tcPr>
          <w:p w14:paraId="19B8E59E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17/55 (30.9)</w:t>
            </w:r>
          </w:p>
        </w:tc>
        <w:tc>
          <w:tcPr>
            <w:tcW w:w="2347" w:type="dxa"/>
          </w:tcPr>
          <w:p w14:paraId="654DA02F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19/60 (31.2)</w:t>
            </w:r>
          </w:p>
        </w:tc>
      </w:tr>
      <w:tr w:rsidR="00095B7C" w:rsidRPr="00095B7C" w14:paraId="5B27A241" w14:textId="77777777" w:rsidTr="00344913">
        <w:trPr>
          <w:trHeight w:val="259"/>
        </w:trPr>
        <w:tc>
          <w:tcPr>
            <w:tcW w:w="4693" w:type="dxa"/>
          </w:tcPr>
          <w:p w14:paraId="22D0B30E" w14:textId="77777777" w:rsidR="00095B7C" w:rsidRPr="00095B7C" w:rsidRDefault="00095B7C" w:rsidP="00095B7C">
            <w:pPr>
              <w:ind w:left="44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of inpatient stays</w:t>
            </w:r>
          </w:p>
        </w:tc>
        <w:tc>
          <w:tcPr>
            <w:tcW w:w="2346" w:type="dxa"/>
          </w:tcPr>
          <w:p w14:paraId="3B71D9DB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23/47 (48.9)</w:t>
            </w:r>
          </w:p>
        </w:tc>
        <w:tc>
          <w:tcPr>
            <w:tcW w:w="2347" w:type="dxa"/>
          </w:tcPr>
          <w:p w14:paraId="19BF8220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13/41 (31.7)</w:t>
            </w:r>
          </w:p>
        </w:tc>
        <w:tc>
          <w:tcPr>
            <w:tcW w:w="2347" w:type="dxa"/>
          </w:tcPr>
          <w:p w14:paraId="62EFB7C0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5/47 (10.6)</w:t>
            </w:r>
          </w:p>
        </w:tc>
        <w:tc>
          <w:tcPr>
            <w:tcW w:w="2347" w:type="dxa"/>
          </w:tcPr>
          <w:p w14:paraId="21692E7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1/41 (2.4)</w:t>
            </w:r>
          </w:p>
        </w:tc>
      </w:tr>
      <w:tr w:rsidR="00095B7C" w:rsidRPr="00095B7C" w14:paraId="37F06DB6" w14:textId="77777777" w:rsidTr="00344913">
        <w:trPr>
          <w:trHeight w:val="259"/>
        </w:trPr>
        <w:tc>
          <w:tcPr>
            <w:tcW w:w="4693" w:type="dxa"/>
          </w:tcPr>
          <w:p w14:paraId="1A888576" w14:textId="77777777" w:rsidR="00095B7C" w:rsidRPr="00095B7C" w:rsidRDefault="00095B7C" w:rsidP="00095B7C">
            <w:pPr>
              <w:ind w:left="44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of A&amp;E visits</w:t>
            </w:r>
          </w:p>
        </w:tc>
        <w:tc>
          <w:tcPr>
            <w:tcW w:w="2346" w:type="dxa"/>
          </w:tcPr>
          <w:p w14:paraId="0274BE49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29/47 (61.7)</w:t>
            </w:r>
          </w:p>
        </w:tc>
        <w:tc>
          <w:tcPr>
            <w:tcW w:w="2347" w:type="dxa"/>
          </w:tcPr>
          <w:p w14:paraId="53B4B5C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29/51 (56.9)</w:t>
            </w:r>
          </w:p>
        </w:tc>
        <w:tc>
          <w:tcPr>
            <w:tcW w:w="2347" w:type="dxa"/>
          </w:tcPr>
          <w:p w14:paraId="56ADB901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3/47 (6.4)</w:t>
            </w:r>
          </w:p>
        </w:tc>
        <w:tc>
          <w:tcPr>
            <w:tcW w:w="2347" w:type="dxa"/>
          </w:tcPr>
          <w:p w14:paraId="619F50ED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23/51 (45.1)</w:t>
            </w:r>
          </w:p>
        </w:tc>
      </w:tr>
      <w:tr w:rsidR="00095B7C" w:rsidRPr="00095B7C" w14:paraId="68128438" w14:textId="77777777" w:rsidTr="00344913">
        <w:trPr>
          <w:trHeight w:val="259"/>
        </w:trPr>
        <w:tc>
          <w:tcPr>
            <w:tcW w:w="4693" w:type="dxa"/>
          </w:tcPr>
          <w:p w14:paraId="1DADC240" w14:textId="77777777" w:rsidR="00095B7C" w:rsidRPr="00095B7C" w:rsidRDefault="00095B7C" w:rsidP="00095B7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Medical costs at 12 months</w:t>
            </w:r>
          </w:p>
        </w:tc>
        <w:tc>
          <w:tcPr>
            <w:tcW w:w="2346" w:type="dxa"/>
            <w:vAlign w:val="center"/>
          </w:tcPr>
          <w:p w14:paraId="2E01D0A4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COPD-related</w:t>
            </w:r>
          </w:p>
        </w:tc>
        <w:tc>
          <w:tcPr>
            <w:tcW w:w="2347" w:type="dxa"/>
            <w:vAlign w:val="center"/>
          </w:tcPr>
          <w:p w14:paraId="16ADF0AF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All-cause</w:t>
            </w:r>
          </w:p>
        </w:tc>
        <w:tc>
          <w:tcPr>
            <w:tcW w:w="2347" w:type="dxa"/>
            <w:vAlign w:val="center"/>
          </w:tcPr>
          <w:p w14:paraId="29F71988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COPD-related</w:t>
            </w:r>
          </w:p>
        </w:tc>
        <w:tc>
          <w:tcPr>
            <w:tcW w:w="2347" w:type="dxa"/>
            <w:vAlign w:val="center"/>
          </w:tcPr>
          <w:p w14:paraId="079B337A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All-cause</w:t>
            </w:r>
          </w:p>
        </w:tc>
      </w:tr>
      <w:tr w:rsidR="00095B7C" w:rsidRPr="00095B7C" w14:paraId="74B71ADC" w14:textId="77777777" w:rsidTr="00344913">
        <w:trPr>
          <w:trHeight w:val="243"/>
        </w:trPr>
        <w:tc>
          <w:tcPr>
            <w:tcW w:w="4693" w:type="dxa"/>
          </w:tcPr>
          <w:p w14:paraId="29673B53" w14:textId="77777777" w:rsidR="00095B7C" w:rsidRPr="00095B7C" w:rsidRDefault="00095B7C" w:rsidP="00095B7C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of prescriptions</w:t>
            </w:r>
          </w:p>
        </w:tc>
        <w:tc>
          <w:tcPr>
            <w:tcW w:w="2346" w:type="dxa"/>
          </w:tcPr>
          <w:p w14:paraId="785BB6F7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33/51 (64.7)</w:t>
            </w:r>
          </w:p>
        </w:tc>
        <w:tc>
          <w:tcPr>
            <w:tcW w:w="2347" w:type="dxa"/>
          </w:tcPr>
          <w:p w14:paraId="71871D6F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37/60 (61.7)</w:t>
            </w:r>
          </w:p>
        </w:tc>
        <w:tc>
          <w:tcPr>
            <w:tcW w:w="2347" w:type="dxa"/>
          </w:tcPr>
          <w:p w14:paraId="67812754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16/51 (31.4)</w:t>
            </w:r>
          </w:p>
        </w:tc>
        <w:tc>
          <w:tcPr>
            <w:tcW w:w="2347" w:type="dxa"/>
          </w:tcPr>
          <w:p w14:paraId="60CEB308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18/60 (30.0)</w:t>
            </w:r>
          </w:p>
        </w:tc>
      </w:tr>
      <w:tr w:rsidR="00095B7C" w:rsidRPr="00095B7C" w14:paraId="7B4E4BF0" w14:textId="77777777" w:rsidTr="00344913">
        <w:trPr>
          <w:trHeight w:val="259"/>
        </w:trPr>
        <w:tc>
          <w:tcPr>
            <w:tcW w:w="4693" w:type="dxa"/>
          </w:tcPr>
          <w:p w14:paraId="2F8E6BC6" w14:textId="77777777" w:rsidR="00095B7C" w:rsidRPr="00095B7C" w:rsidRDefault="00095B7C" w:rsidP="00095B7C">
            <w:pPr>
              <w:ind w:left="44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of GP consultations</w:t>
            </w:r>
          </w:p>
        </w:tc>
        <w:tc>
          <w:tcPr>
            <w:tcW w:w="2346" w:type="dxa"/>
          </w:tcPr>
          <w:p w14:paraId="05C95C88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36/54 (66.7)</w:t>
            </w:r>
          </w:p>
        </w:tc>
        <w:tc>
          <w:tcPr>
            <w:tcW w:w="2347" w:type="dxa"/>
          </w:tcPr>
          <w:p w14:paraId="18EF7978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36/52 (69.2)</w:t>
            </w:r>
          </w:p>
        </w:tc>
        <w:tc>
          <w:tcPr>
            <w:tcW w:w="2347" w:type="dxa"/>
          </w:tcPr>
          <w:p w14:paraId="36139C94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17/54 (31.5)</w:t>
            </w:r>
          </w:p>
        </w:tc>
        <w:tc>
          <w:tcPr>
            <w:tcW w:w="2347" w:type="dxa"/>
          </w:tcPr>
          <w:p w14:paraId="296AA525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16/52 (30.8)</w:t>
            </w:r>
          </w:p>
        </w:tc>
      </w:tr>
      <w:tr w:rsidR="00095B7C" w:rsidRPr="00095B7C" w14:paraId="36CC5FF6" w14:textId="77777777" w:rsidTr="00344913">
        <w:trPr>
          <w:trHeight w:val="259"/>
        </w:trPr>
        <w:tc>
          <w:tcPr>
            <w:tcW w:w="4693" w:type="dxa"/>
          </w:tcPr>
          <w:p w14:paraId="05C42BAE" w14:textId="77777777" w:rsidR="00095B7C" w:rsidRPr="00095B7C" w:rsidRDefault="00095B7C" w:rsidP="00095B7C">
            <w:pPr>
              <w:ind w:left="44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of inpatients stays</w:t>
            </w:r>
          </w:p>
        </w:tc>
        <w:tc>
          <w:tcPr>
            <w:tcW w:w="2346" w:type="dxa"/>
          </w:tcPr>
          <w:p w14:paraId="51CC5E7E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12/36 (33.3)</w:t>
            </w:r>
          </w:p>
        </w:tc>
        <w:tc>
          <w:tcPr>
            <w:tcW w:w="2347" w:type="dxa"/>
          </w:tcPr>
          <w:p w14:paraId="2851EF07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25/44 (56.8)</w:t>
            </w:r>
          </w:p>
        </w:tc>
        <w:tc>
          <w:tcPr>
            <w:tcW w:w="2347" w:type="dxa"/>
          </w:tcPr>
          <w:p w14:paraId="6A4B9E8E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1/36 (2.8)</w:t>
            </w:r>
          </w:p>
        </w:tc>
        <w:tc>
          <w:tcPr>
            <w:tcW w:w="2347" w:type="dxa"/>
          </w:tcPr>
          <w:p w14:paraId="720EA49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2/44 (4.5)</w:t>
            </w:r>
          </w:p>
        </w:tc>
      </w:tr>
      <w:tr w:rsidR="00095B7C" w:rsidRPr="00095B7C" w14:paraId="33A3F258" w14:textId="77777777" w:rsidTr="00344913">
        <w:trPr>
          <w:trHeight w:val="259"/>
        </w:trPr>
        <w:tc>
          <w:tcPr>
            <w:tcW w:w="4693" w:type="dxa"/>
          </w:tcPr>
          <w:p w14:paraId="598A41FF" w14:textId="77777777" w:rsidR="00095B7C" w:rsidRPr="00095B7C" w:rsidRDefault="00095B7C" w:rsidP="00095B7C">
            <w:pPr>
              <w:ind w:left="44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of A&amp;E visits</w:t>
            </w:r>
          </w:p>
        </w:tc>
        <w:tc>
          <w:tcPr>
            <w:tcW w:w="2346" w:type="dxa"/>
          </w:tcPr>
          <w:p w14:paraId="2812C77A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17/45 (37.8)</w:t>
            </w:r>
          </w:p>
        </w:tc>
        <w:tc>
          <w:tcPr>
            <w:tcW w:w="2347" w:type="dxa"/>
          </w:tcPr>
          <w:p w14:paraId="737B661D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28/49 (57.1)</w:t>
            </w:r>
          </w:p>
        </w:tc>
        <w:tc>
          <w:tcPr>
            <w:tcW w:w="2347" w:type="dxa"/>
          </w:tcPr>
          <w:p w14:paraId="60095BB9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1/45 (2.2)</w:t>
            </w:r>
          </w:p>
        </w:tc>
        <w:tc>
          <w:tcPr>
            <w:tcW w:w="2347" w:type="dxa"/>
          </w:tcPr>
          <w:p w14:paraId="6210A557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18/49 (36.7)</w:t>
            </w:r>
          </w:p>
        </w:tc>
      </w:tr>
      <w:tr w:rsidR="00095B7C" w:rsidRPr="00095B7C" w14:paraId="4E4A2ED8" w14:textId="77777777" w:rsidTr="00344913">
        <w:trPr>
          <w:trHeight w:val="259"/>
        </w:trPr>
        <w:tc>
          <w:tcPr>
            <w:tcW w:w="4693" w:type="dxa"/>
          </w:tcPr>
          <w:p w14:paraId="3394D77C" w14:textId="77777777" w:rsidR="00095B7C" w:rsidRPr="00095B7C" w:rsidRDefault="00095B7C" w:rsidP="00095B7C">
            <w:pPr>
              <w:ind w:left="29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 medical costs</w:t>
            </w:r>
          </w:p>
        </w:tc>
        <w:tc>
          <w:tcPr>
            <w:tcW w:w="2346" w:type="dxa"/>
            <w:vAlign w:val="center"/>
          </w:tcPr>
          <w:p w14:paraId="701B8EC1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COPD-related</w:t>
            </w:r>
          </w:p>
        </w:tc>
        <w:tc>
          <w:tcPr>
            <w:tcW w:w="2347" w:type="dxa"/>
            <w:vAlign w:val="center"/>
          </w:tcPr>
          <w:p w14:paraId="6C4072BA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All-cause</w:t>
            </w:r>
          </w:p>
        </w:tc>
        <w:tc>
          <w:tcPr>
            <w:tcW w:w="2347" w:type="dxa"/>
            <w:vAlign w:val="center"/>
          </w:tcPr>
          <w:p w14:paraId="7F7E4A1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COPD-related</w:t>
            </w:r>
          </w:p>
        </w:tc>
        <w:tc>
          <w:tcPr>
            <w:tcW w:w="2347" w:type="dxa"/>
            <w:vAlign w:val="center"/>
          </w:tcPr>
          <w:p w14:paraId="2AEC8229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All-cause</w:t>
            </w:r>
          </w:p>
        </w:tc>
      </w:tr>
      <w:tr w:rsidR="00095B7C" w:rsidRPr="00095B7C" w14:paraId="72243E37" w14:textId="77777777" w:rsidTr="00344913">
        <w:trPr>
          <w:trHeight w:val="243"/>
        </w:trPr>
        <w:tc>
          <w:tcPr>
            <w:tcW w:w="4693" w:type="dxa"/>
          </w:tcPr>
          <w:p w14:paraId="0EF3E70B" w14:textId="77777777" w:rsidR="00095B7C" w:rsidRPr="00095B7C" w:rsidRDefault="00095B7C" w:rsidP="00095B7C">
            <w:pPr>
              <w:ind w:left="45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 months</w:t>
            </w:r>
          </w:p>
        </w:tc>
        <w:tc>
          <w:tcPr>
            <w:tcW w:w="2346" w:type="dxa"/>
          </w:tcPr>
          <w:p w14:paraId="3DF34AEB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21/42 (50.0)</w:t>
            </w:r>
          </w:p>
        </w:tc>
        <w:tc>
          <w:tcPr>
            <w:tcW w:w="2347" w:type="dxa"/>
          </w:tcPr>
          <w:p w14:paraId="398DDC8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23/45 (51.1)</w:t>
            </w:r>
          </w:p>
        </w:tc>
        <w:tc>
          <w:tcPr>
            <w:tcW w:w="2347" w:type="dxa"/>
          </w:tcPr>
          <w:p w14:paraId="1251377A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5/42 (11.9)</w:t>
            </w:r>
          </w:p>
        </w:tc>
        <w:tc>
          <w:tcPr>
            <w:tcW w:w="2347" w:type="dxa"/>
          </w:tcPr>
          <w:p w14:paraId="50CA0B67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4/45 (8.9)</w:t>
            </w:r>
          </w:p>
        </w:tc>
      </w:tr>
      <w:tr w:rsidR="00095B7C" w:rsidRPr="00095B7C" w14:paraId="04CD7233" w14:textId="77777777" w:rsidTr="00344913">
        <w:trPr>
          <w:trHeight w:val="259"/>
        </w:trPr>
        <w:tc>
          <w:tcPr>
            <w:tcW w:w="4693" w:type="dxa"/>
          </w:tcPr>
          <w:p w14:paraId="7373AEFA" w14:textId="77777777" w:rsidR="00095B7C" w:rsidRPr="00095B7C" w:rsidRDefault="00095B7C" w:rsidP="00095B7C">
            <w:pPr>
              <w:ind w:left="44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 months</w:t>
            </w:r>
          </w:p>
        </w:tc>
        <w:tc>
          <w:tcPr>
            <w:tcW w:w="2346" w:type="dxa"/>
          </w:tcPr>
          <w:p w14:paraId="380C9559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21/42 (50.0)</w:t>
            </w:r>
          </w:p>
        </w:tc>
        <w:tc>
          <w:tcPr>
            <w:tcW w:w="2347" w:type="dxa"/>
          </w:tcPr>
          <w:p w14:paraId="55CA39CB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23/46 (50.0)</w:t>
            </w:r>
          </w:p>
        </w:tc>
        <w:tc>
          <w:tcPr>
            <w:tcW w:w="2347" w:type="dxa"/>
          </w:tcPr>
          <w:p w14:paraId="4A17FF01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5/42 (11.9)</w:t>
            </w:r>
          </w:p>
        </w:tc>
        <w:tc>
          <w:tcPr>
            <w:tcW w:w="2347" w:type="dxa"/>
          </w:tcPr>
          <w:p w14:paraId="159EB689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6/46 (13.0)</w:t>
            </w:r>
          </w:p>
        </w:tc>
      </w:tr>
      <w:tr w:rsidR="00095B7C" w:rsidRPr="00095B7C" w14:paraId="16634CBA" w14:textId="77777777" w:rsidTr="00344913">
        <w:trPr>
          <w:trHeight w:val="259"/>
        </w:trPr>
        <w:tc>
          <w:tcPr>
            <w:tcW w:w="4693" w:type="dxa"/>
          </w:tcPr>
          <w:p w14:paraId="58A2CC7E" w14:textId="77777777" w:rsidR="00095B7C" w:rsidRPr="00095B7C" w:rsidRDefault="00095B7C" w:rsidP="00095B7C">
            <w:pPr>
              <w:ind w:left="44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 months</w:t>
            </w:r>
          </w:p>
        </w:tc>
        <w:tc>
          <w:tcPr>
            <w:tcW w:w="2346" w:type="dxa"/>
          </w:tcPr>
          <w:p w14:paraId="788BDFED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21/43 (48.8)</w:t>
            </w:r>
          </w:p>
        </w:tc>
        <w:tc>
          <w:tcPr>
            <w:tcW w:w="2347" w:type="dxa"/>
          </w:tcPr>
          <w:p w14:paraId="291A855B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24/48 (50.0)</w:t>
            </w:r>
          </w:p>
        </w:tc>
        <w:tc>
          <w:tcPr>
            <w:tcW w:w="2347" w:type="dxa"/>
          </w:tcPr>
          <w:p w14:paraId="797AAA14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5/43 (11.6)</w:t>
            </w:r>
          </w:p>
        </w:tc>
        <w:tc>
          <w:tcPr>
            <w:tcW w:w="2347" w:type="dxa"/>
          </w:tcPr>
          <w:p w14:paraId="71DBC00B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5/48 (10.4)</w:t>
            </w:r>
          </w:p>
        </w:tc>
      </w:tr>
      <w:tr w:rsidR="00095B7C" w:rsidRPr="00095B7C" w14:paraId="32802206" w14:textId="77777777" w:rsidTr="00344913">
        <w:trPr>
          <w:trHeight w:val="259"/>
        </w:trPr>
        <w:tc>
          <w:tcPr>
            <w:tcW w:w="4693" w:type="dxa"/>
          </w:tcPr>
          <w:p w14:paraId="7A83303E" w14:textId="77777777" w:rsidR="00095B7C" w:rsidRPr="00095B7C" w:rsidRDefault="00095B7C" w:rsidP="00095B7C">
            <w:pPr>
              <w:ind w:left="44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 months</w:t>
            </w:r>
          </w:p>
        </w:tc>
        <w:tc>
          <w:tcPr>
            <w:tcW w:w="2346" w:type="dxa"/>
          </w:tcPr>
          <w:p w14:paraId="15DEAEF7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21/42 (50.0)</w:t>
            </w:r>
          </w:p>
        </w:tc>
        <w:tc>
          <w:tcPr>
            <w:tcW w:w="2347" w:type="dxa"/>
          </w:tcPr>
          <w:p w14:paraId="1AEAF7B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24/48 (50.0)</w:t>
            </w:r>
          </w:p>
        </w:tc>
        <w:tc>
          <w:tcPr>
            <w:tcW w:w="2347" w:type="dxa"/>
          </w:tcPr>
          <w:p w14:paraId="432D49D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5/42 (11.9)</w:t>
            </w:r>
          </w:p>
        </w:tc>
        <w:tc>
          <w:tcPr>
            <w:tcW w:w="2347" w:type="dxa"/>
          </w:tcPr>
          <w:p w14:paraId="3B75D52E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5/48 (10.4)</w:t>
            </w:r>
          </w:p>
        </w:tc>
      </w:tr>
    </w:tbl>
    <w:p w14:paraId="78A611A0" w14:textId="77777777" w:rsidR="00095B7C" w:rsidRPr="00095B7C" w:rsidRDefault="00095B7C" w:rsidP="00095B7C">
      <w:pPr>
        <w:spacing w:after="220" w:line="48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a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Covariates varied between timepoints. A&amp;E, Accident and Emergency; COPD, chronic obstructive pulmonary disease; GP, general practitioner; HCRU, healthcare resource utilization; PS, propensity score.</w:t>
      </w:r>
    </w:p>
    <w:p w14:paraId="15FF11FA" w14:textId="77777777" w:rsidR="00095B7C" w:rsidRPr="00095B7C" w:rsidRDefault="00095B7C" w:rsidP="00095B7C">
      <w:pPr>
        <w:spacing w:after="220" w:line="360" w:lineRule="auto"/>
        <w:rPr>
          <w:rFonts w:ascii="Calibri" w:eastAsia="Times New Roman" w:hAnsi="Calibri" w:cs="Calibri"/>
          <w:sz w:val="20"/>
          <w:szCs w:val="20"/>
          <w:lang w:eastAsia="en-GB"/>
        </w:rPr>
        <w:sectPr w:rsidR="00095B7C" w:rsidRPr="00095B7C" w:rsidSect="00E939F4">
          <w:pgSz w:w="16838" w:h="11906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75615831" w14:textId="77777777" w:rsidR="00095B7C" w:rsidRPr="00095B7C" w:rsidRDefault="00095B7C" w:rsidP="00095B7C">
      <w:pPr>
        <w:spacing w:after="22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Supplementary Table 2.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 xml:space="preserve"> Sensitivity analyses for all outcomes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814"/>
        <w:gridCol w:w="2033"/>
        <w:gridCol w:w="2034"/>
        <w:gridCol w:w="2034"/>
        <w:gridCol w:w="2034"/>
      </w:tblGrid>
      <w:tr w:rsidR="00095B7C" w:rsidRPr="00095B7C" w14:paraId="7A8313F3" w14:textId="77777777" w:rsidTr="00344913">
        <w:tc>
          <w:tcPr>
            <w:tcW w:w="4814" w:type="dxa"/>
            <w:tcBorders>
              <w:bottom w:val="single" w:sz="4" w:space="0" w:color="auto"/>
            </w:tcBorders>
          </w:tcPr>
          <w:p w14:paraId="32814EBB" w14:textId="77777777" w:rsidR="00095B7C" w:rsidRPr="00095B7C" w:rsidRDefault="00095B7C" w:rsidP="00095B7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067" w:type="dxa"/>
            <w:gridSpan w:val="2"/>
          </w:tcPr>
          <w:p w14:paraId="25B62A6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Unweighted</w:t>
            </w:r>
          </w:p>
        </w:tc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14:paraId="5884D24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Weighted</w:t>
            </w:r>
          </w:p>
        </w:tc>
      </w:tr>
      <w:tr w:rsidR="00095B7C" w:rsidRPr="00095B7C" w14:paraId="743EE854" w14:textId="77777777" w:rsidTr="00344913">
        <w:tc>
          <w:tcPr>
            <w:tcW w:w="4814" w:type="dxa"/>
            <w:tcBorders>
              <w:bottom w:val="nil"/>
            </w:tcBorders>
          </w:tcPr>
          <w:p w14:paraId="11A159A6" w14:textId="77777777" w:rsidR="00095B7C" w:rsidRPr="00095B7C" w:rsidRDefault="00095B7C" w:rsidP="00095B7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033" w:type="dxa"/>
            <w:tcBorders>
              <w:bottom w:val="nil"/>
            </w:tcBorders>
            <w:vAlign w:val="center"/>
          </w:tcPr>
          <w:p w14:paraId="75F8FF4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Average treatment effect (95% CI)</w:t>
            </w:r>
          </w:p>
        </w:tc>
        <w:tc>
          <w:tcPr>
            <w:tcW w:w="2034" w:type="dxa"/>
            <w:tcBorders>
              <w:bottom w:val="nil"/>
            </w:tcBorders>
            <w:vAlign w:val="center"/>
          </w:tcPr>
          <w:p w14:paraId="6C656B87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034" w:type="dxa"/>
            <w:tcBorders>
              <w:bottom w:val="nil"/>
            </w:tcBorders>
            <w:vAlign w:val="center"/>
          </w:tcPr>
          <w:p w14:paraId="09DB114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Average treatment effect (95% CI)</w:t>
            </w:r>
          </w:p>
        </w:tc>
        <w:tc>
          <w:tcPr>
            <w:tcW w:w="2034" w:type="dxa"/>
            <w:tcBorders>
              <w:bottom w:val="nil"/>
            </w:tcBorders>
            <w:vAlign w:val="center"/>
          </w:tcPr>
          <w:p w14:paraId="3431C427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</w:tr>
      <w:tr w:rsidR="00095B7C" w:rsidRPr="00095B7C" w14:paraId="26073A9A" w14:textId="77777777" w:rsidTr="00344913">
        <w:trPr>
          <w:trHeight w:val="70"/>
        </w:trPr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C864" w14:textId="77777777" w:rsidR="00095B7C" w:rsidRPr="00095B7C" w:rsidRDefault="00095B7C" w:rsidP="00095B7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712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DFC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62AA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C729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95B7C" w:rsidRPr="00095B7C" w14:paraId="27F94777" w14:textId="77777777" w:rsidTr="00344913">
        <w:tc>
          <w:tcPr>
            <w:tcW w:w="4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F418" w14:textId="77777777" w:rsidR="00095B7C" w:rsidRPr="00095B7C" w:rsidRDefault="00095B7C" w:rsidP="00095B7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Adherence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27DE" w14:textId="77777777" w:rsidR="00095B7C" w:rsidRPr="00095B7C" w:rsidRDefault="00095B7C" w:rsidP="00095B7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1A3FE7" w14:textId="77777777" w:rsidR="00095B7C" w:rsidRPr="00095B7C" w:rsidRDefault="00095B7C" w:rsidP="00095B7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22A4" w14:textId="77777777" w:rsidR="00095B7C" w:rsidRPr="00095B7C" w:rsidRDefault="00095B7C" w:rsidP="00095B7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703" w14:textId="77777777" w:rsidR="00095B7C" w:rsidRPr="00095B7C" w:rsidRDefault="00095B7C" w:rsidP="00095B7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95B7C" w:rsidRPr="00095B7C" w14:paraId="67899F43" w14:textId="77777777" w:rsidTr="00344913">
        <w:tc>
          <w:tcPr>
            <w:tcW w:w="1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74D4" w14:textId="77777777" w:rsidR="00095B7C" w:rsidRPr="00095B7C" w:rsidRDefault="00095B7C" w:rsidP="00095B7C">
            <w:pPr>
              <w:ind w:left="17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Stockpiling (ordering early prescriptions for later use)</w:t>
            </w:r>
          </w:p>
        </w:tc>
      </w:tr>
      <w:tr w:rsidR="00095B7C" w:rsidRPr="00095B7C" w14:paraId="16DF7645" w14:textId="77777777" w:rsidTr="00344913">
        <w:trPr>
          <w:trHeight w:val="2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BAAA" w14:textId="77777777" w:rsidR="00095B7C" w:rsidRPr="00095B7C" w:rsidRDefault="00095B7C" w:rsidP="00095B7C">
            <w:pPr>
              <w:ind w:left="56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 months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BFC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1.49 (1.09, 2.04)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15190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0.0131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2E438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1.52 (0.99</w:t>
            </w: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2.36)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A093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0.0581</w:t>
            </w:r>
          </w:p>
        </w:tc>
      </w:tr>
      <w:tr w:rsidR="00095B7C" w:rsidRPr="00095B7C" w14:paraId="63D71D7D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E3E6" w14:textId="77777777" w:rsidR="00095B7C" w:rsidRPr="00095B7C" w:rsidRDefault="00095B7C" w:rsidP="00095B7C">
            <w:pPr>
              <w:ind w:left="56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 months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B62F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1.59 (1.13</w:t>
            </w: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2.24)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91BCA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0.0080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BF1BF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1.71 (1.08</w:t>
            </w: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2.69)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5EC4E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0.0210</w:t>
            </w:r>
          </w:p>
        </w:tc>
      </w:tr>
      <w:tr w:rsidR="00095B7C" w:rsidRPr="00095B7C" w14:paraId="082004ED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243F" w14:textId="77777777" w:rsidR="00095B7C" w:rsidRPr="00095B7C" w:rsidRDefault="00095B7C" w:rsidP="00095B7C">
            <w:pPr>
              <w:ind w:left="56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 months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25B9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1.61 (1.09</w:t>
            </w: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2.38)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01CA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0.0167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8DF8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1.75 (1.13</w:t>
            </w: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2.72)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33CCA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0.0119</w:t>
            </w:r>
          </w:p>
        </w:tc>
      </w:tr>
      <w:tr w:rsidR="00095B7C" w:rsidRPr="00095B7C" w14:paraId="6F79C5CA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F05" w14:textId="77777777" w:rsidR="00095B7C" w:rsidRPr="00095B7C" w:rsidRDefault="00095B7C" w:rsidP="00095B7C">
            <w:pPr>
              <w:ind w:left="56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 months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C3221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1.50 (1.23</w:t>
            </w: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1.82)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CBD14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0.0001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7D6C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1.47 (1.16,</w:t>
            </w: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1.87)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839AF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0.0017</w:t>
            </w:r>
          </w:p>
        </w:tc>
      </w:tr>
      <w:tr w:rsidR="00095B7C" w:rsidRPr="00095B7C" w14:paraId="4ADEB000" w14:textId="77777777" w:rsidTr="00344913">
        <w:tc>
          <w:tcPr>
            <w:tcW w:w="1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C0B5" w14:textId="77777777" w:rsidR="00095B7C" w:rsidRPr="00095B7C" w:rsidRDefault="00095B7C" w:rsidP="00095B7C">
            <w:pPr>
              <w:ind w:left="17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PDC≥50%</w:t>
            </w:r>
          </w:p>
        </w:tc>
      </w:tr>
      <w:tr w:rsidR="00095B7C" w:rsidRPr="00095B7C" w14:paraId="73F69451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DE71" w14:textId="77777777" w:rsidR="00095B7C" w:rsidRPr="00095B7C" w:rsidRDefault="00095B7C" w:rsidP="00095B7C">
            <w:pPr>
              <w:ind w:left="56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 months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C8B36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1.41 (1.02</w:t>
            </w: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1.94)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5819D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0.0373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A4C8F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1.46 (0.94</w:t>
            </w: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2.27)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7F2B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0.0952</w:t>
            </w:r>
          </w:p>
        </w:tc>
      </w:tr>
      <w:tr w:rsidR="00095B7C" w:rsidRPr="00095B7C" w14:paraId="4A109EAC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D8B7" w14:textId="77777777" w:rsidR="00095B7C" w:rsidRPr="00095B7C" w:rsidRDefault="00095B7C" w:rsidP="00095B7C">
            <w:pPr>
              <w:ind w:left="56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 months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AD6E6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1.75 (1.23</w:t>
            </w: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12.48)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2F70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0.0016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C3165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1.78 (1.12</w:t>
            </w: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2.82)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FC5B6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0.0145</w:t>
            </w:r>
          </w:p>
        </w:tc>
      </w:tr>
      <w:tr w:rsidR="00095B7C" w:rsidRPr="00095B7C" w14:paraId="56098AB0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183A" w14:textId="77777777" w:rsidR="00095B7C" w:rsidRPr="00095B7C" w:rsidRDefault="00095B7C" w:rsidP="00095B7C">
            <w:pPr>
              <w:ind w:left="56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 months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270EB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1.75 (1.18</w:t>
            </w: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2.59)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2A6FD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0.0052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CF38E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1.84 (1.17</w:t>
            </w: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2.91)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8588B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0.0089</w:t>
            </w:r>
          </w:p>
        </w:tc>
      </w:tr>
      <w:tr w:rsidR="00095B7C" w:rsidRPr="00095B7C" w14:paraId="6E331075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2A3" w14:textId="77777777" w:rsidR="00095B7C" w:rsidRPr="00095B7C" w:rsidRDefault="00095B7C" w:rsidP="00095B7C">
            <w:pPr>
              <w:ind w:left="56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 months</w:t>
            </w:r>
          </w:p>
        </w:tc>
        <w:tc>
          <w:tcPr>
            <w:tcW w:w="8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02BE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Model convergence not achieved</w:t>
            </w:r>
          </w:p>
        </w:tc>
      </w:tr>
      <w:tr w:rsidR="00095B7C" w:rsidRPr="00095B7C" w14:paraId="237FAA4C" w14:textId="77777777" w:rsidTr="00344913">
        <w:tc>
          <w:tcPr>
            <w:tcW w:w="1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45C0" w14:textId="77777777" w:rsidR="00095B7C" w:rsidRPr="00095B7C" w:rsidRDefault="00095B7C" w:rsidP="00095B7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Sensitivity analyses for adherence at 12 months</w:t>
            </w: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n-GB"/>
              </w:rPr>
              <w:t>a</w:t>
            </w:r>
          </w:p>
        </w:tc>
      </w:tr>
      <w:tr w:rsidR="00095B7C" w:rsidRPr="00095B7C" w14:paraId="03FCA41D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ED63" w14:textId="77777777" w:rsidR="00095B7C" w:rsidRPr="00095B7C" w:rsidRDefault="00095B7C" w:rsidP="00095B7C">
            <w:pPr>
              <w:ind w:left="56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PDC≥80% where subgroup histograms are trimmed where they do not overlap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3EF9D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1.87 (1.34, 2.60)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C5597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0.0002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C6FED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1.95 (0.82, 4.64)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EAA6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0.1294</w:t>
            </w:r>
          </w:p>
        </w:tc>
      </w:tr>
      <w:tr w:rsidR="00095B7C" w:rsidRPr="00095B7C" w14:paraId="173DDCA8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ACD4" w14:textId="77777777" w:rsidR="00095B7C" w:rsidRPr="00095B7C" w:rsidRDefault="00095B7C" w:rsidP="00095B7C">
            <w:pPr>
              <w:ind w:left="56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PDC ≥80% where current asthma patients are excluded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2EEA5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1.93 (1.38, 2.69)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A2188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0.0001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54655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2.12 (1.33, 3.41)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80251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0.0017</w:t>
            </w:r>
          </w:p>
        </w:tc>
      </w:tr>
      <w:tr w:rsidR="00095B7C" w:rsidRPr="00095B7C" w14:paraId="765440C5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CFE" w14:textId="77777777" w:rsidR="00095B7C" w:rsidRPr="00095B7C" w:rsidRDefault="00095B7C" w:rsidP="00095B7C">
            <w:pPr>
              <w:ind w:left="56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PDC ≥80% where ethnicity covariate was removed from IPTW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8CC7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1.94 (1.68, 2.24)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818E5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FB6BF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1.74 (1.40, 2.17)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2A80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095B7C" w:rsidRPr="00095B7C" w14:paraId="3889A14F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C2ED" w14:textId="77777777" w:rsidR="00095B7C" w:rsidRPr="00095B7C" w:rsidRDefault="00095B7C" w:rsidP="00095B7C">
            <w:pPr>
              <w:ind w:left="56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PDC ≥80% where ethnicity covariate was removed from IPTW and current asthma patients excluded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3AD3B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1.83 (1.57, 2.13)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96D9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D82A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1.54 (1.23, 1.93)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95FB5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0.0002</w:t>
            </w:r>
          </w:p>
        </w:tc>
      </w:tr>
      <w:tr w:rsidR="00095B7C" w:rsidRPr="00095B7C" w14:paraId="1F91C1C2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599" w14:textId="77777777" w:rsidR="00095B7C" w:rsidRPr="00095B7C" w:rsidRDefault="00095B7C" w:rsidP="00095B7C">
            <w:pPr>
              <w:ind w:left="56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Imbalanced covariates added back into final weighted model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52684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2.17 (1.59, 2.95)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357D0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CB9CD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2.37 (1.45, 3.87)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0D540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0.0005</w:t>
            </w:r>
          </w:p>
        </w:tc>
      </w:tr>
      <w:tr w:rsidR="00095B7C" w:rsidRPr="00095B7C" w14:paraId="660A9AD1" w14:textId="77777777" w:rsidTr="00344913"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35C2EA39" w14:textId="77777777" w:rsidR="00095B7C" w:rsidRPr="00095B7C" w:rsidRDefault="00095B7C" w:rsidP="00095B7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Time-to-first triple therapy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A04FC5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0.43 (0.25, 0.75)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2101D9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0.0028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50AE08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0.90 (0.47, 1.73)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29315EB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0.7481</w:t>
            </w:r>
          </w:p>
        </w:tc>
      </w:tr>
      <w:tr w:rsidR="00095B7C" w:rsidRPr="00095B7C" w14:paraId="65E69CF6" w14:textId="77777777" w:rsidTr="00344913">
        <w:tc>
          <w:tcPr>
            <w:tcW w:w="129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E2410E" w14:textId="77777777" w:rsidR="00095B7C" w:rsidRPr="00095B7C" w:rsidRDefault="00095B7C" w:rsidP="00095B7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Time-to-first on-treatment COPD exacerbation</w:t>
            </w:r>
          </w:p>
        </w:tc>
      </w:tr>
      <w:tr w:rsidR="00095B7C" w:rsidRPr="00095B7C" w14:paraId="3E862123" w14:textId="77777777" w:rsidTr="00344913"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5B207244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Moderate-to-severe 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C7FEF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0.89 (0.76, 1.05)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4B68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0.1639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A8C64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0.91 (0.73, 1.13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8B936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0.3921</w:t>
            </w:r>
          </w:p>
        </w:tc>
      </w:tr>
      <w:tr w:rsidR="00095B7C" w:rsidRPr="00095B7C" w14:paraId="5A338EB4" w14:textId="77777777" w:rsidTr="00344913"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3AB2115C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Moderate 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0C180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0.88 (0.74, 1.05)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C257E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0.1461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70C05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0.86 (0.67, 1.11)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4ECF8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0.2434</w:t>
            </w:r>
          </w:p>
        </w:tc>
      </w:tr>
      <w:tr w:rsidR="00095B7C" w:rsidRPr="00095B7C" w14:paraId="51C290EC" w14:textId="77777777" w:rsidTr="00344913"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06F67A78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Severe </w:t>
            </w: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4F05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1.04 (0.78, 1.39)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5DE0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0.8005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4706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1.15 (0.80, 1.66)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873E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0.4462</w:t>
            </w:r>
          </w:p>
        </w:tc>
      </w:tr>
      <w:tr w:rsidR="00095B7C" w:rsidRPr="00095B7C" w14:paraId="6C146ADA" w14:textId="77777777" w:rsidTr="00344913">
        <w:tc>
          <w:tcPr>
            <w:tcW w:w="129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3E9630" w14:textId="77777777" w:rsidR="00095B7C" w:rsidRPr="00095B7C" w:rsidRDefault="00095B7C" w:rsidP="00095B7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COPD-related HCRU at 12 months</w:t>
            </w:r>
          </w:p>
        </w:tc>
      </w:tr>
      <w:tr w:rsidR="00095B7C" w:rsidRPr="00095B7C" w14:paraId="1C586179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2EF8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of prescriptions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D10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0.85 (0.83, 0.88)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2FAA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62DB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0.90 (0.86, 0.93)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13B9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&lt;0.0001</w:t>
            </w:r>
          </w:p>
        </w:tc>
      </w:tr>
      <w:tr w:rsidR="00095B7C" w:rsidRPr="00095B7C" w14:paraId="194960A1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A74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of GP visits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9028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0.55 (0.45, 0.68)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E3B5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D577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0.67 (0.50, 0.89)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08E0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0.0054</w:t>
            </w:r>
          </w:p>
        </w:tc>
      </w:tr>
      <w:tr w:rsidR="00095B7C" w:rsidRPr="00095B7C" w14:paraId="56AE3443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BF81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Number of inpatients stays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887D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0.97 (0.37, 2.56)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E7F9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0.9567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F6A7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0.72 (0.29, 1.77)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2B2D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0.4741</w:t>
            </w:r>
          </w:p>
        </w:tc>
      </w:tr>
      <w:tr w:rsidR="00095B7C" w:rsidRPr="00095B7C" w14:paraId="620CC663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E326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of A&amp;E visits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2FD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1.12 (0.24, 5.25)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97C7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0.8840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9D3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1.17 (0.25, 5.45)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EEE0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0.8400</w:t>
            </w:r>
          </w:p>
        </w:tc>
      </w:tr>
      <w:tr w:rsidR="00095B7C" w:rsidRPr="00095B7C" w14:paraId="38C7E733" w14:textId="77777777" w:rsidTr="00344913">
        <w:tc>
          <w:tcPr>
            <w:tcW w:w="1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3BAF4" w14:textId="77777777" w:rsidR="00095B7C" w:rsidRPr="00095B7C" w:rsidRDefault="00095B7C" w:rsidP="00095B7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All-cause HCRU at 12 months</w:t>
            </w:r>
          </w:p>
        </w:tc>
      </w:tr>
      <w:tr w:rsidR="00095B7C" w:rsidRPr="00095B7C" w14:paraId="5B1840AE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7115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of prescriptions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1F81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0.84 (0.68, 1.05)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486A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0.1235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FF5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0.86 (0.69, 1.05)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D8E9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0.1412</w:t>
            </w:r>
          </w:p>
        </w:tc>
      </w:tr>
      <w:tr w:rsidR="00095B7C" w:rsidRPr="00095B7C" w14:paraId="6B4E98DF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2B7A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of GP visits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C01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0.73 (0.61, 0.88)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D560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0.0007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B099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0.74 (0.60, 0.91)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A6A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0.0051</w:t>
            </w:r>
          </w:p>
        </w:tc>
      </w:tr>
      <w:tr w:rsidR="00095B7C" w:rsidRPr="00095B7C" w14:paraId="34709BAC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A550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of inpatients stays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C31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0.88 (0.53, 1.45)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C2DE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0.6149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933F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0.74 (0.36, 1.53)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8E2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0.4188</w:t>
            </w:r>
          </w:p>
        </w:tc>
      </w:tr>
      <w:tr w:rsidR="00095B7C" w:rsidRPr="00095B7C" w14:paraId="08004D31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EFD9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of A&amp;E visits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33E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0.70 (0.42, 1.15)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A147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0.1597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F1A4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0.59 (0.35, 0.99)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FA0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0.0472</w:t>
            </w:r>
          </w:p>
        </w:tc>
      </w:tr>
      <w:tr w:rsidR="00095B7C" w:rsidRPr="00095B7C" w14:paraId="621C26AD" w14:textId="77777777" w:rsidTr="00344913">
        <w:tc>
          <w:tcPr>
            <w:tcW w:w="1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1870" w14:textId="77777777" w:rsidR="00095B7C" w:rsidRPr="00095B7C" w:rsidRDefault="00095B7C" w:rsidP="00095B7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COPD-related medical costs at 12 months</w:t>
            </w: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n-GB"/>
              </w:rPr>
              <w:t>b</w:t>
            </w:r>
          </w:p>
        </w:tc>
      </w:tr>
      <w:tr w:rsidR="00095B7C" w:rsidRPr="00095B7C" w14:paraId="357D74D3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9835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Prescriptions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0F87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0.91 (0.78, 1.07)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ABFF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0.2394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C6F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1.01 (0.90, 1.15)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769F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0.8214</w:t>
            </w:r>
          </w:p>
        </w:tc>
      </w:tr>
      <w:tr w:rsidR="00095B7C" w:rsidRPr="00095B7C" w14:paraId="7CE09B54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8BEF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GP visits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1C07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0.50 (0.39, 0.63)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07F7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7D41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0.72 (0.50, 1.05)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705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0.0867</w:t>
            </w:r>
          </w:p>
        </w:tc>
      </w:tr>
      <w:tr w:rsidR="00095B7C" w:rsidRPr="00095B7C" w14:paraId="2A6F7872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CE6A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Inpatients stays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9DB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1.03 (0.33, 3.15)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1E59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0.9649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092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0.63 (0.21, 1.89)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3E28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0.4115</w:t>
            </w:r>
          </w:p>
        </w:tc>
      </w:tr>
      <w:tr w:rsidR="00095B7C" w:rsidRPr="00095B7C" w14:paraId="58F0A56C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872E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A&amp;E visits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BA6B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1.17 (0.28, 4.92)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204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0.8263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57AA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1.18 (0.27, 5.15)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0A66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0.8268</w:t>
            </w:r>
          </w:p>
        </w:tc>
      </w:tr>
      <w:tr w:rsidR="00095B7C" w:rsidRPr="00095B7C" w14:paraId="60917B98" w14:textId="77777777" w:rsidTr="00344913">
        <w:tc>
          <w:tcPr>
            <w:tcW w:w="1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0D2F" w14:textId="77777777" w:rsidR="00095B7C" w:rsidRPr="00095B7C" w:rsidRDefault="00095B7C" w:rsidP="00095B7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All-cause medical costs at 12 months</w:t>
            </w: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en-GB"/>
              </w:rPr>
              <w:t>b</w:t>
            </w:r>
          </w:p>
        </w:tc>
      </w:tr>
      <w:tr w:rsidR="00095B7C" w:rsidRPr="00095B7C" w14:paraId="39CBCD5B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66E9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Prescriptions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BD9AD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0.88 (0.75, 1.05)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AA44E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0.1523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E11B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0.93 (0.77, 1.13)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4B7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0.4809</w:t>
            </w:r>
          </w:p>
        </w:tc>
      </w:tr>
      <w:tr w:rsidR="00095B7C" w:rsidRPr="00095B7C" w14:paraId="3F5FF731" w14:textId="77777777" w:rsidTr="00344913">
        <w:trPr>
          <w:trHeight w:val="17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F8E5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GP visits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6450E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</w:t>
            </w: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 (0.60, 0.85)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3F816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0.0002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14135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0.82 (0.62, 1.09)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403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0.1774</w:t>
            </w:r>
          </w:p>
        </w:tc>
      </w:tr>
      <w:tr w:rsidR="00095B7C" w:rsidRPr="00095B7C" w14:paraId="6CFFC448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1E2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Inpatients stays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E583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1.37 (0.85, 2.21)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A61FD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0.1935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E8FF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1.26 (0.77, 2.06)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06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0.3610</w:t>
            </w:r>
          </w:p>
        </w:tc>
      </w:tr>
      <w:tr w:rsidR="00095B7C" w:rsidRPr="00095B7C" w14:paraId="6EE386A1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EF13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A&amp;E visits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57B8E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0.62 (0.35, 1.10)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1AD49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0.1043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93E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0.47 (0.25, 0.89)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CBD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0.0213</w:t>
            </w:r>
          </w:p>
        </w:tc>
      </w:tr>
      <w:tr w:rsidR="00095B7C" w:rsidRPr="00095B7C" w14:paraId="7D2762F1" w14:textId="77777777" w:rsidTr="00344913">
        <w:tc>
          <w:tcPr>
            <w:tcW w:w="1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B0C2A1" w14:textId="77777777" w:rsidR="00095B7C" w:rsidRPr="00095B7C" w:rsidRDefault="00095B7C" w:rsidP="00095B7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COPD-related total medical costs</w:t>
            </w:r>
          </w:p>
        </w:tc>
      </w:tr>
      <w:tr w:rsidR="00095B7C" w:rsidRPr="00095B7C" w14:paraId="589B3F4C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AA30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 months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CF058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0.89 (0.50, 1.57)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320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0.6782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4995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0.78 (0.47, 1.30)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BEEB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0.3444</w:t>
            </w:r>
          </w:p>
        </w:tc>
      </w:tr>
      <w:tr w:rsidR="00095B7C" w:rsidRPr="00095B7C" w14:paraId="360C44F8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F40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 months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3AF85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0.94 (0.54, 1.62)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4FEB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0.8192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3B29A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0.77 (0.50, 1.17)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9BAF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0.2184</w:t>
            </w:r>
          </w:p>
        </w:tc>
      </w:tr>
      <w:tr w:rsidR="00095B7C" w:rsidRPr="00095B7C" w14:paraId="2935C7E6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A102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 months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3851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1.10 (0.66, 1.82)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7FC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0.7163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EAD3A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0.88 (0.59, 1.32)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32E8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0.5345</w:t>
            </w:r>
          </w:p>
        </w:tc>
      </w:tr>
      <w:tr w:rsidR="00095B7C" w:rsidRPr="00095B7C" w14:paraId="08DAA0F4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8AD4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 months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8EB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1.13 (</w:t>
            </w: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0.69, 1.85)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E9D1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0.6168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BA07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0.93 (0.62, 1.38)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5821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0.7042</w:t>
            </w:r>
          </w:p>
        </w:tc>
      </w:tr>
      <w:tr w:rsidR="00095B7C" w:rsidRPr="00095B7C" w14:paraId="064E463A" w14:textId="77777777" w:rsidTr="00344913">
        <w:trPr>
          <w:trHeight w:val="202"/>
        </w:trPr>
        <w:tc>
          <w:tcPr>
            <w:tcW w:w="12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59E3" w14:textId="77777777" w:rsidR="00095B7C" w:rsidRPr="00095B7C" w:rsidRDefault="00095B7C" w:rsidP="00095B7C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All-cause total medical costs</w:t>
            </w:r>
          </w:p>
        </w:tc>
      </w:tr>
      <w:tr w:rsidR="00095B7C" w:rsidRPr="00095B7C" w14:paraId="646FD068" w14:textId="77777777" w:rsidTr="00344913">
        <w:trPr>
          <w:trHeight w:val="87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D852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 months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F6C93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1.18 (0.85, 1.65)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260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0.3287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ED7F2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1.19 (0.84, 1.69)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4E69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0.3238</w:t>
            </w:r>
          </w:p>
        </w:tc>
      </w:tr>
      <w:tr w:rsidR="00095B7C" w:rsidRPr="00095B7C" w14:paraId="66959B03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23D0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 months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A9F8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1.09 (0.79, 1.50)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6CE7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0.5972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C3A4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0.97 (0.71, 1.33)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4FBB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0.8622</w:t>
            </w:r>
          </w:p>
        </w:tc>
      </w:tr>
      <w:tr w:rsidR="00095B7C" w:rsidRPr="00095B7C" w14:paraId="2377CE93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B961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 months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C7850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1.23 (0.91, 1.66)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3FC5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0.1770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B56F0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1.08 (0.80, 1.46)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FE04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0.6233</w:t>
            </w:r>
          </w:p>
        </w:tc>
      </w:tr>
      <w:tr w:rsidR="00095B7C" w:rsidRPr="00095B7C" w14:paraId="7C101C61" w14:textId="77777777" w:rsidTr="00344913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9F30" w14:textId="77777777" w:rsidR="00095B7C" w:rsidRPr="00095B7C" w:rsidRDefault="00095B7C" w:rsidP="00095B7C">
            <w:pPr>
              <w:ind w:left="306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 months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3E0B6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1.26 (0.95, 1.69)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6BA6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0.1106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EAEB8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1.14 (0.85, 1.53)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CCF1" w14:textId="77777777" w:rsidR="00095B7C" w:rsidRPr="00095B7C" w:rsidRDefault="00095B7C" w:rsidP="00095B7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0.3813</w:t>
            </w:r>
          </w:p>
        </w:tc>
      </w:tr>
    </w:tbl>
    <w:p w14:paraId="111DA58F" w14:textId="77777777" w:rsidR="00095B7C" w:rsidRPr="00095B7C" w:rsidRDefault="00095B7C" w:rsidP="00095B7C">
      <w:pPr>
        <w:spacing w:after="220" w:line="48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a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 xml:space="preserve">Post hoc analyses; </w:t>
      </w:r>
      <w:r w:rsidRPr="00095B7C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b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Per patient per year. A&amp;E, Accident and Emergency; COPD, chronic obstructive pulmonary disease; CI, confidence interval; GP, general practitioner; HCRU, healthcare resource utilization; IPTW, inverse probability of treatment weighting;</w:t>
      </w:r>
      <w:r w:rsidRPr="00095B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PDC, proportion of days covered</w:t>
      </w:r>
      <w:r w:rsidRPr="00095B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.</w:t>
      </w:r>
    </w:p>
    <w:p w14:paraId="39651D37" w14:textId="77777777" w:rsidR="00095B7C" w:rsidRPr="00095B7C" w:rsidRDefault="00095B7C" w:rsidP="00095B7C">
      <w:pPr>
        <w:spacing w:after="220" w:line="360" w:lineRule="auto"/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sectPr w:rsidR="00095B7C" w:rsidRPr="00095B7C" w:rsidSect="00E939F4">
          <w:pgSz w:w="16838" w:h="11906" w:orient="landscape"/>
          <w:pgMar w:top="1440" w:right="1440" w:bottom="1440" w:left="1440" w:header="708" w:footer="708" w:gutter="0"/>
          <w:lnNumType w:countBy="1" w:restart="continuous"/>
          <w:cols w:space="708"/>
          <w:docGrid w:linePitch="360"/>
        </w:sectPr>
      </w:pPr>
    </w:p>
    <w:p w14:paraId="771E9EA5" w14:textId="77777777" w:rsidR="00095B7C" w:rsidRPr="00095B7C" w:rsidRDefault="00095B7C" w:rsidP="00095B7C">
      <w:pPr>
        <w:spacing w:after="220" w:line="48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 xml:space="preserve">Supplementary Table 3. 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Proportion of patients adherent (PDC≥80%) at 6, 18, and 24 months post-index</w:t>
      </w:r>
    </w:p>
    <w:tbl>
      <w:tblPr>
        <w:tblStyle w:val="TableGrid1"/>
        <w:tblW w:w="5090" w:type="pct"/>
        <w:tblLook w:val="04A0" w:firstRow="1" w:lastRow="0" w:firstColumn="1" w:lastColumn="0" w:noHBand="0" w:noVBand="1"/>
      </w:tblPr>
      <w:tblGrid>
        <w:gridCol w:w="2281"/>
        <w:gridCol w:w="1543"/>
        <w:gridCol w:w="1548"/>
        <w:gridCol w:w="1538"/>
        <w:gridCol w:w="1542"/>
      </w:tblGrid>
      <w:tr w:rsidR="00095B7C" w:rsidRPr="00095B7C" w14:paraId="145AFC35" w14:textId="77777777" w:rsidTr="00344913">
        <w:trPr>
          <w:trHeight w:val="149"/>
        </w:trPr>
        <w:tc>
          <w:tcPr>
            <w:tcW w:w="1349" w:type="pct"/>
            <w:vMerge w:val="restart"/>
            <w:shd w:val="clear" w:color="auto" w:fill="auto"/>
            <w:vAlign w:val="center"/>
          </w:tcPr>
          <w:p w14:paraId="6CB90DB5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Patients with </w:t>
            </w: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br/>
              <w:t>PCD ≥80% (%)</w:t>
            </w:r>
          </w:p>
        </w:tc>
        <w:tc>
          <w:tcPr>
            <w:tcW w:w="1829" w:type="pct"/>
            <w:gridSpan w:val="2"/>
            <w:shd w:val="clear" w:color="auto" w:fill="auto"/>
            <w:vAlign w:val="center"/>
          </w:tcPr>
          <w:p w14:paraId="124FDD01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Unweighted</w:t>
            </w:r>
          </w:p>
        </w:tc>
        <w:tc>
          <w:tcPr>
            <w:tcW w:w="1822" w:type="pct"/>
            <w:gridSpan w:val="2"/>
            <w:shd w:val="clear" w:color="auto" w:fill="auto"/>
            <w:vAlign w:val="center"/>
          </w:tcPr>
          <w:p w14:paraId="1CDE39C5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Weighted</w:t>
            </w:r>
          </w:p>
        </w:tc>
      </w:tr>
      <w:tr w:rsidR="00095B7C" w:rsidRPr="00095B7C" w14:paraId="776002A9" w14:textId="77777777" w:rsidTr="00344913">
        <w:trPr>
          <w:trHeight w:val="158"/>
        </w:trPr>
        <w:tc>
          <w:tcPr>
            <w:tcW w:w="1349" w:type="pct"/>
            <w:vMerge/>
            <w:shd w:val="clear" w:color="auto" w:fill="auto"/>
            <w:vAlign w:val="center"/>
          </w:tcPr>
          <w:p w14:paraId="018A353B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2E28BFD9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UMEC/VI</w:t>
            </w:r>
          </w:p>
        </w:tc>
        <w:tc>
          <w:tcPr>
            <w:tcW w:w="916" w:type="pct"/>
          </w:tcPr>
          <w:p w14:paraId="6C54B023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ICS/LABA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07F61EEC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UMEC/VI</w:t>
            </w:r>
          </w:p>
        </w:tc>
        <w:tc>
          <w:tcPr>
            <w:tcW w:w="912" w:type="pct"/>
          </w:tcPr>
          <w:p w14:paraId="080D0AB2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ICS/LABA</w:t>
            </w:r>
          </w:p>
        </w:tc>
      </w:tr>
      <w:tr w:rsidR="00095B7C" w:rsidRPr="00095B7C" w14:paraId="06D69637" w14:textId="77777777" w:rsidTr="00344913">
        <w:trPr>
          <w:trHeight w:val="292"/>
        </w:trPr>
        <w:tc>
          <w:tcPr>
            <w:tcW w:w="1349" w:type="pct"/>
            <w:shd w:val="clear" w:color="auto" w:fill="auto"/>
          </w:tcPr>
          <w:p w14:paraId="39530FD8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 months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293B473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62.2</w:t>
            </w:r>
          </w:p>
        </w:tc>
        <w:tc>
          <w:tcPr>
            <w:tcW w:w="916" w:type="pct"/>
          </w:tcPr>
          <w:p w14:paraId="377E7798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51.0</w:t>
            </w:r>
          </w:p>
        </w:tc>
        <w:tc>
          <w:tcPr>
            <w:tcW w:w="910" w:type="pct"/>
          </w:tcPr>
          <w:p w14:paraId="09BED791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64.3</w:t>
            </w:r>
          </w:p>
        </w:tc>
        <w:tc>
          <w:tcPr>
            <w:tcW w:w="912" w:type="pct"/>
          </w:tcPr>
          <w:p w14:paraId="796084E1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52.4</w:t>
            </w:r>
          </w:p>
        </w:tc>
      </w:tr>
      <w:tr w:rsidR="00095B7C" w:rsidRPr="00095B7C" w14:paraId="7D9738E4" w14:textId="77777777" w:rsidTr="00344913">
        <w:trPr>
          <w:trHeight w:val="149"/>
        </w:trPr>
        <w:tc>
          <w:tcPr>
            <w:tcW w:w="1349" w:type="pct"/>
            <w:shd w:val="clear" w:color="auto" w:fill="auto"/>
          </w:tcPr>
          <w:p w14:paraId="714D73CD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 months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36065AD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49.6</w:t>
            </w:r>
          </w:p>
        </w:tc>
        <w:tc>
          <w:tcPr>
            <w:tcW w:w="916" w:type="pct"/>
          </w:tcPr>
          <w:p w14:paraId="64296E65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37.9</w:t>
            </w:r>
          </w:p>
        </w:tc>
        <w:tc>
          <w:tcPr>
            <w:tcW w:w="910" w:type="pct"/>
          </w:tcPr>
          <w:p w14:paraId="247CFCA6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51.4</w:t>
            </w:r>
          </w:p>
        </w:tc>
        <w:tc>
          <w:tcPr>
            <w:tcW w:w="912" w:type="pct"/>
          </w:tcPr>
          <w:p w14:paraId="69F52B9E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39.5</w:t>
            </w:r>
          </w:p>
        </w:tc>
      </w:tr>
      <w:tr w:rsidR="00095B7C" w:rsidRPr="00095B7C" w14:paraId="762AF1F9" w14:textId="77777777" w:rsidTr="00344913">
        <w:trPr>
          <w:trHeight w:val="292"/>
        </w:trPr>
        <w:tc>
          <w:tcPr>
            <w:tcW w:w="1349" w:type="pct"/>
            <w:shd w:val="clear" w:color="auto" w:fill="auto"/>
          </w:tcPr>
          <w:p w14:paraId="2D6E83A2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 months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3BC9A9F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41.1</w:t>
            </w:r>
          </w:p>
        </w:tc>
        <w:tc>
          <w:tcPr>
            <w:tcW w:w="916" w:type="pct"/>
          </w:tcPr>
          <w:p w14:paraId="75848526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33.3</w:t>
            </w:r>
          </w:p>
        </w:tc>
        <w:tc>
          <w:tcPr>
            <w:tcW w:w="910" w:type="pct"/>
            <w:vAlign w:val="center"/>
          </w:tcPr>
          <w:p w14:paraId="77F4F644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41.1</w:t>
            </w:r>
          </w:p>
        </w:tc>
        <w:tc>
          <w:tcPr>
            <w:tcW w:w="912" w:type="pct"/>
          </w:tcPr>
          <w:p w14:paraId="0B988B76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33.8</w:t>
            </w:r>
          </w:p>
        </w:tc>
      </w:tr>
    </w:tbl>
    <w:p w14:paraId="6891E1EE" w14:textId="77777777" w:rsidR="00095B7C" w:rsidRPr="00095B7C" w:rsidRDefault="00095B7C" w:rsidP="00095B7C">
      <w:pPr>
        <w:spacing w:after="2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F9546B2" w14:textId="77777777" w:rsidR="00095B7C" w:rsidRPr="00095B7C" w:rsidRDefault="00095B7C" w:rsidP="00095B7C">
      <w:pPr>
        <w:spacing w:after="220" w:line="48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sz w:val="20"/>
          <w:szCs w:val="20"/>
          <w:lang w:eastAsia="en-GB"/>
        </w:rPr>
        <w:t>ICS, inhaled corticosteroid; LABA, long-acting β</w:t>
      </w:r>
      <w:r w:rsidRPr="00095B7C">
        <w:rPr>
          <w:rFonts w:ascii="Arial" w:eastAsia="Times New Roman" w:hAnsi="Arial" w:cs="Arial"/>
          <w:sz w:val="20"/>
          <w:szCs w:val="20"/>
          <w:vertAlign w:val="subscript"/>
          <w:lang w:eastAsia="en-GB"/>
        </w:rPr>
        <w:t>2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-agonist; PDC, proportion of days covered; UMEC, umeclidinium; VI, vilanterol.</w:t>
      </w:r>
    </w:p>
    <w:p w14:paraId="0B0938B5" w14:textId="77777777" w:rsidR="00095B7C" w:rsidRPr="00095B7C" w:rsidRDefault="00095B7C" w:rsidP="00095B7C">
      <w:pPr>
        <w:spacing w:after="220" w:line="240" w:lineRule="auto"/>
        <w:rPr>
          <w:rFonts w:ascii="Calibri" w:eastAsia="Times New Roman" w:hAnsi="Calibri" w:cs="Calibri"/>
          <w:b/>
          <w:bCs/>
          <w:sz w:val="20"/>
          <w:szCs w:val="20"/>
          <w:lang w:eastAsia="en-GB"/>
        </w:rPr>
        <w:sectPr w:rsidR="00095B7C" w:rsidRPr="00095B7C" w:rsidSect="00E939F4">
          <w:type w:val="continuous"/>
          <w:pgSz w:w="11907" w:h="16840" w:code="9"/>
          <w:pgMar w:top="1440" w:right="1797" w:bottom="1440" w:left="1797" w:header="720" w:footer="720" w:gutter="0"/>
          <w:lnNumType w:countBy="1" w:restart="continuous"/>
          <w:cols w:space="720"/>
          <w:docGrid w:linePitch="360"/>
        </w:sectPr>
      </w:pPr>
    </w:p>
    <w:p w14:paraId="7BD12C20" w14:textId="77777777" w:rsidR="00095B7C" w:rsidRPr="00095B7C" w:rsidRDefault="00095B7C" w:rsidP="00095B7C">
      <w:pPr>
        <w:spacing w:after="220" w:line="48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Supplementary Table 4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. Incidence of COPD-related and all-cause HCRU use at 12 months post-index</w:t>
      </w:r>
    </w:p>
    <w:tbl>
      <w:tblPr>
        <w:tblStyle w:val="TableGrid1"/>
        <w:tblW w:w="5090" w:type="pct"/>
        <w:tblLook w:val="04A0" w:firstRow="1" w:lastRow="0" w:firstColumn="1" w:lastColumn="0" w:noHBand="0" w:noVBand="1"/>
      </w:tblPr>
      <w:tblGrid>
        <w:gridCol w:w="2281"/>
        <w:gridCol w:w="1543"/>
        <w:gridCol w:w="1548"/>
        <w:gridCol w:w="1538"/>
        <w:gridCol w:w="1542"/>
      </w:tblGrid>
      <w:tr w:rsidR="00095B7C" w:rsidRPr="00095B7C" w14:paraId="3843ADEE" w14:textId="77777777" w:rsidTr="00344913">
        <w:trPr>
          <w:trHeight w:val="149"/>
        </w:trPr>
        <w:tc>
          <w:tcPr>
            <w:tcW w:w="1349" w:type="pct"/>
            <w:vMerge w:val="restart"/>
            <w:shd w:val="clear" w:color="auto" w:fill="auto"/>
            <w:vAlign w:val="center"/>
          </w:tcPr>
          <w:p w14:paraId="2296C68E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651" w:type="pct"/>
            <w:gridSpan w:val="4"/>
            <w:shd w:val="clear" w:color="auto" w:fill="auto"/>
            <w:vAlign w:val="center"/>
          </w:tcPr>
          <w:p w14:paraId="0D4C040A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HCRU, mean per person per day</w:t>
            </w:r>
          </w:p>
        </w:tc>
      </w:tr>
      <w:tr w:rsidR="00095B7C" w:rsidRPr="00095B7C" w14:paraId="34788F23" w14:textId="77777777" w:rsidTr="00344913">
        <w:trPr>
          <w:trHeight w:val="149"/>
        </w:trPr>
        <w:tc>
          <w:tcPr>
            <w:tcW w:w="1349" w:type="pct"/>
            <w:vMerge/>
            <w:shd w:val="clear" w:color="auto" w:fill="auto"/>
            <w:vAlign w:val="center"/>
          </w:tcPr>
          <w:p w14:paraId="17744314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29" w:type="pct"/>
            <w:gridSpan w:val="2"/>
            <w:shd w:val="clear" w:color="auto" w:fill="auto"/>
            <w:vAlign w:val="center"/>
          </w:tcPr>
          <w:p w14:paraId="623E11E8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Unweighted</w:t>
            </w:r>
          </w:p>
        </w:tc>
        <w:tc>
          <w:tcPr>
            <w:tcW w:w="1822" w:type="pct"/>
            <w:gridSpan w:val="2"/>
            <w:shd w:val="clear" w:color="auto" w:fill="auto"/>
            <w:vAlign w:val="center"/>
          </w:tcPr>
          <w:p w14:paraId="0241E19A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Weighted</w:t>
            </w:r>
          </w:p>
        </w:tc>
      </w:tr>
      <w:tr w:rsidR="00095B7C" w:rsidRPr="00095B7C" w14:paraId="46C55329" w14:textId="77777777" w:rsidTr="00344913">
        <w:trPr>
          <w:trHeight w:val="158"/>
        </w:trPr>
        <w:tc>
          <w:tcPr>
            <w:tcW w:w="1349" w:type="pct"/>
            <w:vMerge/>
            <w:shd w:val="clear" w:color="auto" w:fill="auto"/>
            <w:vAlign w:val="center"/>
          </w:tcPr>
          <w:p w14:paraId="1018026B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04217F0B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UMEC/VI</w:t>
            </w:r>
          </w:p>
        </w:tc>
        <w:tc>
          <w:tcPr>
            <w:tcW w:w="916" w:type="pct"/>
          </w:tcPr>
          <w:p w14:paraId="14137701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ICS/LABA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49C92912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UMEC/VI</w:t>
            </w:r>
          </w:p>
        </w:tc>
        <w:tc>
          <w:tcPr>
            <w:tcW w:w="912" w:type="pct"/>
          </w:tcPr>
          <w:p w14:paraId="45396ADC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ICS/LABA</w:t>
            </w:r>
          </w:p>
        </w:tc>
      </w:tr>
      <w:tr w:rsidR="00095B7C" w:rsidRPr="00095B7C" w14:paraId="70E3F8DA" w14:textId="77777777" w:rsidTr="00344913">
        <w:trPr>
          <w:trHeight w:val="30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B14328D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COPD-related</w:t>
            </w:r>
          </w:p>
        </w:tc>
      </w:tr>
      <w:tr w:rsidR="00095B7C" w:rsidRPr="00095B7C" w14:paraId="6B06DBB2" w14:textId="77777777" w:rsidTr="00344913">
        <w:trPr>
          <w:trHeight w:val="292"/>
        </w:trPr>
        <w:tc>
          <w:tcPr>
            <w:tcW w:w="1349" w:type="pct"/>
            <w:shd w:val="clear" w:color="auto" w:fill="auto"/>
          </w:tcPr>
          <w:p w14:paraId="74CEB4C9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Prescriptions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38FA6AF2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916" w:type="pct"/>
          </w:tcPr>
          <w:p w14:paraId="79E59D5A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910" w:type="pct"/>
          </w:tcPr>
          <w:p w14:paraId="78D284EC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912" w:type="pct"/>
          </w:tcPr>
          <w:p w14:paraId="3F423C0F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0.03</w:t>
            </w:r>
          </w:p>
        </w:tc>
      </w:tr>
      <w:tr w:rsidR="00095B7C" w:rsidRPr="00095B7C" w14:paraId="3C3470B6" w14:textId="77777777" w:rsidTr="00344913">
        <w:trPr>
          <w:trHeight w:val="149"/>
        </w:trPr>
        <w:tc>
          <w:tcPr>
            <w:tcW w:w="1349" w:type="pct"/>
            <w:shd w:val="clear" w:color="auto" w:fill="auto"/>
          </w:tcPr>
          <w:p w14:paraId="01272A1D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GP visits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5687441F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  <w:tc>
          <w:tcPr>
            <w:tcW w:w="916" w:type="pct"/>
          </w:tcPr>
          <w:p w14:paraId="1E4D2BD6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  <w:tc>
          <w:tcPr>
            <w:tcW w:w="910" w:type="pct"/>
          </w:tcPr>
          <w:p w14:paraId="11977621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  <w:tc>
          <w:tcPr>
            <w:tcW w:w="912" w:type="pct"/>
          </w:tcPr>
          <w:p w14:paraId="7A9B8B1A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0.01</w:t>
            </w:r>
          </w:p>
        </w:tc>
      </w:tr>
      <w:tr w:rsidR="00095B7C" w:rsidRPr="00095B7C" w14:paraId="0748FF38" w14:textId="77777777" w:rsidTr="00344913">
        <w:trPr>
          <w:trHeight w:val="292"/>
        </w:trPr>
        <w:tc>
          <w:tcPr>
            <w:tcW w:w="1349" w:type="pct"/>
            <w:shd w:val="clear" w:color="auto" w:fill="auto"/>
          </w:tcPr>
          <w:p w14:paraId="42D4D128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Inpatient stays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968B99A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  <w:tc>
          <w:tcPr>
            <w:tcW w:w="916" w:type="pct"/>
          </w:tcPr>
          <w:p w14:paraId="41A5537D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  <w:tc>
          <w:tcPr>
            <w:tcW w:w="910" w:type="pct"/>
            <w:vAlign w:val="center"/>
          </w:tcPr>
          <w:p w14:paraId="7E80B6B3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  <w:tc>
          <w:tcPr>
            <w:tcW w:w="912" w:type="pct"/>
          </w:tcPr>
          <w:p w14:paraId="2AEDFE7E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</w:tr>
      <w:tr w:rsidR="00095B7C" w:rsidRPr="00095B7C" w14:paraId="433CBBA3" w14:textId="77777777" w:rsidTr="00344913">
        <w:trPr>
          <w:trHeight w:val="62"/>
        </w:trPr>
        <w:tc>
          <w:tcPr>
            <w:tcW w:w="1349" w:type="pct"/>
            <w:shd w:val="clear" w:color="auto" w:fill="auto"/>
          </w:tcPr>
          <w:p w14:paraId="1673B9D9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A&amp;E visits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0AD7DA4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  <w:tc>
          <w:tcPr>
            <w:tcW w:w="916" w:type="pct"/>
          </w:tcPr>
          <w:p w14:paraId="4AB9E52D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  <w:tc>
          <w:tcPr>
            <w:tcW w:w="910" w:type="pct"/>
            <w:vAlign w:val="center"/>
          </w:tcPr>
          <w:p w14:paraId="5899DF11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  <w:tc>
          <w:tcPr>
            <w:tcW w:w="912" w:type="pct"/>
          </w:tcPr>
          <w:p w14:paraId="220F6259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</w:tr>
      <w:tr w:rsidR="00095B7C" w:rsidRPr="00095B7C" w14:paraId="7428E893" w14:textId="77777777" w:rsidTr="00344913">
        <w:trPr>
          <w:trHeight w:val="62"/>
        </w:trPr>
        <w:tc>
          <w:tcPr>
            <w:tcW w:w="1349" w:type="pct"/>
            <w:shd w:val="clear" w:color="auto" w:fill="auto"/>
          </w:tcPr>
          <w:p w14:paraId="0BF724C0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All-cause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34986A2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16" w:type="pct"/>
          </w:tcPr>
          <w:p w14:paraId="56BEC71F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10" w:type="pct"/>
            <w:vAlign w:val="center"/>
          </w:tcPr>
          <w:p w14:paraId="6FE9DB08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12" w:type="pct"/>
          </w:tcPr>
          <w:p w14:paraId="7984BBE3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95B7C" w:rsidRPr="00095B7C" w14:paraId="4CAFA73B" w14:textId="77777777" w:rsidTr="00344913">
        <w:trPr>
          <w:trHeight w:val="62"/>
        </w:trPr>
        <w:tc>
          <w:tcPr>
            <w:tcW w:w="1349" w:type="pct"/>
            <w:shd w:val="clear" w:color="auto" w:fill="auto"/>
          </w:tcPr>
          <w:p w14:paraId="606F4C02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Prescriptions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8C3C544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0.22</w:t>
            </w:r>
          </w:p>
        </w:tc>
        <w:tc>
          <w:tcPr>
            <w:tcW w:w="916" w:type="pct"/>
          </w:tcPr>
          <w:p w14:paraId="797381B0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0.21</w:t>
            </w:r>
          </w:p>
        </w:tc>
        <w:tc>
          <w:tcPr>
            <w:tcW w:w="910" w:type="pct"/>
            <w:vAlign w:val="center"/>
          </w:tcPr>
          <w:p w14:paraId="5F4341C9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0.21</w:t>
            </w:r>
          </w:p>
        </w:tc>
        <w:tc>
          <w:tcPr>
            <w:tcW w:w="912" w:type="pct"/>
          </w:tcPr>
          <w:p w14:paraId="323F97CF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0.20</w:t>
            </w:r>
          </w:p>
        </w:tc>
      </w:tr>
      <w:tr w:rsidR="00095B7C" w:rsidRPr="00095B7C" w14:paraId="61FDEC74" w14:textId="77777777" w:rsidTr="00344913">
        <w:trPr>
          <w:trHeight w:val="62"/>
        </w:trPr>
        <w:tc>
          <w:tcPr>
            <w:tcW w:w="1349" w:type="pct"/>
            <w:shd w:val="clear" w:color="auto" w:fill="auto"/>
          </w:tcPr>
          <w:p w14:paraId="09AF63C5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GP visits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28932E2C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916" w:type="pct"/>
          </w:tcPr>
          <w:p w14:paraId="315F0AE7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0.04</w:t>
            </w:r>
          </w:p>
        </w:tc>
        <w:tc>
          <w:tcPr>
            <w:tcW w:w="910" w:type="pct"/>
            <w:vAlign w:val="center"/>
          </w:tcPr>
          <w:p w14:paraId="26320D3F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0.03</w:t>
            </w:r>
          </w:p>
        </w:tc>
        <w:tc>
          <w:tcPr>
            <w:tcW w:w="912" w:type="pct"/>
          </w:tcPr>
          <w:p w14:paraId="6932EEBE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0.04</w:t>
            </w:r>
          </w:p>
        </w:tc>
      </w:tr>
      <w:tr w:rsidR="00095B7C" w:rsidRPr="00095B7C" w14:paraId="35672916" w14:textId="77777777" w:rsidTr="00344913">
        <w:trPr>
          <w:trHeight w:val="62"/>
        </w:trPr>
        <w:tc>
          <w:tcPr>
            <w:tcW w:w="1349" w:type="pct"/>
            <w:shd w:val="clear" w:color="auto" w:fill="auto"/>
          </w:tcPr>
          <w:p w14:paraId="6564FA86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Inpatient stays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DEBE575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  <w:tc>
          <w:tcPr>
            <w:tcW w:w="916" w:type="pct"/>
          </w:tcPr>
          <w:p w14:paraId="0DCEA03C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  <w:tc>
          <w:tcPr>
            <w:tcW w:w="910" w:type="pct"/>
            <w:vAlign w:val="center"/>
          </w:tcPr>
          <w:p w14:paraId="4AE5D279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  <w:tc>
          <w:tcPr>
            <w:tcW w:w="912" w:type="pct"/>
          </w:tcPr>
          <w:p w14:paraId="6DC83A08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</w:tr>
      <w:tr w:rsidR="00095B7C" w:rsidRPr="00095B7C" w14:paraId="7E26695C" w14:textId="77777777" w:rsidTr="00344913">
        <w:trPr>
          <w:trHeight w:val="62"/>
        </w:trPr>
        <w:tc>
          <w:tcPr>
            <w:tcW w:w="1349" w:type="pct"/>
            <w:shd w:val="clear" w:color="auto" w:fill="auto"/>
          </w:tcPr>
          <w:p w14:paraId="51A00549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A&amp;E visits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02F7A8A0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  <w:tc>
          <w:tcPr>
            <w:tcW w:w="916" w:type="pct"/>
          </w:tcPr>
          <w:p w14:paraId="720CB333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  <w:tc>
          <w:tcPr>
            <w:tcW w:w="910" w:type="pct"/>
            <w:vAlign w:val="center"/>
          </w:tcPr>
          <w:p w14:paraId="6C43AAC1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  <w:tc>
          <w:tcPr>
            <w:tcW w:w="912" w:type="pct"/>
          </w:tcPr>
          <w:p w14:paraId="7AFAAF5C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&lt;0.01</w:t>
            </w:r>
          </w:p>
        </w:tc>
      </w:tr>
    </w:tbl>
    <w:p w14:paraId="2A7A97DC" w14:textId="71D12E0D" w:rsidR="00095B7C" w:rsidRPr="00E934AA" w:rsidRDefault="00095B7C" w:rsidP="00E934AA">
      <w:pPr>
        <w:spacing w:after="220" w:line="48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sz w:val="20"/>
          <w:szCs w:val="20"/>
          <w:lang w:eastAsia="en-GB"/>
        </w:rPr>
        <w:t>A&amp;E, Accident and Emergency; COPD, chronic obstructive pulmonary disease; GP, general practitioner; HCRU, healthcare resource utilization; ICS, inhaled corticosteroid; LABA, long-acting β</w:t>
      </w:r>
      <w:r w:rsidRPr="00095B7C">
        <w:rPr>
          <w:rFonts w:ascii="Arial" w:eastAsia="Times New Roman" w:hAnsi="Arial" w:cs="Arial"/>
          <w:sz w:val="20"/>
          <w:szCs w:val="20"/>
          <w:vertAlign w:val="subscript"/>
          <w:lang w:eastAsia="en-GB"/>
        </w:rPr>
        <w:t>2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-agonist; UMEC, umeclidinium; VI, vilanterol.</w:t>
      </w:r>
      <w:r w:rsidRPr="00095B7C">
        <w:rPr>
          <w:rFonts w:ascii="Calibri" w:eastAsia="Times New Roman" w:hAnsi="Calibri" w:cs="Calibri"/>
          <w:sz w:val="20"/>
          <w:szCs w:val="20"/>
          <w:lang w:eastAsia="en-GB"/>
        </w:rPr>
        <w:br w:type="page"/>
      </w:r>
    </w:p>
    <w:p w14:paraId="3C2096F5" w14:textId="77777777" w:rsidR="00095B7C" w:rsidRPr="00095B7C" w:rsidRDefault="00095B7C" w:rsidP="00095B7C">
      <w:pPr>
        <w:spacing w:after="220" w:line="48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Supplementary Table 5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. COPD-related and all-cause HCRU costs at 12 months post-index</w:t>
      </w:r>
    </w:p>
    <w:tbl>
      <w:tblPr>
        <w:tblStyle w:val="TableGrid1"/>
        <w:tblW w:w="5090" w:type="pct"/>
        <w:tblLook w:val="04A0" w:firstRow="1" w:lastRow="0" w:firstColumn="1" w:lastColumn="0" w:noHBand="0" w:noVBand="1"/>
      </w:tblPr>
      <w:tblGrid>
        <w:gridCol w:w="2281"/>
        <w:gridCol w:w="1543"/>
        <w:gridCol w:w="1548"/>
        <w:gridCol w:w="1538"/>
        <w:gridCol w:w="1542"/>
      </w:tblGrid>
      <w:tr w:rsidR="00095B7C" w:rsidRPr="00095B7C" w14:paraId="52C2C867" w14:textId="77777777" w:rsidTr="00344913">
        <w:trPr>
          <w:trHeight w:val="149"/>
        </w:trPr>
        <w:tc>
          <w:tcPr>
            <w:tcW w:w="1349" w:type="pct"/>
            <w:vMerge w:val="restart"/>
            <w:shd w:val="clear" w:color="auto" w:fill="auto"/>
            <w:vAlign w:val="center"/>
          </w:tcPr>
          <w:p w14:paraId="494C0C25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651" w:type="pct"/>
            <w:gridSpan w:val="4"/>
            <w:shd w:val="clear" w:color="auto" w:fill="auto"/>
            <w:vAlign w:val="center"/>
          </w:tcPr>
          <w:p w14:paraId="057ACACD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Mean (SD) costs (GBP), per person per year</w:t>
            </w:r>
          </w:p>
        </w:tc>
      </w:tr>
      <w:tr w:rsidR="00095B7C" w:rsidRPr="00095B7C" w14:paraId="279CF5C8" w14:textId="77777777" w:rsidTr="00344913">
        <w:trPr>
          <w:trHeight w:val="149"/>
        </w:trPr>
        <w:tc>
          <w:tcPr>
            <w:tcW w:w="1349" w:type="pct"/>
            <w:vMerge/>
            <w:shd w:val="clear" w:color="auto" w:fill="auto"/>
            <w:vAlign w:val="center"/>
          </w:tcPr>
          <w:p w14:paraId="158EFE86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29" w:type="pct"/>
            <w:gridSpan w:val="2"/>
            <w:shd w:val="clear" w:color="auto" w:fill="auto"/>
            <w:vAlign w:val="center"/>
          </w:tcPr>
          <w:p w14:paraId="29C70BC2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Unweighted</w:t>
            </w:r>
          </w:p>
        </w:tc>
        <w:tc>
          <w:tcPr>
            <w:tcW w:w="1822" w:type="pct"/>
            <w:gridSpan w:val="2"/>
            <w:shd w:val="clear" w:color="auto" w:fill="auto"/>
            <w:vAlign w:val="center"/>
          </w:tcPr>
          <w:p w14:paraId="541AEA57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Weighted</w:t>
            </w:r>
          </w:p>
        </w:tc>
      </w:tr>
      <w:tr w:rsidR="00095B7C" w:rsidRPr="00095B7C" w14:paraId="607A91EB" w14:textId="77777777" w:rsidTr="00344913">
        <w:trPr>
          <w:trHeight w:val="158"/>
        </w:trPr>
        <w:tc>
          <w:tcPr>
            <w:tcW w:w="1349" w:type="pct"/>
            <w:vMerge/>
            <w:shd w:val="clear" w:color="auto" w:fill="auto"/>
            <w:vAlign w:val="center"/>
          </w:tcPr>
          <w:p w14:paraId="4B8DBBE4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13" w:type="pct"/>
            <w:shd w:val="clear" w:color="auto" w:fill="auto"/>
            <w:vAlign w:val="center"/>
          </w:tcPr>
          <w:p w14:paraId="176E098D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UMEC/VI</w:t>
            </w:r>
          </w:p>
        </w:tc>
        <w:tc>
          <w:tcPr>
            <w:tcW w:w="916" w:type="pct"/>
          </w:tcPr>
          <w:p w14:paraId="73711307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ICS/LABA</w:t>
            </w:r>
          </w:p>
        </w:tc>
        <w:tc>
          <w:tcPr>
            <w:tcW w:w="910" w:type="pct"/>
            <w:shd w:val="clear" w:color="auto" w:fill="auto"/>
            <w:vAlign w:val="center"/>
          </w:tcPr>
          <w:p w14:paraId="53F3E535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UMEC/VI</w:t>
            </w:r>
          </w:p>
        </w:tc>
        <w:tc>
          <w:tcPr>
            <w:tcW w:w="912" w:type="pct"/>
          </w:tcPr>
          <w:p w14:paraId="4EAD1139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ICS/LABA</w:t>
            </w:r>
          </w:p>
        </w:tc>
      </w:tr>
      <w:tr w:rsidR="00095B7C" w:rsidRPr="00095B7C" w14:paraId="0E594141" w14:textId="77777777" w:rsidTr="00344913">
        <w:trPr>
          <w:trHeight w:val="30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93CD8E2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COPD-related</w:t>
            </w:r>
          </w:p>
        </w:tc>
      </w:tr>
      <w:tr w:rsidR="00095B7C" w:rsidRPr="00095B7C" w14:paraId="7BB15459" w14:textId="77777777" w:rsidTr="00344913">
        <w:trPr>
          <w:trHeight w:val="292"/>
        </w:trPr>
        <w:tc>
          <w:tcPr>
            <w:tcW w:w="1349" w:type="pct"/>
            <w:shd w:val="clear" w:color="auto" w:fill="auto"/>
          </w:tcPr>
          <w:p w14:paraId="1129045A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Prescriptions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D98AAD6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331 (164.7)</w:t>
            </w:r>
          </w:p>
        </w:tc>
        <w:tc>
          <w:tcPr>
            <w:tcW w:w="916" w:type="pct"/>
          </w:tcPr>
          <w:p w14:paraId="14DED226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280 (198.9)</w:t>
            </w:r>
          </w:p>
        </w:tc>
        <w:tc>
          <w:tcPr>
            <w:tcW w:w="910" w:type="pct"/>
          </w:tcPr>
          <w:p w14:paraId="4330BFC4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365 (171.0)</w:t>
            </w:r>
          </w:p>
        </w:tc>
        <w:tc>
          <w:tcPr>
            <w:tcW w:w="912" w:type="pct"/>
          </w:tcPr>
          <w:p w14:paraId="40399260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269 (200.8)</w:t>
            </w:r>
          </w:p>
        </w:tc>
      </w:tr>
      <w:tr w:rsidR="00095B7C" w:rsidRPr="00095B7C" w14:paraId="5B6E1C19" w14:textId="77777777" w:rsidTr="00344913">
        <w:trPr>
          <w:trHeight w:val="149"/>
        </w:trPr>
        <w:tc>
          <w:tcPr>
            <w:tcW w:w="1349" w:type="pct"/>
            <w:shd w:val="clear" w:color="auto" w:fill="auto"/>
          </w:tcPr>
          <w:p w14:paraId="5CFDD49D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GP visits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0D275A9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 (81.5)</w:t>
            </w:r>
          </w:p>
        </w:tc>
        <w:tc>
          <w:tcPr>
            <w:tcW w:w="916" w:type="pct"/>
          </w:tcPr>
          <w:p w14:paraId="74F89A13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 (90.4)</w:t>
            </w:r>
          </w:p>
        </w:tc>
        <w:tc>
          <w:tcPr>
            <w:tcW w:w="910" w:type="pct"/>
          </w:tcPr>
          <w:p w14:paraId="003BC843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 (110.3)</w:t>
            </w:r>
          </w:p>
        </w:tc>
        <w:tc>
          <w:tcPr>
            <w:tcW w:w="912" w:type="pct"/>
          </w:tcPr>
          <w:p w14:paraId="107E6179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 (81.5)</w:t>
            </w:r>
          </w:p>
        </w:tc>
      </w:tr>
      <w:tr w:rsidR="00095B7C" w:rsidRPr="00095B7C" w14:paraId="51EDAC29" w14:textId="77777777" w:rsidTr="00344913">
        <w:trPr>
          <w:trHeight w:val="292"/>
        </w:trPr>
        <w:tc>
          <w:tcPr>
            <w:tcW w:w="1349" w:type="pct"/>
            <w:shd w:val="clear" w:color="auto" w:fill="auto"/>
          </w:tcPr>
          <w:p w14:paraId="2A38DBAF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Inpatient stays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2508424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478 (3299.9)</w:t>
            </w:r>
          </w:p>
        </w:tc>
        <w:tc>
          <w:tcPr>
            <w:tcW w:w="916" w:type="pct"/>
          </w:tcPr>
          <w:p w14:paraId="45EA426D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379 (3146.8)</w:t>
            </w:r>
          </w:p>
        </w:tc>
        <w:tc>
          <w:tcPr>
            <w:tcW w:w="910" w:type="pct"/>
            <w:vAlign w:val="center"/>
          </w:tcPr>
          <w:p w14:paraId="47033846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421 (2970.7)</w:t>
            </w:r>
          </w:p>
        </w:tc>
        <w:tc>
          <w:tcPr>
            <w:tcW w:w="912" w:type="pct"/>
          </w:tcPr>
          <w:p w14:paraId="6192A5C0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422 (3387.8)</w:t>
            </w:r>
          </w:p>
        </w:tc>
      </w:tr>
      <w:tr w:rsidR="00095B7C" w:rsidRPr="00095B7C" w14:paraId="11C80FD6" w14:textId="77777777" w:rsidTr="00344913">
        <w:trPr>
          <w:trHeight w:val="62"/>
        </w:trPr>
        <w:tc>
          <w:tcPr>
            <w:tcW w:w="1349" w:type="pct"/>
            <w:shd w:val="clear" w:color="auto" w:fill="auto"/>
          </w:tcPr>
          <w:p w14:paraId="25F292F0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A&amp;E visits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65FBC632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 (78.8)</w:t>
            </w:r>
          </w:p>
        </w:tc>
        <w:tc>
          <w:tcPr>
            <w:tcW w:w="916" w:type="pct"/>
          </w:tcPr>
          <w:p w14:paraId="06EF512C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 (58.9)</w:t>
            </w:r>
          </w:p>
        </w:tc>
        <w:tc>
          <w:tcPr>
            <w:tcW w:w="910" w:type="pct"/>
          </w:tcPr>
          <w:p w14:paraId="2609B2C4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 (106.6)</w:t>
            </w:r>
          </w:p>
        </w:tc>
        <w:tc>
          <w:tcPr>
            <w:tcW w:w="912" w:type="pct"/>
          </w:tcPr>
          <w:p w14:paraId="5D1BE25E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 (62.4)</w:t>
            </w:r>
          </w:p>
        </w:tc>
      </w:tr>
      <w:tr w:rsidR="00095B7C" w:rsidRPr="00095B7C" w14:paraId="19C9F1C9" w14:textId="77777777" w:rsidTr="00344913">
        <w:trPr>
          <w:trHeight w:val="62"/>
        </w:trPr>
        <w:tc>
          <w:tcPr>
            <w:tcW w:w="1349" w:type="pct"/>
            <w:shd w:val="clear" w:color="auto" w:fill="auto"/>
          </w:tcPr>
          <w:p w14:paraId="4314367F" w14:textId="77777777" w:rsidR="00095B7C" w:rsidRPr="00095B7C" w:rsidRDefault="00095B7C" w:rsidP="00095B7C">
            <w:pPr>
              <w:spacing w:after="220" w:line="360" w:lineRule="auto"/>
              <w:ind w:left="27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All-cause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97B70FD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16" w:type="pct"/>
          </w:tcPr>
          <w:p w14:paraId="0FAA855C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10" w:type="pct"/>
          </w:tcPr>
          <w:p w14:paraId="1BCAE02F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12" w:type="pct"/>
          </w:tcPr>
          <w:p w14:paraId="510722AC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95B7C" w:rsidRPr="00095B7C" w14:paraId="1F6412D7" w14:textId="77777777" w:rsidTr="00344913">
        <w:trPr>
          <w:trHeight w:val="62"/>
        </w:trPr>
        <w:tc>
          <w:tcPr>
            <w:tcW w:w="1349" w:type="pct"/>
            <w:shd w:val="clear" w:color="auto" w:fill="auto"/>
          </w:tcPr>
          <w:p w14:paraId="734D6291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Prescriptions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7ACB3781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643 (445.8)</w:t>
            </w:r>
          </w:p>
        </w:tc>
        <w:tc>
          <w:tcPr>
            <w:tcW w:w="916" w:type="pct"/>
          </w:tcPr>
          <w:p w14:paraId="611D402E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586 (523.7)</w:t>
            </w:r>
          </w:p>
        </w:tc>
        <w:tc>
          <w:tcPr>
            <w:tcW w:w="910" w:type="pct"/>
            <w:vAlign w:val="center"/>
          </w:tcPr>
          <w:p w14:paraId="3A340957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631 (404.3)</w:t>
            </w:r>
          </w:p>
        </w:tc>
        <w:tc>
          <w:tcPr>
            <w:tcW w:w="912" w:type="pct"/>
          </w:tcPr>
          <w:p w14:paraId="79572645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551 (475.0)</w:t>
            </w:r>
          </w:p>
        </w:tc>
      </w:tr>
      <w:tr w:rsidR="00095B7C" w:rsidRPr="00095B7C" w14:paraId="763158F7" w14:textId="77777777" w:rsidTr="00344913">
        <w:trPr>
          <w:trHeight w:val="62"/>
        </w:trPr>
        <w:tc>
          <w:tcPr>
            <w:tcW w:w="1349" w:type="pct"/>
            <w:shd w:val="clear" w:color="auto" w:fill="auto"/>
          </w:tcPr>
          <w:p w14:paraId="5D3379A0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GP visits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ACDDFD2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429 (471.4)</w:t>
            </w:r>
          </w:p>
        </w:tc>
        <w:tc>
          <w:tcPr>
            <w:tcW w:w="916" w:type="pct"/>
          </w:tcPr>
          <w:p w14:paraId="671035F5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479 (447.4)</w:t>
            </w:r>
          </w:p>
        </w:tc>
        <w:tc>
          <w:tcPr>
            <w:tcW w:w="910" w:type="pct"/>
            <w:vAlign w:val="center"/>
          </w:tcPr>
          <w:p w14:paraId="73F2DA75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456 (468.7)</w:t>
            </w:r>
          </w:p>
        </w:tc>
        <w:tc>
          <w:tcPr>
            <w:tcW w:w="912" w:type="pct"/>
          </w:tcPr>
          <w:p w14:paraId="46B3AE45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476 (406.3)</w:t>
            </w:r>
          </w:p>
        </w:tc>
      </w:tr>
      <w:tr w:rsidR="00095B7C" w:rsidRPr="00095B7C" w14:paraId="43B6F82C" w14:textId="77777777" w:rsidTr="00344913">
        <w:trPr>
          <w:trHeight w:val="62"/>
        </w:trPr>
        <w:tc>
          <w:tcPr>
            <w:tcW w:w="1349" w:type="pct"/>
            <w:shd w:val="clear" w:color="auto" w:fill="auto"/>
          </w:tcPr>
          <w:p w14:paraId="5E2EFC02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Inpatient stays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4B86B15E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2136 (6136.5)</w:t>
            </w:r>
          </w:p>
        </w:tc>
        <w:tc>
          <w:tcPr>
            <w:tcW w:w="916" w:type="pct"/>
          </w:tcPr>
          <w:p w14:paraId="094F386C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1592 (5307.0)</w:t>
            </w:r>
          </w:p>
        </w:tc>
        <w:tc>
          <w:tcPr>
            <w:tcW w:w="910" w:type="pct"/>
            <w:vAlign w:val="center"/>
          </w:tcPr>
          <w:p w14:paraId="3F342F79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2525 (7489.7)</w:t>
            </w:r>
          </w:p>
        </w:tc>
        <w:tc>
          <w:tcPr>
            <w:tcW w:w="912" w:type="pct"/>
          </w:tcPr>
          <w:p w14:paraId="500DFD30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1609 (5269.9)</w:t>
            </w:r>
          </w:p>
        </w:tc>
      </w:tr>
      <w:tr w:rsidR="00095B7C" w:rsidRPr="00095B7C" w14:paraId="6C477B14" w14:textId="77777777" w:rsidTr="00344913">
        <w:trPr>
          <w:trHeight w:val="62"/>
        </w:trPr>
        <w:tc>
          <w:tcPr>
            <w:tcW w:w="1349" w:type="pct"/>
            <w:shd w:val="clear" w:color="auto" w:fill="auto"/>
          </w:tcPr>
          <w:p w14:paraId="5D5B92BD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A&amp;E visits</w:t>
            </w:r>
          </w:p>
        </w:tc>
        <w:tc>
          <w:tcPr>
            <w:tcW w:w="913" w:type="pct"/>
            <w:shd w:val="clear" w:color="auto" w:fill="auto"/>
            <w:vAlign w:val="center"/>
          </w:tcPr>
          <w:p w14:paraId="1D1945F0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103 (246.0)</w:t>
            </w:r>
          </w:p>
        </w:tc>
        <w:tc>
          <w:tcPr>
            <w:tcW w:w="916" w:type="pct"/>
          </w:tcPr>
          <w:p w14:paraId="6D9CC387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102 (274.7)</w:t>
            </w:r>
          </w:p>
        </w:tc>
        <w:tc>
          <w:tcPr>
            <w:tcW w:w="910" w:type="pct"/>
            <w:vAlign w:val="center"/>
          </w:tcPr>
          <w:p w14:paraId="32060CDA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97 (224.8)</w:t>
            </w:r>
          </w:p>
        </w:tc>
        <w:tc>
          <w:tcPr>
            <w:tcW w:w="912" w:type="pct"/>
          </w:tcPr>
          <w:p w14:paraId="2D27D5F2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94 (256.6)</w:t>
            </w:r>
          </w:p>
        </w:tc>
      </w:tr>
    </w:tbl>
    <w:p w14:paraId="5E104AD7" w14:textId="745049C3" w:rsidR="00095B7C" w:rsidRPr="00E934AA" w:rsidRDefault="00095B7C" w:rsidP="00E934AA">
      <w:pPr>
        <w:spacing w:after="220" w:line="48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sz w:val="20"/>
          <w:szCs w:val="20"/>
          <w:lang w:eastAsia="en-GB"/>
        </w:rPr>
        <w:t>A&amp;E, Accident and Emergency; COPD, chronic obstructive pulmonary disease; GBP, British Pound Sterling; GP, general practitioner; HCRU, healthcare resource utilization; ICS, inhaled corticosteroid; LABA, long-acting β</w:t>
      </w:r>
      <w:r w:rsidRPr="00095B7C">
        <w:rPr>
          <w:rFonts w:ascii="Arial" w:eastAsia="Times New Roman" w:hAnsi="Arial" w:cs="Arial"/>
          <w:sz w:val="20"/>
          <w:szCs w:val="20"/>
          <w:vertAlign w:val="subscript"/>
          <w:lang w:eastAsia="en-GB"/>
        </w:rPr>
        <w:t>2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-agonist; SD, standard deviation; UMEC, umeclidinium; VI, vilanterol.</w:t>
      </w:r>
      <w:r w:rsidRPr="00095B7C">
        <w:rPr>
          <w:rFonts w:ascii="Calibri" w:eastAsia="Times New Roman" w:hAnsi="Calibri" w:cs="Calibri"/>
          <w:sz w:val="20"/>
          <w:szCs w:val="20"/>
          <w:lang w:eastAsia="en-GB"/>
        </w:rPr>
        <w:br w:type="page"/>
      </w:r>
    </w:p>
    <w:p w14:paraId="3214034E" w14:textId="77777777" w:rsidR="00095B7C" w:rsidRPr="00095B7C" w:rsidRDefault="00095B7C" w:rsidP="00095B7C">
      <w:pPr>
        <w:spacing w:after="22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Supplementary Table 6.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 xml:space="preserve"> COPD-related and all-cause total HCRU costs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060"/>
        <w:gridCol w:w="1563"/>
        <w:gridCol w:w="1563"/>
        <w:gridCol w:w="1558"/>
        <w:gridCol w:w="1559"/>
      </w:tblGrid>
      <w:tr w:rsidR="00095B7C" w:rsidRPr="00095B7C" w14:paraId="73B848E4" w14:textId="77777777" w:rsidTr="00344913">
        <w:trPr>
          <w:trHeight w:val="201"/>
        </w:trPr>
        <w:tc>
          <w:tcPr>
            <w:tcW w:w="1241" w:type="pct"/>
            <w:vMerge w:val="restart"/>
            <w:shd w:val="clear" w:color="auto" w:fill="auto"/>
            <w:vAlign w:val="center"/>
          </w:tcPr>
          <w:p w14:paraId="44CFA213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759" w:type="pct"/>
            <w:gridSpan w:val="4"/>
            <w:shd w:val="clear" w:color="auto" w:fill="auto"/>
            <w:vAlign w:val="center"/>
          </w:tcPr>
          <w:p w14:paraId="6C898B77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Mean (SD) costs, per person per year (GBP)</w:t>
            </w:r>
          </w:p>
        </w:tc>
      </w:tr>
      <w:tr w:rsidR="00095B7C" w:rsidRPr="00095B7C" w14:paraId="65FDF175" w14:textId="77777777" w:rsidTr="00344913">
        <w:trPr>
          <w:trHeight w:val="215"/>
        </w:trPr>
        <w:tc>
          <w:tcPr>
            <w:tcW w:w="1241" w:type="pct"/>
            <w:vMerge/>
            <w:shd w:val="clear" w:color="auto" w:fill="auto"/>
            <w:vAlign w:val="center"/>
          </w:tcPr>
          <w:p w14:paraId="7FD14BFC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882" w:type="pct"/>
            <w:gridSpan w:val="2"/>
            <w:shd w:val="clear" w:color="auto" w:fill="auto"/>
            <w:vAlign w:val="center"/>
          </w:tcPr>
          <w:p w14:paraId="1B5CF7D0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Unweighted</w:t>
            </w:r>
          </w:p>
        </w:tc>
        <w:tc>
          <w:tcPr>
            <w:tcW w:w="1877" w:type="pct"/>
            <w:gridSpan w:val="2"/>
            <w:shd w:val="clear" w:color="auto" w:fill="auto"/>
            <w:vAlign w:val="center"/>
          </w:tcPr>
          <w:p w14:paraId="589BA461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Weighted</w:t>
            </w:r>
          </w:p>
        </w:tc>
      </w:tr>
      <w:tr w:rsidR="00095B7C" w:rsidRPr="00095B7C" w14:paraId="38B01DB1" w14:textId="77777777" w:rsidTr="00344913">
        <w:trPr>
          <w:trHeight w:val="215"/>
        </w:trPr>
        <w:tc>
          <w:tcPr>
            <w:tcW w:w="1241" w:type="pct"/>
            <w:vMerge/>
            <w:shd w:val="clear" w:color="auto" w:fill="auto"/>
            <w:vAlign w:val="center"/>
          </w:tcPr>
          <w:p w14:paraId="5A24F5A3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14:paraId="56F049C7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UMEC/VI</w:t>
            </w:r>
          </w:p>
        </w:tc>
        <w:tc>
          <w:tcPr>
            <w:tcW w:w="941" w:type="pct"/>
          </w:tcPr>
          <w:p w14:paraId="5B4B2FC8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ICS/LABA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6E74F959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UMEC/VI</w:t>
            </w:r>
          </w:p>
        </w:tc>
        <w:tc>
          <w:tcPr>
            <w:tcW w:w="939" w:type="pct"/>
          </w:tcPr>
          <w:p w14:paraId="188EC88A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ICS/LABA</w:t>
            </w:r>
          </w:p>
        </w:tc>
      </w:tr>
      <w:tr w:rsidR="00095B7C" w:rsidRPr="00095B7C" w14:paraId="783F1F0E" w14:textId="77777777" w:rsidTr="00344913">
        <w:trPr>
          <w:trHeight w:val="402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76FD4AF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 COPD-related costs</w:t>
            </w:r>
          </w:p>
        </w:tc>
      </w:tr>
      <w:tr w:rsidR="00095B7C" w:rsidRPr="00095B7C" w14:paraId="5959015A" w14:textId="77777777" w:rsidTr="00344913">
        <w:trPr>
          <w:trHeight w:val="201"/>
        </w:trPr>
        <w:tc>
          <w:tcPr>
            <w:tcW w:w="1241" w:type="pct"/>
            <w:shd w:val="clear" w:color="auto" w:fill="auto"/>
            <w:vAlign w:val="center"/>
          </w:tcPr>
          <w:p w14:paraId="289741FD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 months</w:t>
            </w:r>
          </w:p>
        </w:tc>
        <w:tc>
          <w:tcPr>
            <w:tcW w:w="941" w:type="pct"/>
            <w:shd w:val="clear" w:color="auto" w:fill="auto"/>
          </w:tcPr>
          <w:p w14:paraId="4DCB61F3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960 (3511.1)</w:t>
            </w:r>
          </w:p>
        </w:tc>
        <w:tc>
          <w:tcPr>
            <w:tcW w:w="941" w:type="pct"/>
            <w:vAlign w:val="center"/>
          </w:tcPr>
          <w:p w14:paraId="0E79755B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792 (4223.3)</w:t>
            </w:r>
          </w:p>
        </w:tc>
        <w:tc>
          <w:tcPr>
            <w:tcW w:w="938" w:type="pct"/>
          </w:tcPr>
          <w:p w14:paraId="6497E1DF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758 (2666.4)</w:t>
            </w:r>
          </w:p>
        </w:tc>
        <w:tc>
          <w:tcPr>
            <w:tcW w:w="939" w:type="pct"/>
            <w:vAlign w:val="center"/>
          </w:tcPr>
          <w:p w14:paraId="31C12298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785 (4138.8)</w:t>
            </w:r>
          </w:p>
        </w:tc>
      </w:tr>
      <w:tr w:rsidR="00095B7C" w:rsidRPr="00095B7C" w14:paraId="7719C9AF" w14:textId="77777777" w:rsidTr="00344913">
        <w:trPr>
          <w:trHeight w:val="201"/>
        </w:trPr>
        <w:tc>
          <w:tcPr>
            <w:tcW w:w="1241" w:type="pct"/>
            <w:shd w:val="clear" w:color="auto" w:fill="auto"/>
          </w:tcPr>
          <w:p w14:paraId="4695B542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 months</w:t>
            </w:r>
          </w:p>
        </w:tc>
        <w:tc>
          <w:tcPr>
            <w:tcW w:w="941" w:type="pct"/>
            <w:shd w:val="clear" w:color="auto" w:fill="auto"/>
          </w:tcPr>
          <w:p w14:paraId="78577D77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1134 (3611.8)</w:t>
            </w:r>
          </w:p>
        </w:tc>
        <w:tc>
          <w:tcPr>
            <w:tcW w:w="941" w:type="pct"/>
            <w:vAlign w:val="center"/>
          </w:tcPr>
          <w:p w14:paraId="4F752BED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822 (4174.0)</w:t>
            </w:r>
          </w:p>
        </w:tc>
        <w:tc>
          <w:tcPr>
            <w:tcW w:w="938" w:type="pct"/>
          </w:tcPr>
          <w:p w14:paraId="5D22F9F0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1037 (3046.2)</w:t>
            </w:r>
          </w:p>
        </w:tc>
        <w:tc>
          <w:tcPr>
            <w:tcW w:w="939" w:type="pct"/>
            <w:vAlign w:val="center"/>
          </w:tcPr>
          <w:p w14:paraId="21DB5A09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808 (4089.2)</w:t>
            </w:r>
          </w:p>
        </w:tc>
      </w:tr>
      <w:tr w:rsidR="00095B7C" w:rsidRPr="00095B7C" w14:paraId="37626F73" w14:textId="77777777" w:rsidTr="00344913">
        <w:trPr>
          <w:trHeight w:val="186"/>
        </w:trPr>
        <w:tc>
          <w:tcPr>
            <w:tcW w:w="1241" w:type="pct"/>
            <w:shd w:val="clear" w:color="auto" w:fill="auto"/>
          </w:tcPr>
          <w:p w14:paraId="335B242E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 months</w:t>
            </w:r>
          </w:p>
        </w:tc>
        <w:tc>
          <w:tcPr>
            <w:tcW w:w="941" w:type="pct"/>
            <w:shd w:val="clear" w:color="auto" w:fill="auto"/>
          </w:tcPr>
          <w:p w14:paraId="4A87B7E0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1243 (3754.2)</w:t>
            </w:r>
          </w:p>
        </w:tc>
        <w:tc>
          <w:tcPr>
            <w:tcW w:w="941" w:type="pct"/>
            <w:vAlign w:val="center"/>
          </w:tcPr>
          <w:p w14:paraId="53A5EAEF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889 (4245.7)</w:t>
            </w:r>
          </w:p>
        </w:tc>
        <w:tc>
          <w:tcPr>
            <w:tcW w:w="938" w:type="pct"/>
          </w:tcPr>
          <w:p w14:paraId="1F32B582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1260 (3530.7)</w:t>
            </w:r>
          </w:p>
        </w:tc>
        <w:tc>
          <w:tcPr>
            <w:tcW w:w="939" w:type="pct"/>
            <w:vAlign w:val="center"/>
          </w:tcPr>
          <w:p w14:paraId="7769F82B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862 (4125.7)</w:t>
            </w:r>
          </w:p>
        </w:tc>
      </w:tr>
      <w:tr w:rsidR="00095B7C" w:rsidRPr="00095B7C" w14:paraId="6EEAFA63" w14:textId="77777777" w:rsidTr="00344913">
        <w:trPr>
          <w:trHeight w:val="201"/>
        </w:trPr>
        <w:tc>
          <w:tcPr>
            <w:tcW w:w="1241" w:type="pct"/>
            <w:shd w:val="clear" w:color="auto" w:fill="auto"/>
          </w:tcPr>
          <w:p w14:paraId="565A62EC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 months</w:t>
            </w:r>
          </w:p>
        </w:tc>
        <w:tc>
          <w:tcPr>
            <w:tcW w:w="941" w:type="pct"/>
            <w:shd w:val="clear" w:color="auto" w:fill="auto"/>
          </w:tcPr>
          <w:p w14:paraId="6491D0E6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1313 (3758.7)</w:t>
            </w:r>
          </w:p>
        </w:tc>
        <w:tc>
          <w:tcPr>
            <w:tcW w:w="941" w:type="pct"/>
            <w:vAlign w:val="center"/>
          </w:tcPr>
          <w:p w14:paraId="4907E73D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906 (4244.1)</w:t>
            </w:r>
          </w:p>
        </w:tc>
        <w:tc>
          <w:tcPr>
            <w:tcW w:w="938" w:type="pct"/>
          </w:tcPr>
          <w:p w14:paraId="4F3EE746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1368 (3566.0)</w:t>
            </w:r>
          </w:p>
        </w:tc>
        <w:tc>
          <w:tcPr>
            <w:tcW w:w="939" w:type="pct"/>
            <w:vAlign w:val="center"/>
          </w:tcPr>
          <w:p w14:paraId="3B3B59A6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882 (4140.9)</w:t>
            </w:r>
          </w:p>
        </w:tc>
      </w:tr>
      <w:tr w:rsidR="00095B7C" w:rsidRPr="00095B7C" w14:paraId="29FC2E4A" w14:textId="77777777" w:rsidTr="00344913">
        <w:trPr>
          <w:trHeight w:val="201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79493F0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 all-cause costs</w:t>
            </w:r>
          </w:p>
        </w:tc>
      </w:tr>
      <w:tr w:rsidR="00095B7C" w:rsidRPr="00095B7C" w14:paraId="3EA070A2" w14:textId="77777777" w:rsidTr="00344913">
        <w:trPr>
          <w:trHeight w:val="201"/>
        </w:trPr>
        <w:tc>
          <w:tcPr>
            <w:tcW w:w="1241" w:type="pct"/>
            <w:shd w:val="clear" w:color="auto" w:fill="auto"/>
            <w:vAlign w:val="center"/>
          </w:tcPr>
          <w:p w14:paraId="4A888707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 months</w:t>
            </w:r>
          </w:p>
        </w:tc>
        <w:tc>
          <w:tcPr>
            <w:tcW w:w="941" w:type="pct"/>
            <w:shd w:val="clear" w:color="auto" w:fill="auto"/>
          </w:tcPr>
          <w:p w14:paraId="72B0EF95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3066 (6606.5)</w:t>
            </w:r>
          </w:p>
        </w:tc>
        <w:tc>
          <w:tcPr>
            <w:tcW w:w="941" w:type="pct"/>
          </w:tcPr>
          <w:p w14:paraId="08E41162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2551 (5925.8)</w:t>
            </w:r>
          </w:p>
        </w:tc>
        <w:tc>
          <w:tcPr>
            <w:tcW w:w="938" w:type="pct"/>
          </w:tcPr>
          <w:p w14:paraId="307B7F98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3475 (7730.1)</w:t>
            </w:r>
          </w:p>
        </w:tc>
        <w:tc>
          <w:tcPr>
            <w:tcW w:w="939" w:type="pct"/>
          </w:tcPr>
          <w:p w14:paraId="0CDABD65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2539 (5828.1)</w:t>
            </w:r>
          </w:p>
        </w:tc>
      </w:tr>
      <w:tr w:rsidR="00095B7C" w:rsidRPr="00095B7C" w14:paraId="406FC57B" w14:textId="77777777" w:rsidTr="00344913">
        <w:trPr>
          <w:trHeight w:val="201"/>
        </w:trPr>
        <w:tc>
          <w:tcPr>
            <w:tcW w:w="1241" w:type="pct"/>
            <w:shd w:val="clear" w:color="auto" w:fill="auto"/>
          </w:tcPr>
          <w:p w14:paraId="2C0DBF62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 months</w:t>
            </w:r>
          </w:p>
        </w:tc>
        <w:tc>
          <w:tcPr>
            <w:tcW w:w="941" w:type="pct"/>
            <w:shd w:val="clear" w:color="auto" w:fill="auto"/>
          </w:tcPr>
          <w:p w14:paraId="2673E5D9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3307 (6517.4)</w:t>
            </w:r>
          </w:p>
        </w:tc>
        <w:tc>
          <w:tcPr>
            <w:tcW w:w="941" w:type="pct"/>
          </w:tcPr>
          <w:p w14:paraId="4745881A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2759 (5679.2)</w:t>
            </w:r>
          </w:p>
        </w:tc>
        <w:tc>
          <w:tcPr>
            <w:tcW w:w="938" w:type="pct"/>
          </w:tcPr>
          <w:p w14:paraId="51833838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4013 (8296.1)</w:t>
            </w:r>
          </w:p>
        </w:tc>
        <w:tc>
          <w:tcPr>
            <w:tcW w:w="939" w:type="pct"/>
          </w:tcPr>
          <w:p w14:paraId="32108FF7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2770 (5558.8)</w:t>
            </w:r>
          </w:p>
        </w:tc>
      </w:tr>
      <w:tr w:rsidR="00095B7C" w:rsidRPr="00095B7C" w14:paraId="5C0FEFCB" w14:textId="77777777" w:rsidTr="00344913">
        <w:trPr>
          <w:trHeight w:val="201"/>
        </w:trPr>
        <w:tc>
          <w:tcPr>
            <w:tcW w:w="1241" w:type="pct"/>
            <w:shd w:val="clear" w:color="auto" w:fill="auto"/>
          </w:tcPr>
          <w:p w14:paraId="1AF7D5DB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 months</w:t>
            </w:r>
          </w:p>
        </w:tc>
        <w:tc>
          <w:tcPr>
            <w:tcW w:w="941" w:type="pct"/>
            <w:shd w:val="clear" w:color="auto" w:fill="auto"/>
          </w:tcPr>
          <w:p w14:paraId="30D3E1B1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3626 (6617.4)</w:t>
            </w:r>
          </w:p>
        </w:tc>
        <w:tc>
          <w:tcPr>
            <w:tcW w:w="941" w:type="pct"/>
          </w:tcPr>
          <w:p w14:paraId="4B860071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2888 (5685.7)</w:t>
            </w:r>
          </w:p>
        </w:tc>
        <w:tc>
          <w:tcPr>
            <w:tcW w:w="938" w:type="pct"/>
          </w:tcPr>
          <w:p w14:paraId="6ECBD147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4310 (8410.4)</w:t>
            </w:r>
          </w:p>
        </w:tc>
        <w:tc>
          <w:tcPr>
            <w:tcW w:w="939" w:type="pct"/>
          </w:tcPr>
          <w:p w14:paraId="1C289605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2878 (5515.3)</w:t>
            </w:r>
          </w:p>
        </w:tc>
      </w:tr>
      <w:tr w:rsidR="00095B7C" w:rsidRPr="00095B7C" w14:paraId="1FC6857C" w14:textId="77777777" w:rsidTr="00344913">
        <w:trPr>
          <w:trHeight w:val="201"/>
        </w:trPr>
        <w:tc>
          <w:tcPr>
            <w:tcW w:w="1241" w:type="pct"/>
            <w:shd w:val="clear" w:color="auto" w:fill="auto"/>
          </w:tcPr>
          <w:p w14:paraId="6A6F1E81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 months</w:t>
            </w:r>
          </w:p>
        </w:tc>
        <w:tc>
          <w:tcPr>
            <w:tcW w:w="941" w:type="pct"/>
            <w:shd w:val="clear" w:color="auto" w:fill="auto"/>
          </w:tcPr>
          <w:p w14:paraId="43F219F3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3718 (6543.3)</w:t>
            </w:r>
          </w:p>
        </w:tc>
        <w:tc>
          <w:tcPr>
            <w:tcW w:w="941" w:type="pct"/>
          </w:tcPr>
          <w:p w14:paraId="39DA4603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2963 (5739.8)</w:t>
            </w:r>
          </w:p>
        </w:tc>
        <w:tc>
          <w:tcPr>
            <w:tcW w:w="938" w:type="pct"/>
          </w:tcPr>
          <w:p w14:paraId="05BCA68D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4525 (8380.8)</w:t>
            </w:r>
          </w:p>
        </w:tc>
        <w:tc>
          <w:tcPr>
            <w:tcW w:w="939" w:type="pct"/>
            <w:vAlign w:val="center"/>
          </w:tcPr>
          <w:p w14:paraId="314E3150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2949 (5583.0)</w:t>
            </w:r>
          </w:p>
        </w:tc>
      </w:tr>
    </w:tbl>
    <w:p w14:paraId="5879D8A2" w14:textId="6B5ACEF6" w:rsidR="00095B7C" w:rsidRPr="00E934AA" w:rsidRDefault="00095B7C" w:rsidP="00E934AA">
      <w:pPr>
        <w:spacing w:after="220" w:line="48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sz w:val="20"/>
          <w:szCs w:val="20"/>
          <w:lang w:eastAsia="en-GB"/>
        </w:rPr>
        <w:t>COPD, chronic obstructive pulmonary disease; GBP, British Pound Sterling; HCRU, healthcare resource utilization; ICS, inhaled corticosteroid; LABA, long-acting β</w:t>
      </w:r>
      <w:r w:rsidRPr="00095B7C">
        <w:rPr>
          <w:rFonts w:ascii="Arial" w:eastAsia="Times New Roman" w:hAnsi="Arial" w:cs="Arial"/>
          <w:sz w:val="20"/>
          <w:szCs w:val="20"/>
          <w:vertAlign w:val="subscript"/>
          <w:lang w:eastAsia="en-GB"/>
        </w:rPr>
        <w:t>2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-agonist; SD, standard deviation; UMEC, umeclidinium; VI, vilanterol.</w:t>
      </w:r>
      <w:r w:rsidRPr="00095B7C">
        <w:rPr>
          <w:rFonts w:ascii="Calibri" w:eastAsia="Times New Roman" w:hAnsi="Calibri" w:cs="Calibri"/>
          <w:sz w:val="20"/>
          <w:szCs w:val="20"/>
          <w:lang w:eastAsia="en-GB"/>
        </w:rPr>
        <w:br w:type="page"/>
      </w:r>
    </w:p>
    <w:p w14:paraId="5578B4CA" w14:textId="77777777" w:rsidR="00095B7C" w:rsidRPr="00095B7C" w:rsidRDefault="00095B7C" w:rsidP="00095B7C">
      <w:pPr>
        <w:spacing w:after="22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Supplementary Table 7.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 xml:space="preserve"> Rescue medication prescriptions 6, 12, 18, and 24 months post-index</w:t>
      </w:r>
    </w:p>
    <w:tbl>
      <w:tblPr>
        <w:tblStyle w:val="TableGrid1"/>
        <w:tblW w:w="3827" w:type="pct"/>
        <w:tblLook w:val="04A0" w:firstRow="1" w:lastRow="0" w:firstColumn="1" w:lastColumn="0" w:noHBand="0" w:noVBand="1"/>
      </w:tblPr>
      <w:tblGrid>
        <w:gridCol w:w="1445"/>
        <w:gridCol w:w="2456"/>
        <w:gridCol w:w="2454"/>
      </w:tblGrid>
      <w:tr w:rsidR="00095B7C" w:rsidRPr="00095B7C" w14:paraId="337EFB18" w14:textId="77777777" w:rsidTr="00344913">
        <w:trPr>
          <w:trHeight w:val="203"/>
        </w:trPr>
        <w:tc>
          <w:tcPr>
            <w:tcW w:w="1137" w:type="pct"/>
            <w:vMerge w:val="restart"/>
            <w:shd w:val="clear" w:color="auto" w:fill="auto"/>
            <w:vAlign w:val="center"/>
          </w:tcPr>
          <w:p w14:paraId="12BC7F7A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863" w:type="pct"/>
            <w:gridSpan w:val="2"/>
            <w:shd w:val="clear" w:color="auto" w:fill="auto"/>
            <w:vAlign w:val="center"/>
          </w:tcPr>
          <w:p w14:paraId="647339D8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Mean (SD) number of prescriptions per person</w:t>
            </w:r>
          </w:p>
        </w:tc>
      </w:tr>
      <w:tr w:rsidR="00095B7C" w:rsidRPr="00095B7C" w14:paraId="3969A117" w14:textId="77777777" w:rsidTr="00344913">
        <w:trPr>
          <w:trHeight w:val="210"/>
        </w:trPr>
        <w:tc>
          <w:tcPr>
            <w:tcW w:w="1137" w:type="pct"/>
            <w:vMerge/>
            <w:shd w:val="clear" w:color="auto" w:fill="auto"/>
            <w:vAlign w:val="center"/>
          </w:tcPr>
          <w:p w14:paraId="2973A994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32" w:type="pct"/>
            <w:shd w:val="clear" w:color="auto" w:fill="auto"/>
            <w:vAlign w:val="center"/>
          </w:tcPr>
          <w:p w14:paraId="553D4EC8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UMEC/VI</w:t>
            </w:r>
          </w:p>
        </w:tc>
        <w:tc>
          <w:tcPr>
            <w:tcW w:w="1932" w:type="pct"/>
          </w:tcPr>
          <w:p w14:paraId="2C043B74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ICS/LABA</w:t>
            </w:r>
          </w:p>
        </w:tc>
      </w:tr>
      <w:tr w:rsidR="00095B7C" w:rsidRPr="00095B7C" w14:paraId="7D54D5E8" w14:textId="77777777" w:rsidTr="00344913">
        <w:trPr>
          <w:trHeight w:val="197"/>
        </w:trPr>
        <w:tc>
          <w:tcPr>
            <w:tcW w:w="1137" w:type="pct"/>
            <w:shd w:val="clear" w:color="auto" w:fill="auto"/>
            <w:vAlign w:val="center"/>
          </w:tcPr>
          <w:p w14:paraId="2455C1EE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 months</w:t>
            </w:r>
          </w:p>
        </w:tc>
        <w:tc>
          <w:tcPr>
            <w:tcW w:w="1932" w:type="pct"/>
            <w:shd w:val="clear" w:color="auto" w:fill="auto"/>
          </w:tcPr>
          <w:p w14:paraId="08FD8162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1.9 (2.3)</w:t>
            </w:r>
          </w:p>
        </w:tc>
        <w:tc>
          <w:tcPr>
            <w:tcW w:w="1932" w:type="pct"/>
          </w:tcPr>
          <w:p w14:paraId="00594FBE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2.4 (2.7)</w:t>
            </w:r>
          </w:p>
        </w:tc>
      </w:tr>
      <w:tr w:rsidR="00095B7C" w:rsidRPr="00095B7C" w14:paraId="2CEF01FA" w14:textId="77777777" w:rsidTr="00344913">
        <w:trPr>
          <w:trHeight w:val="197"/>
        </w:trPr>
        <w:tc>
          <w:tcPr>
            <w:tcW w:w="1137" w:type="pct"/>
            <w:shd w:val="clear" w:color="auto" w:fill="auto"/>
          </w:tcPr>
          <w:p w14:paraId="3A9F13BA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 months</w:t>
            </w:r>
          </w:p>
        </w:tc>
        <w:tc>
          <w:tcPr>
            <w:tcW w:w="1932" w:type="pct"/>
            <w:shd w:val="clear" w:color="auto" w:fill="auto"/>
          </w:tcPr>
          <w:p w14:paraId="03C4A4C2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3.8 (4.5)</w:t>
            </w:r>
          </w:p>
        </w:tc>
        <w:tc>
          <w:tcPr>
            <w:tcW w:w="1932" w:type="pct"/>
          </w:tcPr>
          <w:p w14:paraId="29F16651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5.0 (5.1)</w:t>
            </w:r>
          </w:p>
        </w:tc>
      </w:tr>
      <w:tr w:rsidR="00095B7C" w:rsidRPr="00095B7C" w14:paraId="319C8B76" w14:textId="77777777" w:rsidTr="00344913">
        <w:trPr>
          <w:trHeight w:val="197"/>
        </w:trPr>
        <w:tc>
          <w:tcPr>
            <w:tcW w:w="1137" w:type="pct"/>
            <w:shd w:val="clear" w:color="auto" w:fill="auto"/>
          </w:tcPr>
          <w:p w14:paraId="682B9169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 months</w:t>
            </w:r>
          </w:p>
        </w:tc>
        <w:tc>
          <w:tcPr>
            <w:tcW w:w="1932" w:type="pct"/>
            <w:shd w:val="clear" w:color="auto" w:fill="auto"/>
          </w:tcPr>
          <w:p w14:paraId="6A764ED2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5.6 (6.5)</w:t>
            </w:r>
          </w:p>
        </w:tc>
        <w:tc>
          <w:tcPr>
            <w:tcW w:w="1932" w:type="pct"/>
          </w:tcPr>
          <w:p w14:paraId="57BABAC9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7.6 (7.4)</w:t>
            </w:r>
          </w:p>
        </w:tc>
      </w:tr>
      <w:tr w:rsidR="00095B7C" w:rsidRPr="00095B7C" w14:paraId="3B86EB42" w14:textId="77777777" w:rsidTr="00344913">
        <w:trPr>
          <w:trHeight w:val="197"/>
        </w:trPr>
        <w:tc>
          <w:tcPr>
            <w:tcW w:w="1137" w:type="pct"/>
            <w:shd w:val="clear" w:color="auto" w:fill="auto"/>
          </w:tcPr>
          <w:p w14:paraId="5D9EEA8F" w14:textId="77777777" w:rsidR="00095B7C" w:rsidRPr="00095B7C" w:rsidRDefault="00095B7C" w:rsidP="00095B7C">
            <w:pPr>
              <w:spacing w:after="220" w:line="360" w:lineRule="auto"/>
              <w:ind w:left="16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 months</w:t>
            </w:r>
          </w:p>
        </w:tc>
        <w:tc>
          <w:tcPr>
            <w:tcW w:w="1932" w:type="pct"/>
            <w:shd w:val="clear" w:color="auto" w:fill="auto"/>
          </w:tcPr>
          <w:p w14:paraId="34994EBC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7.1 (8.1)</w:t>
            </w:r>
          </w:p>
        </w:tc>
        <w:tc>
          <w:tcPr>
            <w:tcW w:w="1932" w:type="pct"/>
          </w:tcPr>
          <w:p w14:paraId="786E5384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10.3 (9.8)</w:t>
            </w:r>
          </w:p>
        </w:tc>
      </w:tr>
    </w:tbl>
    <w:p w14:paraId="41FC2A01" w14:textId="77777777" w:rsidR="00095B7C" w:rsidRPr="00095B7C" w:rsidRDefault="00095B7C" w:rsidP="00095B7C">
      <w:pPr>
        <w:spacing w:after="220" w:line="48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sz w:val="20"/>
          <w:szCs w:val="20"/>
          <w:lang w:eastAsia="en-GB"/>
        </w:rPr>
        <w:t>COPD, chronic obstructive pulmonary disease; ICS, inhaled corticosteroid; LABA, long-acting β</w:t>
      </w:r>
      <w:r w:rsidRPr="00095B7C">
        <w:rPr>
          <w:rFonts w:ascii="Arial" w:eastAsia="Times New Roman" w:hAnsi="Arial" w:cs="Arial"/>
          <w:sz w:val="20"/>
          <w:szCs w:val="20"/>
          <w:vertAlign w:val="subscript"/>
          <w:lang w:eastAsia="en-GB"/>
        </w:rPr>
        <w:t>2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>-agonist; SD, standard deviation; UMEC, umeclidinium; VI, vilanterol.</w:t>
      </w:r>
    </w:p>
    <w:p w14:paraId="01E438D7" w14:textId="77777777" w:rsidR="00095B7C" w:rsidRPr="00095B7C" w:rsidRDefault="00095B7C" w:rsidP="00095B7C">
      <w:pPr>
        <w:spacing w:after="220" w:line="240" w:lineRule="auto"/>
        <w:rPr>
          <w:rFonts w:ascii="Calibri" w:eastAsia="Times New Roman" w:hAnsi="Calibri" w:cs="Calibri"/>
          <w:sz w:val="20"/>
          <w:szCs w:val="20"/>
          <w:lang w:eastAsia="en-GB"/>
        </w:rPr>
        <w:sectPr w:rsidR="00095B7C" w:rsidRPr="00095B7C" w:rsidSect="00E939F4">
          <w:pgSz w:w="11907" w:h="16840" w:code="9"/>
          <w:pgMar w:top="1440" w:right="1797" w:bottom="1440" w:left="1797" w:header="720" w:footer="720" w:gutter="0"/>
          <w:lnNumType w:countBy="1" w:restart="continuous"/>
          <w:cols w:space="720"/>
          <w:docGrid w:linePitch="360"/>
        </w:sectPr>
      </w:pPr>
    </w:p>
    <w:p w14:paraId="2B6546BB" w14:textId="77777777" w:rsidR="00095B7C" w:rsidRPr="00095B7C" w:rsidRDefault="00095B7C" w:rsidP="00095B7C">
      <w:pPr>
        <w:spacing w:after="220" w:line="48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b/>
          <w:bCs/>
          <w:sz w:val="20"/>
          <w:szCs w:val="20"/>
          <w:lang w:eastAsia="en-GB"/>
        </w:rPr>
        <w:lastRenderedPageBreak/>
        <w:t>Supplementary Table 8.</w:t>
      </w:r>
      <w:r w:rsidRPr="00095B7C">
        <w:rPr>
          <w:rFonts w:ascii="Arial" w:eastAsia="Times New Roman" w:hAnsi="Arial" w:cs="Arial"/>
          <w:sz w:val="20"/>
          <w:szCs w:val="20"/>
          <w:lang w:eastAsia="en-GB"/>
        </w:rPr>
        <w:t xml:space="preserve"> Proportion of patients with rescue medication prescriptions at 6, 12, 18, and 24 months post-index</w:t>
      </w:r>
    </w:p>
    <w:tbl>
      <w:tblPr>
        <w:tblStyle w:val="TableGrid1"/>
        <w:tblW w:w="2287" w:type="pct"/>
        <w:tblLook w:val="04A0" w:firstRow="1" w:lastRow="0" w:firstColumn="1" w:lastColumn="0" w:noHBand="0" w:noVBand="1"/>
      </w:tblPr>
      <w:tblGrid>
        <w:gridCol w:w="1446"/>
        <w:gridCol w:w="1169"/>
        <w:gridCol w:w="1183"/>
      </w:tblGrid>
      <w:tr w:rsidR="00095B7C" w:rsidRPr="00095B7C" w14:paraId="5625C046" w14:textId="77777777" w:rsidTr="00344913">
        <w:trPr>
          <w:trHeight w:val="210"/>
        </w:trPr>
        <w:tc>
          <w:tcPr>
            <w:tcW w:w="1903" w:type="pct"/>
            <w:shd w:val="clear" w:color="auto" w:fill="auto"/>
            <w:vAlign w:val="center"/>
          </w:tcPr>
          <w:p w14:paraId="6757375F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539" w:type="pct"/>
            <w:shd w:val="clear" w:color="auto" w:fill="auto"/>
            <w:vAlign w:val="center"/>
          </w:tcPr>
          <w:p w14:paraId="17F41447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UMEC/VI</w:t>
            </w:r>
          </w:p>
        </w:tc>
        <w:tc>
          <w:tcPr>
            <w:tcW w:w="1558" w:type="pct"/>
          </w:tcPr>
          <w:p w14:paraId="09BA9654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ICS/LABA</w:t>
            </w:r>
          </w:p>
        </w:tc>
      </w:tr>
      <w:tr w:rsidR="00095B7C" w:rsidRPr="00095B7C" w14:paraId="4CAD2B8F" w14:textId="77777777" w:rsidTr="00344913">
        <w:trPr>
          <w:trHeight w:val="210"/>
        </w:trPr>
        <w:tc>
          <w:tcPr>
            <w:tcW w:w="1903" w:type="pct"/>
            <w:shd w:val="clear" w:color="auto" w:fill="auto"/>
            <w:vAlign w:val="center"/>
          </w:tcPr>
          <w:p w14:paraId="014E1A45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 months</w:t>
            </w:r>
          </w:p>
        </w:tc>
        <w:tc>
          <w:tcPr>
            <w:tcW w:w="1539" w:type="pct"/>
            <w:shd w:val="clear" w:color="auto" w:fill="auto"/>
            <w:vAlign w:val="center"/>
          </w:tcPr>
          <w:p w14:paraId="2C527E91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n=1450</w:t>
            </w:r>
          </w:p>
        </w:tc>
        <w:tc>
          <w:tcPr>
            <w:tcW w:w="1558" w:type="pct"/>
          </w:tcPr>
          <w:p w14:paraId="73CE4EAD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n=4924</w:t>
            </w:r>
          </w:p>
        </w:tc>
      </w:tr>
      <w:tr w:rsidR="00095B7C" w:rsidRPr="00095B7C" w14:paraId="3390B13C" w14:textId="77777777" w:rsidTr="00344913">
        <w:trPr>
          <w:trHeight w:val="210"/>
        </w:trPr>
        <w:tc>
          <w:tcPr>
            <w:tcW w:w="1903" w:type="pct"/>
            <w:shd w:val="clear" w:color="auto" w:fill="auto"/>
            <w:vAlign w:val="center"/>
          </w:tcPr>
          <w:p w14:paraId="2A6CF3FA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39" w:type="pct"/>
            <w:shd w:val="clear" w:color="auto" w:fill="auto"/>
            <w:vAlign w:val="center"/>
          </w:tcPr>
          <w:p w14:paraId="30D88E4B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39.1</w:t>
            </w:r>
          </w:p>
        </w:tc>
        <w:tc>
          <w:tcPr>
            <w:tcW w:w="1558" w:type="pct"/>
          </w:tcPr>
          <w:p w14:paraId="7ED7B03B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31.6</w:t>
            </w:r>
          </w:p>
        </w:tc>
      </w:tr>
      <w:tr w:rsidR="00095B7C" w:rsidRPr="00095B7C" w14:paraId="49DE5471" w14:textId="77777777" w:rsidTr="00344913">
        <w:trPr>
          <w:trHeight w:val="210"/>
        </w:trPr>
        <w:tc>
          <w:tcPr>
            <w:tcW w:w="1903" w:type="pct"/>
            <w:shd w:val="clear" w:color="auto" w:fill="auto"/>
            <w:vAlign w:val="center"/>
          </w:tcPr>
          <w:p w14:paraId="50EC108E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1–2</w:t>
            </w:r>
          </w:p>
        </w:tc>
        <w:tc>
          <w:tcPr>
            <w:tcW w:w="1539" w:type="pct"/>
            <w:shd w:val="clear" w:color="auto" w:fill="auto"/>
            <w:vAlign w:val="center"/>
          </w:tcPr>
          <w:p w14:paraId="0B43F58D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30.6</w:t>
            </w:r>
          </w:p>
        </w:tc>
        <w:tc>
          <w:tcPr>
            <w:tcW w:w="1558" w:type="pct"/>
          </w:tcPr>
          <w:p w14:paraId="492FCD28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29.3</w:t>
            </w:r>
          </w:p>
        </w:tc>
      </w:tr>
      <w:tr w:rsidR="00095B7C" w:rsidRPr="00095B7C" w14:paraId="34BA3421" w14:textId="77777777" w:rsidTr="00344913">
        <w:trPr>
          <w:trHeight w:val="210"/>
        </w:trPr>
        <w:tc>
          <w:tcPr>
            <w:tcW w:w="1903" w:type="pct"/>
            <w:shd w:val="clear" w:color="auto" w:fill="auto"/>
            <w:vAlign w:val="center"/>
          </w:tcPr>
          <w:p w14:paraId="715A55E1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3–4</w:t>
            </w:r>
          </w:p>
        </w:tc>
        <w:tc>
          <w:tcPr>
            <w:tcW w:w="1539" w:type="pct"/>
            <w:shd w:val="clear" w:color="auto" w:fill="auto"/>
            <w:vAlign w:val="center"/>
          </w:tcPr>
          <w:p w14:paraId="319D88FB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15.9</w:t>
            </w:r>
          </w:p>
        </w:tc>
        <w:tc>
          <w:tcPr>
            <w:tcW w:w="1558" w:type="pct"/>
          </w:tcPr>
          <w:p w14:paraId="039CE2EC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18.9</w:t>
            </w:r>
          </w:p>
        </w:tc>
      </w:tr>
      <w:tr w:rsidR="00095B7C" w:rsidRPr="00095B7C" w14:paraId="3A386CB2" w14:textId="77777777" w:rsidTr="00344913">
        <w:trPr>
          <w:trHeight w:val="210"/>
        </w:trPr>
        <w:tc>
          <w:tcPr>
            <w:tcW w:w="1903" w:type="pct"/>
            <w:shd w:val="clear" w:color="auto" w:fill="auto"/>
            <w:vAlign w:val="center"/>
          </w:tcPr>
          <w:p w14:paraId="666E98E6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5–6</w:t>
            </w:r>
          </w:p>
        </w:tc>
        <w:tc>
          <w:tcPr>
            <w:tcW w:w="1539" w:type="pct"/>
            <w:shd w:val="clear" w:color="auto" w:fill="auto"/>
            <w:vAlign w:val="center"/>
          </w:tcPr>
          <w:p w14:paraId="3BEC9143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9.0</w:t>
            </w:r>
          </w:p>
        </w:tc>
        <w:tc>
          <w:tcPr>
            <w:tcW w:w="1558" w:type="pct"/>
          </w:tcPr>
          <w:p w14:paraId="7D8D8BC8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12.7</w:t>
            </w:r>
          </w:p>
        </w:tc>
      </w:tr>
      <w:tr w:rsidR="00095B7C" w:rsidRPr="00095B7C" w14:paraId="1522F3BC" w14:textId="77777777" w:rsidTr="00344913">
        <w:trPr>
          <w:trHeight w:val="210"/>
        </w:trPr>
        <w:tc>
          <w:tcPr>
            <w:tcW w:w="1903" w:type="pct"/>
            <w:shd w:val="clear" w:color="auto" w:fill="auto"/>
            <w:vAlign w:val="center"/>
          </w:tcPr>
          <w:p w14:paraId="21AEB804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7+ </w:t>
            </w:r>
          </w:p>
        </w:tc>
        <w:tc>
          <w:tcPr>
            <w:tcW w:w="1539" w:type="pct"/>
            <w:shd w:val="clear" w:color="auto" w:fill="auto"/>
            <w:vAlign w:val="center"/>
          </w:tcPr>
          <w:p w14:paraId="46D632A4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1558" w:type="pct"/>
          </w:tcPr>
          <w:p w14:paraId="22619878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7.5</w:t>
            </w:r>
          </w:p>
        </w:tc>
      </w:tr>
      <w:tr w:rsidR="00095B7C" w:rsidRPr="00095B7C" w14:paraId="683F1F7E" w14:textId="77777777" w:rsidTr="00344913">
        <w:trPr>
          <w:trHeight w:val="210"/>
        </w:trPr>
        <w:tc>
          <w:tcPr>
            <w:tcW w:w="1903" w:type="pct"/>
            <w:shd w:val="clear" w:color="auto" w:fill="auto"/>
            <w:vAlign w:val="center"/>
          </w:tcPr>
          <w:p w14:paraId="78ED395A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12 months</w:t>
            </w:r>
          </w:p>
        </w:tc>
        <w:tc>
          <w:tcPr>
            <w:tcW w:w="1539" w:type="pct"/>
            <w:shd w:val="clear" w:color="auto" w:fill="auto"/>
            <w:vAlign w:val="center"/>
          </w:tcPr>
          <w:p w14:paraId="3FBE2B87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n=1172</w:t>
            </w:r>
          </w:p>
        </w:tc>
        <w:tc>
          <w:tcPr>
            <w:tcW w:w="1558" w:type="pct"/>
          </w:tcPr>
          <w:p w14:paraId="7D98C15E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n=4482</w:t>
            </w:r>
          </w:p>
        </w:tc>
      </w:tr>
      <w:tr w:rsidR="00095B7C" w:rsidRPr="00095B7C" w14:paraId="5BF020CB" w14:textId="77777777" w:rsidTr="00344913">
        <w:trPr>
          <w:trHeight w:val="210"/>
        </w:trPr>
        <w:tc>
          <w:tcPr>
            <w:tcW w:w="1903" w:type="pct"/>
            <w:shd w:val="clear" w:color="auto" w:fill="auto"/>
            <w:vAlign w:val="center"/>
          </w:tcPr>
          <w:p w14:paraId="58A817CA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39" w:type="pct"/>
            <w:shd w:val="clear" w:color="auto" w:fill="auto"/>
            <w:vAlign w:val="center"/>
          </w:tcPr>
          <w:p w14:paraId="43A57341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28.8</w:t>
            </w:r>
          </w:p>
        </w:tc>
        <w:tc>
          <w:tcPr>
            <w:tcW w:w="1558" w:type="pct"/>
          </w:tcPr>
          <w:p w14:paraId="3D435A68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20.1</w:t>
            </w:r>
          </w:p>
        </w:tc>
      </w:tr>
      <w:tr w:rsidR="00095B7C" w:rsidRPr="00095B7C" w14:paraId="6F5D7972" w14:textId="77777777" w:rsidTr="00344913">
        <w:trPr>
          <w:trHeight w:val="210"/>
        </w:trPr>
        <w:tc>
          <w:tcPr>
            <w:tcW w:w="1903" w:type="pct"/>
            <w:shd w:val="clear" w:color="auto" w:fill="auto"/>
            <w:vAlign w:val="center"/>
          </w:tcPr>
          <w:p w14:paraId="262703DC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1–4</w:t>
            </w:r>
          </w:p>
        </w:tc>
        <w:tc>
          <w:tcPr>
            <w:tcW w:w="1539" w:type="pct"/>
            <w:shd w:val="clear" w:color="auto" w:fill="auto"/>
            <w:vAlign w:val="center"/>
          </w:tcPr>
          <w:p w14:paraId="41CBC8EB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39.2</w:t>
            </w:r>
          </w:p>
        </w:tc>
        <w:tc>
          <w:tcPr>
            <w:tcW w:w="1558" w:type="pct"/>
          </w:tcPr>
          <w:p w14:paraId="41E7A97A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36.6</w:t>
            </w:r>
          </w:p>
        </w:tc>
      </w:tr>
      <w:tr w:rsidR="00095B7C" w:rsidRPr="00095B7C" w14:paraId="30007B68" w14:textId="77777777" w:rsidTr="00344913">
        <w:trPr>
          <w:trHeight w:val="210"/>
        </w:trPr>
        <w:tc>
          <w:tcPr>
            <w:tcW w:w="1903" w:type="pct"/>
            <w:shd w:val="clear" w:color="auto" w:fill="auto"/>
            <w:vAlign w:val="center"/>
          </w:tcPr>
          <w:p w14:paraId="7008F93B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5–8</w:t>
            </w:r>
          </w:p>
        </w:tc>
        <w:tc>
          <w:tcPr>
            <w:tcW w:w="1539" w:type="pct"/>
            <w:shd w:val="clear" w:color="auto" w:fill="auto"/>
            <w:vAlign w:val="center"/>
          </w:tcPr>
          <w:p w14:paraId="234E3F27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16.6</w:t>
            </w:r>
          </w:p>
        </w:tc>
        <w:tc>
          <w:tcPr>
            <w:tcW w:w="1558" w:type="pct"/>
          </w:tcPr>
          <w:p w14:paraId="0BD9723E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21.2</w:t>
            </w:r>
          </w:p>
        </w:tc>
      </w:tr>
      <w:tr w:rsidR="00095B7C" w:rsidRPr="00095B7C" w14:paraId="2F3B1B58" w14:textId="77777777" w:rsidTr="00344913">
        <w:trPr>
          <w:trHeight w:val="210"/>
        </w:trPr>
        <w:tc>
          <w:tcPr>
            <w:tcW w:w="1903" w:type="pct"/>
            <w:shd w:val="clear" w:color="auto" w:fill="auto"/>
            <w:vAlign w:val="center"/>
          </w:tcPr>
          <w:p w14:paraId="1D8B182E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9–12</w:t>
            </w:r>
          </w:p>
        </w:tc>
        <w:tc>
          <w:tcPr>
            <w:tcW w:w="1539" w:type="pct"/>
            <w:shd w:val="clear" w:color="auto" w:fill="auto"/>
            <w:vAlign w:val="center"/>
          </w:tcPr>
          <w:p w14:paraId="7C2B568D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10.0</w:t>
            </w:r>
          </w:p>
        </w:tc>
        <w:tc>
          <w:tcPr>
            <w:tcW w:w="1558" w:type="pct"/>
          </w:tcPr>
          <w:p w14:paraId="25A4681E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13.5</w:t>
            </w:r>
          </w:p>
        </w:tc>
      </w:tr>
      <w:tr w:rsidR="00095B7C" w:rsidRPr="00095B7C" w14:paraId="4AA9816E" w14:textId="77777777" w:rsidTr="00344913">
        <w:trPr>
          <w:trHeight w:val="210"/>
        </w:trPr>
        <w:tc>
          <w:tcPr>
            <w:tcW w:w="1903" w:type="pct"/>
            <w:shd w:val="clear" w:color="auto" w:fill="auto"/>
            <w:vAlign w:val="center"/>
          </w:tcPr>
          <w:p w14:paraId="0994CDA6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13+ </w:t>
            </w:r>
          </w:p>
        </w:tc>
        <w:tc>
          <w:tcPr>
            <w:tcW w:w="1539" w:type="pct"/>
            <w:shd w:val="clear" w:color="auto" w:fill="auto"/>
            <w:vAlign w:val="center"/>
          </w:tcPr>
          <w:p w14:paraId="2CA20224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5.5</w:t>
            </w:r>
          </w:p>
        </w:tc>
        <w:tc>
          <w:tcPr>
            <w:tcW w:w="1558" w:type="pct"/>
          </w:tcPr>
          <w:p w14:paraId="5E38F8B1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8.7</w:t>
            </w:r>
          </w:p>
        </w:tc>
      </w:tr>
      <w:tr w:rsidR="00095B7C" w:rsidRPr="00095B7C" w14:paraId="706E31D7" w14:textId="77777777" w:rsidTr="00344913">
        <w:trPr>
          <w:trHeight w:val="197"/>
        </w:trPr>
        <w:tc>
          <w:tcPr>
            <w:tcW w:w="1903" w:type="pct"/>
            <w:shd w:val="clear" w:color="auto" w:fill="auto"/>
            <w:vAlign w:val="center"/>
          </w:tcPr>
          <w:p w14:paraId="63D73EB6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18 months</w:t>
            </w:r>
          </w:p>
        </w:tc>
        <w:tc>
          <w:tcPr>
            <w:tcW w:w="1539" w:type="pct"/>
            <w:shd w:val="clear" w:color="auto" w:fill="auto"/>
          </w:tcPr>
          <w:p w14:paraId="538DBF95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n=932</w:t>
            </w:r>
          </w:p>
        </w:tc>
        <w:tc>
          <w:tcPr>
            <w:tcW w:w="1558" w:type="pct"/>
          </w:tcPr>
          <w:p w14:paraId="7FFB8D71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n=4041</w:t>
            </w:r>
          </w:p>
        </w:tc>
      </w:tr>
      <w:tr w:rsidR="00095B7C" w:rsidRPr="00095B7C" w14:paraId="3F13BC17" w14:textId="77777777" w:rsidTr="00344913">
        <w:trPr>
          <w:trHeight w:val="197"/>
        </w:trPr>
        <w:tc>
          <w:tcPr>
            <w:tcW w:w="1903" w:type="pct"/>
            <w:shd w:val="clear" w:color="auto" w:fill="auto"/>
            <w:vAlign w:val="center"/>
          </w:tcPr>
          <w:p w14:paraId="4E7B06CE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39" w:type="pct"/>
            <w:shd w:val="clear" w:color="auto" w:fill="auto"/>
          </w:tcPr>
          <w:p w14:paraId="60C0F6DC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22.1</w:t>
            </w:r>
          </w:p>
        </w:tc>
        <w:tc>
          <w:tcPr>
            <w:tcW w:w="1558" w:type="pct"/>
          </w:tcPr>
          <w:p w14:paraId="65CB3095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13.8</w:t>
            </w:r>
          </w:p>
        </w:tc>
      </w:tr>
      <w:tr w:rsidR="00095B7C" w:rsidRPr="00095B7C" w14:paraId="677C205F" w14:textId="77777777" w:rsidTr="00344913">
        <w:trPr>
          <w:trHeight w:val="197"/>
        </w:trPr>
        <w:tc>
          <w:tcPr>
            <w:tcW w:w="1903" w:type="pct"/>
            <w:shd w:val="clear" w:color="auto" w:fill="auto"/>
            <w:vAlign w:val="center"/>
          </w:tcPr>
          <w:p w14:paraId="732390C6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1–6</w:t>
            </w:r>
          </w:p>
        </w:tc>
        <w:tc>
          <w:tcPr>
            <w:tcW w:w="1539" w:type="pct"/>
            <w:shd w:val="clear" w:color="auto" w:fill="auto"/>
          </w:tcPr>
          <w:p w14:paraId="3675F4A4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45.1</w:t>
            </w:r>
          </w:p>
        </w:tc>
        <w:tc>
          <w:tcPr>
            <w:tcW w:w="1558" w:type="pct"/>
          </w:tcPr>
          <w:p w14:paraId="66370307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41.0</w:t>
            </w:r>
          </w:p>
        </w:tc>
      </w:tr>
      <w:tr w:rsidR="00095B7C" w:rsidRPr="00095B7C" w14:paraId="24297B07" w14:textId="77777777" w:rsidTr="00344913">
        <w:trPr>
          <w:trHeight w:val="197"/>
        </w:trPr>
        <w:tc>
          <w:tcPr>
            <w:tcW w:w="1903" w:type="pct"/>
            <w:shd w:val="clear" w:color="auto" w:fill="auto"/>
            <w:vAlign w:val="center"/>
          </w:tcPr>
          <w:p w14:paraId="1FF2CDE1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7–12</w:t>
            </w:r>
          </w:p>
        </w:tc>
        <w:tc>
          <w:tcPr>
            <w:tcW w:w="1539" w:type="pct"/>
            <w:shd w:val="clear" w:color="auto" w:fill="auto"/>
          </w:tcPr>
          <w:p w14:paraId="40D103C2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17.7</w:t>
            </w:r>
          </w:p>
        </w:tc>
        <w:tc>
          <w:tcPr>
            <w:tcW w:w="1558" w:type="pct"/>
          </w:tcPr>
          <w:p w14:paraId="2D8A0D35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22.2</w:t>
            </w:r>
          </w:p>
        </w:tc>
      </w:tr>
      <w:tr w:rsidR="00095B7C" w:rsidRPr="00095B7C" w14:paraId="075902A6" w14:textId="77777777" w:rsidTr="00344913">
        <w:trPr>
          <w:trHeight w:val="197"/>
        </w:trPr>
        <w:tc>
          <w:tcPr>
            <w:tcW w:w="1903" w:type="pct"/>
            <w:shd w:val="clear" w:color="auto" w:fill="auto"/>
            <w:vAlign w:val="center"/>
          </w:tcPr>
          <w:p w14:paraId="66618E09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13–18</w:t>
            </w:r>
          </w:p>
        </w:tc>
        <w:tc>
          <w:tcPr>
            <w:tcW w:w="1539" w:type="pct"/>
            <w:shd w:val="clear" w:color="auto" w:fill="auto"/>
          </w:tcPr>
          <w:p w14:paraId="4792EEF2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9.8</w:t>
            </w:r>
          </w:p>
        </w:tc>
        <w:tc>
          <w:tcPr>
            <w:tcW w:w="1558" w:type="pct"/>
          </w:tcPr>
          <w:p w14:paraId="6AE5A788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14.2</w:t>
            </w:r>
          </w:p>
        </w:tc>
      </w:tr>
      <w:tr w:rsidR="00095B7C" w:rsidRPr="00095B7C" w14:paraId="0AA8DA22" w14:textId="77777777" w:rsidTr="00344913">
        <w:trPr>
          <w:trHeight w:val="197"/>
        </w:trPr>
        <w:tc>
          <w:tcPr>
            <w:tcW w:w="1903" w:type="pct"/>
            <w:shd w:val="clear" w:color="auto" w:fill="auto"/>
            <w:vAlign w:val="center"/>
          </w:tcPr>
          <w:p w14:paraId="7CC73FB1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19+ </w:t>
            </w:r>
          </w:p>
        </w:tc>
        <w:tc>
          <w:tcPr>
            <w:tcW w:w="1539" w:type="pct"/>
            <w:shd w:val="clear" w:color="auto" w:fill="auto"/>
          </w:tcPr>
          <w:p w14:paraId="02E35BA5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5.4</w:t>
            </w:r>
          </w:p>
        </w:tc>
        <w:tc>
          <w:tcPr>
            <w:tcW w:w="1558" w:type="pct"/>
          </w:tcPr>
          <w:p w14:paraId="673F839C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8.8</w:t>
            </w:r>
          </w:p>
        </w:tc>
      </w:tr>
      <w:tr w:rsidR="00095B7C" w:rsidRPr="00095B7C" w14:paraId="6917FD54" w14:textId="77777777" w:rsidTr="00344913">
        <w:trPr>
          <w:trHeight w:val="197"/>
        </w:trPr>
        <w:tc>
          <w:tcPr>
            <w:tcW w:w="1903" w:type="pct"/>
            <w:shd w:val="clear" w:color="auto" w:fill="auto"/>
          </w:tcPr>
          <w:p w14:paraId="0AC50865" w14:textId="77777777" w:rsidR="00095B7C" w:rsidRPr="00095B7C" w:rsidRDefault="00095B7C" w:rsidP="00095B7C">
            <w:pPr>
              <w:spacing w:after="220" w:line="36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24 months</w:t>
            </w:r>
          </w:p>
        </w:tc>
        <w:tc>
          <w:tcPr>
            <w:tcW w:w="1539" w:type="pct"/>
            <w:shd w:val="clear" w:color="auto" w:fill="auto"/>
          </w:tcPr>
          <w:p w14:paraId="43DFCD74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n=723</w:t>
            </w:r>
          </w:p>
        </w:tc>
        <w:tc>
          <w:tcPr>
            <w:tcW w:w="1558" w:type="pct"/>
          </w:tcPr>
          <w:p w14:paraId="7BD9AEE8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n=3646</w:t>
            </w:r>
          </w:p>
        </w:tc>
      </w:tr>
      <w:tr w:rsidR="00095B7C" w:rsidRPr="00095B7C" w14:paraId="3F5BFA28" w14:textId="77777777" w:rsidTr="00344913">
        <w:trPr>
          <w:trHeight w:val="197"/>
        </w:trPr>
        <w:tc>
          <w:tcPr>
            <w:tcW w:w="1903" w:type="pct"/>
            <w:shd w:val="clear" w:color="auto" w:fill="auto"/>
            <w:vAlign w:val="center"/>
          </w:tcPr>
          <w:p w14:paraId="585E73E1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539" w:type="pct"/>
            <w:shd w:val="clear" w:color="auto" w:fill="auto"/>
          </w:tcPr>
          <w:p w14:paraId="3A905BF3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17.8</w:t>
            </w:r>
          </w:p>
        </w:tc>
        <w:tc>
          <w:tcPr>
            <w:tcW w:w="1558" w:type="pct"/>
          </w:tcPr>
          <w:p w14:paraId="4F24519E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10.4</w:t>
            </w:r>
          </w:p>
        </w:tc>
      </w:tr>
      <w:tr w:rsidR="00095B7C" w:rsidRPr="00095B7C" w14:paraId="436DB5A6" w14:textId="77777777" w:rsidTr="00344913">
        <w:trPr>
          <w:trHeight w:val="197"/>
        </w:trPr>
        <w:tc>
          <w:tcPr>
            <w:tcW w:w="1903" w:type="pct"/>
            <w:shd w:val="clear" w:color="auto" w:fill="auto"/>
            <w:vAlign w:val="center"/>
          </w:tcPr>
          <w:p w14:paraId="4698AF9D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1–8</w:t>
            </w:r>
          </w:p>
        </w:tc>
        <w:tc>
          <w:tcPr>
            <w:tcW w:w="1539" w:type="pct"/>
            <w:shd w:val="clear" w:color="auto" w:fill="auto"/>
          </w:tcPr>
          <w:p w14:paraId="6A960721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50.8</w:t>
            </w:r>
          </w:p>
        </w:tc>
        <w:tc>
          <w:tcPr>
            <w:tcW w:w="1558" w:type="pct"/>
          </w:tcPr>
          <w:p w14:paraId="189C68D0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43.0</w:t>
            </w:r>
          </w:p>
        </w:tc>
      </w:tr>
      <w:tr w:rsidR="00095B7C" w:rsidRPr="00095B7C" w14:paraId="2DD2C0D1" w14:textId="77777777" w:rsidTr="00344913">
        <w:trPr>
          <w:trHeight w:val="197"/>
        </w:trPr>
        <w:tc>
          <w:tcPr>
            <w:tcW w:w="1903" w:type="pct"/>
            <w:shd w:val="clear" w:color="auto" w:fill="auto"/>
            <w:vAlign w:val="center"/>
          </w:tcPr>
          <w:p w14:paraId="62DE8316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9–16</w:t>
            </w:r>
          </w:p>
        </w:tc>
        <w:tc>
          <w:tcPr>
            <w:tcW w:w="1539" w:type="pct"/>
            <w:shd w:val="clear" w:color="auto" w:fill="auto"/>
          </w:tcPr>
          <w:p w14:paraId="0D57BE68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17.3</w:t>
            </w:r>
          </w:p>
        </w:tc>
        <w:tc>
          <w:tcPr>
            <w:tcW w:w="1558" w:type="pct"/>
          </w:tcPr>
          <w:p w14:paraId="7A306655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23.0</w:t>
            </w:r>
          </w:p>
        </w:tc>
      </w:tr>
      <w:tr w:rsidR="00095B7C" w:rsidRPr="00095B7C" w14:paraId="38C6ECB2" w14:textId="77777777" w:rsidTr="00344913">
        <w:trPr>
          <w:trHeight w:val="197"/>
        </w:trPr>
        <w:tc>
          <w:tcPr>
            <w:tcW w:w="1903" w:type="pct"/>
            <w:shd w:val="clear" w:color="auto" w:fill="auto"/>
            <w:vAlign w:val="center"/>
          </w:tcPr>
          <w:p w14:paraId="093BE82C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17–24</w:t>
            </w:r>
          </w:p>
        </w:tc>
        <w:tc>
          <w:tcPr>
            <w:tcW w:w="1539" w:type="pct"/>
            <w:shd w:val="clear" w:color="auto" w:fill="auto"/>
          </w:tcPr>
          <w:p w14:paraId="5A469615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9.0</w:t>
            </w:r>
          </w:p>
        </w:tc>
        <w:tc>
          <w:tcPr>
            <w:tcW w:w="1558" w:type="pct"/>
          </w:tcPr>
          <w:p w14:paraId="60F88303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14.5</w:t>
            </w:r>
          </w:p>
        </w:tc>
      </w:tr>
      <w:tr w:rsidR="00095B7C" w:rsidRPr="00095B7C" w14:paraId="4CAB942D" w14:textId="77777777" w:rsidTr="00344913">
        <w:trPr>
          <w:trHeight w:val="197"/>
        </w:trPr>
        <w:tc>
          <w:tcPr>
            <w:tcW w:w="1903" w:type="pct"/>
            <w:shd w:val="clear" w:color="auto" w:fill="auto"/>
            <w:vAlign w:val="center"/>
          </w:tcPr>
          <w:p w14:paraId="42734400" w14:textId="77777777" w:rsidR="00095B7C" w:rsidRPr="00095B7C" w:rsidRDefault="00095B7C" w:rsidP="00095B7C">
            <w:pPr>
              <w:spacing w:after="220" w:line="360" w:lineRule="auto"/>
              <w:ind w:left="31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25+ </w:t>
            </w:r>
          </w:p>
        </w:tc>
        <w:tc>
          <w:tcPr>
            <w:tcW w:w="1539" w:type="pct"/>
            <w:shd w:val="clear" w:color="auto" w:fill="auto"/>
          </w:tcPr>
          <w:p w14:paraId="5B049DF3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5.1</w:t>
            </w:r>
          </w:p>
        </w:tc>
        <w:tc>
          <w:tcPr>
            <w:tcW w:w="1558" w:type="pct"/>
          </w:tcPr>
          <w:p w14:paraId="5B2C46F9" w14:textId="77777777" w:rsidR="00095B7C" w:rsidRPr="00095B7C" w:rsidRDefault="00095B7C" w:rsidP="00095B7C">
            <w:pPr>
              <w:spacing w:after="22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95B7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9.2</w:t>
            </w:r>
          </w:p>
        </w:tc>
      </w:tr>
    </w:tbl>
    <w:p w14:paraId="6D605464" w14:textId="77777777" w:rsidR="00095B7C" w:rsidRPr="00095B7C" w:rsidRDefault="00095B7C" w:rsidP="00095B7C">
      <w:pPr>
        <w:spacing w:after="22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FE6612D" w14:textId="5C0AA476" w:rsidR="00F4002D" w:rsidRPr="00D42FDF" w:rsidRDefault="00095B7C" w:rsidP="00D42FDF">
      <w:pPr>
        <w:spacing w:after="220" w:line="480" w:lineRule="auto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095B7C">
        <w:rPr>
          <w:rFonts w:ascii="Arial" w:eastAsia="Times New Roman" w:hAnsi="Arial" w:cs="Arial"/>
          <w:bCs/>
          <w:sz w:val="20"/>
          <w:szCs w:val="20"/>
          <w:lang w:eastAsia="en-GB"/>
        </w:rPr>
        <w:t>ICS, inhaled corticosteroid; LABA, long-acting β</w:t>
      </w:r>
      <w:r w:rsidRPr="00095B7C">
        <w:rPr>
          <w:rFonts w:ascii="Arial" w:eastAsia="Times New Roman" w:hAnsi="Arial" w:cs="Arial"/>
          <w:bCs/>
          <w:sz w:val="20"/>
          <w:szCs w:val="20"/>
          <w:vertAlign w:val="subscript"/>
          <w:lang w:eastAsia="en-GB"/>
        </w:rPr>
        <w:t>2</w:t>
      </w:r>
      <w:r w:rsidRPr="00095B7C">
        <w:rPr>
          <w:rFonts w:ascii="Arial" w:eastAsia="Times New Roman" w:hAnsi="Arial" w:cs="Arial"/>
          <w:bCs/>
          <w:sz w:val="20"/>
          <w:szCs w:val="20"/>
          <w:lang w:eastAsia="en-GB"/>
        </w:rPr>
        <w:t>-agonist; UMEC, umeclidinium; VI, vilanterol.</w:t>
      </w:r>
    </w:p>
    <w:sectPr w:rsidR="00F4002D" w:rsidRPr="00D42FDF" w:rsidSect="00E939F4">
      <w:pgSz w:w="11907" w:h="16840" w:code="9"/>
      <w:pgMar w:top="1440" w:right="1797" w:bottom="1440" w:left="1797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BB0"/>
    <w:multiLevelType w:val="hybridMultilevel"/>
    <w:tmpl w:val="C39A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7A0C"/>
    <w:multiLevelType w:val="hybridMultilevel"/>
    <w:tmpl w:val="CB16B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0168C"/>
    <w:multiLevelType w:val="hybridMultilevel"/>
    <w:tmpl w:val="78282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50268"/>
    <w:multiLevelType w:val="hybridMultilevel"/>
    <w:tmpl w:val="FEE88FC6"/>
    <w:lvl w:ilvl="0" w:tplc="6D885E3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DCCB14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58BE"/>
    <w:multiLevelType w:val="hybridMultilevel"/>
    <w:tmpl w:val="9918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24620"/>
    <w:multiLevelType w:val="hybridMultilevel"/>
    <w:tmpl w:val="EB1A03B0"/>
    <w:lvl w:ilvl="0" w:tplc="C7E88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20E7"/>
    <w:multiLevelType w:val="hybridMultilevel"/>
    <w:tmpl w:val="70F25F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81944BD"/>
    <w:multiLevelType w:val="hybridMultilevel"/>
    <w:tmpl w:val="F32691B2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19D5B3C"/>
    <w:multiLevelType w:val="hybridMultilevel"/>
    <w:tmpl w:val="AD2A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46C34"/>
    <w:multiLevelType w:val="hybridMultilevel"/>
    <w:tmpl w:val="A61CE8C8"/>
    <w:lvl w:ilvl="0" w:tplc="CFFA568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22DB8A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C2D2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B0BF6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0C817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9E84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FA9BF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21AA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160A8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AFB36EE"/>
    <w:multiLevelType w:val="hybridMultilevel"/>
    <w:tmpl w:val="26226450"/>
    <w:lvl w:ilvl="0" w:tplc="ABEE6F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F97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807FE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C68C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F44FC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9874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4C10F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86685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2A1C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C532BF9"/>
    <w:multiLevelType w:val="hybridMultilevel"/>
    <w:tmpl w:val="FFECCB5C"/>
    <w:lvl w:ilvl="0" w:tplc="6D98C3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C71C1"/>
    <w:multiLevelType w:val="hybridMultilevel"/>
    <w:tmpl w:val="F3221B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1D83159"/>
    <w:multiLevelType w:val="hybridMultilevel"/>
    <w:tmpl w:val="BD609FB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2894A20"/>
    <w:multiLevelType w:val="hybridMultilevel"/>
    <w:tmpl w:val="B87AB1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B832C0D"/>
    <w:multiLevelType w:val="hybridMultilevel"/>
    <w:tmpl w:val="C406B996"/>
    <w:lvl w:ilvl="0" w:tplc="2E74772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1522635">
    <w:abstractNumId w:val="3"/>
  </w:num>
  <w:num w:numId="2" w16cid:durableId="17315472">
    <w:abstractNumId w:val="14"/>
  </w:num>
  <w:num w:numId="3" w16cid:durableId="2118061966">
    <w:abstractNumId w:val="12"/>
  </w:num>
  <w:num w:numId="4" w16cid:durableId="2099522484">
    <w:abstractNumId w:val="6"/>
  </w:num>
  <w:num w:numId="5" w16cid:durableId="1427381093">
    <w:abstractNumId w:val="10"/>
  </w:num>
  <w:num w:numId="6" w16cid:durableId="615327469">
    <w:abstractNumId w:val="7"/>
  </w:num>
  <w:num w:numId="7" w16cid:durableId="129978672">
    <w:abstractNumId w:val="9"/>
  </w:num>
  <w:num w:numId="8" w16cid:durableId="1789473501">
    <w:abstractNumId w:val="4"/>
  </w:num>
  <w:num w:numId="9" w16cid:durableId="191963019">
    <w:abstractNumId w:val="5"/>
  </w:num>
  <w:num w:numId="10" w16cid:durableId="1368795349">
    <w:abstractNumId w:val="0"/>
  </w:num>
  <w:num w:numId="11" w16cid:durableId="809253173">
    <w:abstractNumId w:val="2"/>
  </w:num>
  <w:num w:numId="12" w16cid:durableId="1850899710">
    <w:abstractNumId w:val="8"/>
  </w:num>
  <w:num w:numId="13" w16cid:durableId="39598761">
    <w:abstractNumId w:val="15"/>
  </w:num>
  <w:num w:numId="14" w16cid:durableId="458501010">
    <w:abstractNumId w:val="13"/>
  </w:num>
  <w:num w:numId="15" w16cid:durableId="836191697">
    <w:abstractNumId w:val="1"/>
  </w:num>
  <w:num w:numId="16" w16cid:durableId="4305134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7C"/>
    <w:rsid w:val="00000D7B"/>
    <w:rsid w:val="000014CF"/>
    <w:rsid w:val="000021D5"/>
    <w:rsid w:val="0000691A"/>
    <w:rsid w:val="0001778C"/>
    <w:rsid w:val="00017DF1"/>
    <w:rsid w:val="00025231"/>
    <w:rsid w:val="00030A39"/>
    <w:rsid w:val="00031D97"/>
    <w:rsid w:val="00031EE1"/>
    <w:rsid w:val="00031FEC"/>
    <w:rsid w:val="00035AC7"/>
    <w:rsid w:val="00035C30"/>
    <w:rsid w:val="0003772E"/>
    <w:rsid w:val="0004134D"/>
    <w:rsid w:val="000421C2"/>
    <w:rsid w:val="00042701"/>
    <w:rsid w:val="0004391E"/>
    <w:rsid w:val="0004484B"/>
    <w:rsid w:val="0005064B"/>
    <w:rsid w:val="00050C14"/>
    <w:rsid w:val="0005268C"/>
    <w:rsid w:val="00052CD4"/>
    <w:rsid w:val="00054088"/>
    <w:rsid w:val="00056493"/>
    <w:rsid w:val="000564A5"/>
    <w:rsid w:val="000568CE"/>
    <w:rsid w:val="0005729D"/>
    <w:rsid w:val="00060016"/>
    <w:rsid w:val="00061249"/>
    <w:rsid w:val="000618FB"/>
    <w:rsid w:val="00062BDF"/>
    <w:rsid w:val="00062F1C"/>
    <w:rsid w:val="000643B5"/>
    <w:rsid w:val="00065ACB"/>
    <w:rsid w:val="00065BC9"/>
    <w:rsid w:val="00070C36"/>
    <w:rsid w:val="00071E33"/>
    <w:rsid w:val="00073CDD"/>
    <w:rsid w:val="00074C7F"/>
    <w:rsid w:val="00074C8D"/>
    <w:rsid w:val="000776F5"/>
    <w:rsid w:val="000777F1"/>
    <w:rsid w:val="0008022B"/>
    <w:rsid w:val="00081CBD"/>
    <w:rsid w:val="00082771"/>
    <w:rsid w:val="00084BA4"/>
    <w:rsid w:val="00086E06"/>
    <w:rsid w:val="00091D0C"/>
    <w:rsid w:val="00093468"/>
    <w:rsid w:val="00094CA7"/>
    <w:rsid w:val="00095B7C"/>
    <w:rsid w:val="000A2783"/>
    <w:rsid w:val="000A4C82"/>
    <w:rsid w:val="000A6C6E"/>
    <w:rsid w:val="000B0EF1"/>
    <w:rsid w:val="000B19A5"/>
    <w:rsid w:val="000C0A2F"/>
    <w:rsid w:val="000C21BE"/>
    <w:rsid w:val="000C256E"/>
    <w:rsid w:val="000C2F75"/>
    <w:rsid w:val="000C3DFF"/>
    <w:rsid w:val="000C61DB"/>
    <w:rsid w:val="000C6F0C"/>
    <w:rsid w:val="000C7129"/>
    <w:rsid w:val="000D1FBA"/>
    <w:rsid w:val="000D3E12"/>
    <w:rsid w:val="000D4DAC"/>
    <w:rsid w:val="000D4E0A"/>
    <w:rsid w:val="000D598D"/>
    <w:rsid w:val="000D69F1"/>
    <w:rsid w:val="000E0771"/>
    <w:rsid w:val="000E0DD3"/>
    <w:rsid w:val="000E33D0"/>
    <w:rsid w:val="000E509E"/>
    <w:rsid w:val="000E7215"/>
    <w:rsid w:val="000F091E"/>
    <w:rsid w:val="000F279E"/>
    <w:rsid w:val="000F5196"/>
    <w:rsid w:val="000F62ED"/>
    <w:rsid w:val="000F7321"/>
    <w:rsid w:val="000F79AC"/>
    <w:rsid w:val="00100200"/>
    <w:rsid w:val="001007A6"/>
    <w:rsid w:val="0010139A"/>
    <w:rsid w:val="00102033"/>
    <w:rsid w:val="0010411E"/>
    <w:rsid w:val="001047E3"/>
    <w:rsid w:val="00105532"/>
    <w:rsid w:val="00107FF1"/>
    <w:rsid w:val="00110CA0"/>
    <w:rsid w:val="001140FB"/>
    <w:rsid w:val="001150B5"/>
    <w:rsid w:val="00116A46"/>
    <w:rsid w:val="00117795"/>
    <w:rsid w:val="00120087"/>
    <w:rsid w:val="0012030A"/>
    <w:rsid w:val="00121F42"/>
    <w:rsid w:val="00122BE6"/>
    <w:rsid w:val="00122C7F"/>
    <w:rsid w:val="0012438C"/>
    <w:rsid w:val="00125B76"/>
    <w:rsid w:val="001275B2"/>
    <w:rsid w:val="00132A91"/>
    <w:rsid w:val="00132E54"/>
    <w:rsid w:val="00133D82"/>
    <w:rsid w:val="001354A0"/>
    <w:rsid w:val="00140C36"/>
    <w:rsid w:val="001410B6"/>
    <w:rsid w:val="00142238"/>
    <w:rsid w:val="001422B8"/>
    <w:rsid w:val="001428BF"/>
    <w:rsid w:val="001449E8"/>
    <w:rsid w:val="00146D1C"/>
    <w:rsid w:val="00147739"/>
    <w:rsid w:val="00151A43"/>
    <w:rsid w:val="00163DD1"/>
    <w:rsid w:val="00164BDE"/>
    <w:rsid w:val="0016770E"/>
    <w:rsid w:val="00172DE0"/>
    <w:rsid w:val="00174416"/>
    <w:rsid w:val="001777B4"/>
    <w:rsid w:val="00180B76"/>
    <w:rsid w:val="001837B6"/>
    <w:rsid w:val="00183F8A"/>
    <w:rsid w:val="001842ED"/>
    <w:rsid w:val="00184851"/>
    <w:rsid w:val="00187036"/>
    <w:rsid w:val="0019445C"/>
    <w:rsid w:val="00194A44"/>
    <w:rsid w:val="00194AB2"/>
    <w:rsid w:val="00195849"/>
    <w:rsid w:val="001A01E3"/>
    <w:rsid w:val="001A0689"/>
    <w:rsid w:val="001A0905"/>
    <w:rsid w:val="001A1FD6"/>
    <w:rsid w:val="001A403D"/>
    <w:rsid w:val="001A606C"/>
    <w:rsid w:val="001A636B"/>
    <w:rsid w:val="001B1BBB"/>
    <w:rsid w:val="001B61E2"/>
    <w:rsid w:val="001B6A9F"/>
    <w:rsid w:val="001C1352"/>
    <w:rsid w:val="001C1AA6"/>
    <w:rsid w:val="001C1E71"/>
    <w:rsid w:val="001C3E93"/>
    <w:rsid w:val="001C42AB"/>
    <w:rsid w:val="001C56BB"/>
    <w:rsid w:val="001C7865"/>
    <w:rsid w:val="001D00F7"/>
    <w:rsid w:val="001D013E"/>
    <w:rsid w:val="001D3794"/>
    <w:rsid w:val="001D4AC2"/>
    <w:rsid w:val="001D50B4"/>
    <w:rsid w:val="001D562F"/>
    <w:rsid w:val="001E4EFF"/>
    <w:rsid w:val="001F0018"/>
    <w:rsid w:val="001F3A75"/>
    <w:rsid w:val="001F3D60"/>
    <w:rsid w:val="001F6266"/>
    <w:rsid w:val="001F78E4"/>
    <w:rsid w:val="001F7F01"/>
    <w:rsid w:val="00200056"/>
    <w:rsid w:val="00201CE1"/>
    <w:rsid w:val="00202DF8"/>
    <w:rsid w:val="00203065"/>
    <w:rsid w:val="00203F90"/>
    <w:rsid w:val="002046E6"/>
    <w:rsid w:val="00204958"/>
    <w:rsid w:val="0020685A"/>
    <w:rsid w:val="00211BBF"/>
    <w:rsid w:val="00213299"/>
    <w:rsid w:val="0021427B"/>
    <w:rsid w:val="00215AD4"/>
    <w:rsid w:val="00216845"/>
    <w:rsid w:val="00220F57"/>
    <w:rsid w:val="002213BE"/>
    <w:rsid w:val="002230FC"/>
    <w:rsid w:val="00223DD2"/>
    <w:rsid w:val="0023085B"/>
    <w:rsid w:val="00230E9F"/>
    <w:rsid w:val="00231219"/>
    <w:rsid w:val="00236FE4"/>
    <w:rsid w:val="00237256"/>
    <w:rsid w:val="00242F3A"/>
    <w:rsid w:val="002461D7"/>
    <w:rsid w:val="002519D5"/>
    <w:rsid w:val="00255F75"/>
    <w:rsid w:val="00256FC6"/>
    <w:rsid w:val="00260F21"/>
    <w:rsid w:val="00262E48"/>
    <w:rsid w:val="00263783"/>
    <w:rsid w:val="00267BDB"/>
    <w:rsid w:val="00270EA4"/>
    <w:rsid w:val="00270ED5"/>
    <w:rsid w:val="00272B99"/>
    <w:rsid w:val="00273397"/>
    <w:rsid w:val="00273CB4"/>
    <w:rsid w:val="00273E3E"/>
    <w:rsid w:val="00274350"/>
    <w:rsid w:val="0028140B"/>
    <w:rsid w:val="00283069"/>
    <w:rsid w:val="002856AA"/>
    <w:rsid w:val="00286D6C"/>
    <w:rsid w:val="00286FD1"/>
    <w:rsid w:val="002910A5"/>
    <w:rsid w:val="0029216F"/>
    <w:rsid w:val="002926FA"/>
    <w:rsid w:val="00292C76"/>
    <w:rsid w:val="002935BD"/>
    <w:rsid w:val="00293605"/>
    <w:rsid w:val="00293704"/>
    <w:rsid w:val="00293A27"/>
    <w:rsid w:val="002941E9"/>
    <w:rsid w:val="00296D95"/>
    <w:rsid w:val="00297097"/>
    <w:rsid w:val="002A0678"/>
    <w:rsid w:val="002A13B7"/>
    <w:rsid w:val="002A1B8A"/>
    <w:rsid w:val="002A1DFC"/>
    <w:rsid w:val="002A5CA4"/>
    <w:rsid w:val="002A682B"/>
    <w:rsid w:val="002A769B"/>
    <w:rsid w:val="002B2092"/>
    <w:rsid w:val="002B2454"/>
    <w:rsid w:val="002B260E"/>
    <w:rsid w:val="002B2A9D"/>
    <w:rsid w:val="002B2F62"/>
    <w:rsid w:val="002B370A"/>
    <w:rsid w:val="002C0BC5"/>
    <w:rsid w:val="002C275D"/>
    <w:rsid w:val="002C3436"/>
    <w:rsid w:val="002C431F"/>
    <w:rsid w:val="002D2A63"/>
    <w:rsid w:val="002D3887"/>
    <w:rsid w:val="002D39A8"/>
    <w:rsid w:val="002D6664"/>
    <w:rsid w:val="002E1F27"/>
    <w:rsid w:val="002E2AD2"/>
    <w:rsid w:val="002E4298"/>
    <w:rsid w:val="002E5B0D"/>
    <w:rsid w:val="002E666C"/>
    <w:rsid w:val="002E72FF"/>
    <w:rsid w:val="002F086E"/>
    <w:rsid w:val="002F23D6"/>
    <w:rsid w:val="002F3193"/>
    <w:rsid w:val="002F4E03"/>
    <w:rsid w:val="002F7A2B"/>
    <w:rsid w:val="0030063E"/>
    <w:rsid w:val="0030139F"/>
    <w:rsid w:val="00304517"/>
    <w:rsid w:val="00304C07"/>
    <w:rsid w:val="0030599D"/>
    <w:rsid w:val="003171F9"/>
    <w:rsid w:val="00317A5E"/>
    <w:rsid w:val="00317AFA"/>
    <w:rsid w:val="003202B8"/>
    <w:rsid w:val="00323673"/>
    <w:rsid w:val="00323BF5"/>
    <w:rsid w:val="0032666C"/>
    <w:rsid w:val="00326DBA"/>
    <w:rsid w:val="00327D9B"/>
    <w:rsid w:val="003321E0"/>
    <w:rsid w:val="0033361C"/>
    <w:rsid w:val="0033468D"/>
    <w:rsid w:val="003409C0"/>
    <w:rsid w:val="00345541"/>
    <w:rsid w:val="00346779"/>
    <w:rsid w:val="003510DB"/>
    <w:rsid w:val="00351315"/>
    <w:rsid w:val="003516EA"/>
    <w:rsid w:val="0035181D"/>
    <w:rsid w:val="00353F8E"/>
    <w:rsid w:val="003551FB"/>
    <w:rsid w:val="0035545F"/>
    <w:rsid w:val="00355BA1"/>
    <w:rsid w:val="0035677F"/>
    <w:rsid w:val="00356A29"/>
    <w:rsid w:val="00356C33"/>
    <w:rsid w:val="003572F2"/>
    <w:rsid w:val="0036186F"/>
    <w:rsid w:val="003622E7"/>
    <w:rsid w:val="00370337"/>
    <w:rsid w:val="00371DBF"/>
    <w:rsid w:val="00374842"/>
    <w:rsid w:val="00374C75"/>
    <w:rsid w:val="00374F8F"/>
    <w:rsid w:val="00376E4C"/>
    <w:rsid w:val="0037765A"/>
    <w:rsid w:val="00380C4F"/>
    <w:rsid w:val="00382691"/>
    <w:rsid w:val="003863F3"/>
    <w:rsid w:val="00394B1A"/>
    <w:rsid w:val="0039614F"/>
    <w:rsid w:val="00396351"/>
    <w:rsid w:val="00396E1A"/>
    <w:rsid w:val="003A45F1"/>
    <w:rsid w:val="003A6138"/>
    <w:rsid w:val="003A6E00"/>
    <w:rsid w:val="003B4581"/>
    <w:rsid w:val="003B7458"/>
    <w:rsid w:val="003C093B"/>
    <w:rsid w:val="003C202B"/>
    <w:rsid w:val="003C212E"/>
    <w:rsid w:val="003C39C1"/>
    <w:rsid w:val="003C3F12"/>
    <w:rsid w:val="003C4368"/>
    <w:rsid w:val="003C45F6"/>
    <w:rsid w:val="003C6D5D"/>
    <w:rsid w:val="003C7EF9"/>
    <w:rsid w:val="003D1397"/>
    <w:rsid w:val="003D16B1"/>
    <w:rsid w:val="003D2566"/>
    <w:rsid w:val="003D26EC"/>
    <w:rsid w:val="003D288E"/>
    <w:rsid w:val="003D3192"/>
    <w:rsid w:val="003D49E8"/>
    <w:rsid w:val="003D508B"/>
    <w:rsid w:val="003D5A9E"/>
    <w:rsid w:val="003D5D52"/>
    <w:rsid w:val="003D68A1"/>
    <w:rsid w:val="003D6DF4"/>
    <w:rsid w:val="003D7AE3"/>
    <w:rsid w:val="003D7E1A"/>
    <w:rsid w:val="003E19B0"/>
    <w:rsid w:val="003E2332"/>
    <w:rsid w:val="003E26AF"/>
    <w:rsid w:val="003E3D9C"/>
    <w:rsid w:val="003E45D9"/>
    <w:rsid w:val="003E75FF"/>
    <w:rsid w:val="003F3A08"/>
    <w:rsid w:val="003F3D0B"/>
    <w:rsid w:val="003F3E62"/>
    <w:rsid w:val="003F5500"/>
    <w:rsid w:val="003F7AB9"/>
    <w:rsid w:val="004018AF"/>
    <w:rsid w:val="0040337B"/>
    <w:rsid w:val="00403F4F"/>
    <w:rsid w:val="00404222"/>
    <w:rsid w:val="00404FFB"/>
    <w:rsid w:val="00405036"/>
    <w:rsid w:val="004062C7"/>
    <w:rsid w:val="00407C7F"/>
    <w:rsid w:val="00407EC0"/>
    <w:rsid w:val="00412604"/>
    <w:rsid w:val="004126D1"/>
    <w:rsid w:val="00412F2A"/>
    <w:rsid w:val="004144E2"/>
    <w:rsid w:val="00414CE4"/>
    <w:rsid w:val="00414E76"/>
    <w:rsid w:val="00415965"/>
    <w:rsid w:val="00422301"/>
    <w:rsid w:val="004238F2"/>
    <w:rsid w:val="00423AAF"/>
    <w:rsid w:val="00424DD6"/>
    <w:rsid w:val="0043194B"/>
    <w:rsid w:val="004319B1"/>
    <w:rsid w:val="004322CF"/>
    <w:rsid w:val="004329C2"/>
    <w:rsid w:val="00434FA7"/>
    <w:rsid w:val="0043579E"/>
    <w:rsid w:val="00435CF2"/>
    <w:rsid w:val="004367F4"/>
    <w:rsid w:val="00437A35"/>
    <w:rsid w:val="00437E38"/>
    <w:rsid w:val="004401C3"/>
    <w:rsid w:val="00440A1D"/>
    <w:rsid w:val="00442C96"/>
    <w:rsid w:val="00445227"/>
    <w:rsid w:val="00445E3B"/>
    <w:rsid w:val="00452845"/>
    <w:rsid w:val="0045416A"/>
    <w:rsid w:val="004542CD"/>
    <w:rsid w:val="00455DC3"/>
    <w:rsid w:val="00456AF9"/>
    <w:rsid w:val="00456F93"/>
    <w:rsid w:val="00460744"/>
    <w:rsid w:val="00460DFB"/>
    <w:rsid w:val="00461FCD"/>
    <w:rsid w:val="00464016"/>
    <w:rsid w:val="00464FF3"/>
    <w:rsid w:val="00474A27"/>
    <w:rsid w:val="004770EC"/>
    <w:rsid w:val="00477998"/>
    <w:rsid w:val="0048000A"/>
    <w:rsid w:val="00481E30"/>
    <w:rsid w:val="00483442"/>
    <w:rsid w:val="0048390E"/>
    <w:rsid w:val="004843E3"/>
    <w:rsid w:val="0048455C"/>
    <w:rsid w:val="004854BD"/>
    <w:rsid w:val="0049024C"/>
    <w:rsid w:val="00490367"/>
    <w:rsid w:val="0049097A"/>
    <w:rsid w:val="004929A5"/>
    <w:rsid w:val="00495172"/>
    <w:rsid w:val="00495335"/>
    <w:rsid w:val="00496F35"/>
    <w:rsid w:val="004A1767"/>
    <w:rsid w:val="004A4D37"/>
    <w:rsid w:val="004A6C2F"/>
    <w:rsid w:val="004A7C56"/>
    <w:rsid w:val="004B06A5"/>
    <w:rsid w:val="004B06BD"/>
    <w:rsid w:val="004B1FF3"/>
    <w:rsid w:val="004B3A7F"/>
    <w:rsid w:val="004B74C8"/>
    <w:rsid w:val="004B7B79"/>
    <w:rsid w:val="004B7D7F"/>
    <w:rsid w:val="004C06CE"/>
    <w:rsid w:val="004C12D9"/>
    <w:rsid w:val="004C1C4C"/>
    <w:rsid w:val="004C2148"/>
    <w:rsid w:val="004C32A2"/>
    <w:rsid w:val="004C4538"/>
    <w:rsid w:val="004C6A81"/>
    <w:rsid w:val="004D0AAB"/>
    <w:rsid w:val="004D1F51"/>
    <w:rsid w:val="004D4CD4"/>
    <w:rsid w:val="004D53F4"/>
    <w:rsid w:val="004D57A0"/>
    <w:rsid w:val="004D6491"/>
    <w:rsid w:val="004E08AB"/>
    <w:rsid w:val="004E500B"/>
    <w:rsid w:val="004F1541"/>
    <w:rsid w:val="004F32DC"/>
    <w:rsid w:val="004F38EF"/>
    <w:rsid w:val="004F4153"/>
    <w:rsid w:val="004F4694"/>
    <w:rsid w:val="004F69E4"/>
    <w:rsid w:val="005044D7"/>
    <w:rsid w:val="005045BD"/>
    <w:rsid w:val="005064ED"/>
    <w:rsid w:val="00506527"/>
    <w:rsid w:val="005068E2"/>
    <w:rsid w:val="00506BCA"/>
    <w:rsid w:val="00507F3C"/>
    <w:rsid w:val="0051006B"/>
    <w:rsid w:val="005100BA"/>
    <w:rsid w:val="00510828"/>
    <w:rsid w:val="00511E46"/>
    <w:rsid w:val="0051237D"/>
    <w:rsid w:val="00512388"/>
    <w:rsid w:val="0051270A"/>
    <w:rsid w:val="00514D61"/>
    <w:rsid w:val="005178BE"/>
    <w:rsid w:val="00517E93"/>
    <w:rsid w:val="00520906"/>
    <w:rsid w:val="005210AA"/>
    <w:rsid w:val="00524323"/>
    <w:rsid w:val="00525339"/>
    <w:rsid w:val="00530365"/>
    <w:rsid w:val="00531EB9"/>
    <w:rsid w:val="0053421B"/>
    <w:rsid w:val="00537F32"/>
    <w:rsid w:val="005419E0"/>
    <w:rsid w:val="00543AD6"/>
    <w:rsid w:val="00543FDF"/>
    <w:rsid w:val="00544518"/>
    <w:rsid w:val="00546DD4"/>
    <w:rsid w:val="0055031C"/>
    <w:rsid w:val="00550B8A"/>
    <w:rsid w:val="00550E43"/>
    <w:rsid w:val="0055309D"/>
    <w:rsid w:val="005533C6"/>
    <w:rsid w:val="00554750"/>
    <w:rsid w:val="0055532E"/>
    <w:rsid w:val="005567AD"/>
    <w:rsid w:val="00556872"/>
    <w:rsid w:val="00557C95"/>
    <w:rsid w:val="00560326"/>
    <w:rsid w:val="00561EFB"/>
    <w:rsid w:val="005628DA"/>
    <w:rsid w:val="00564F7C"/>
    <w:rsid w:val="005675AB"/>
    <w:rsid w:val="0057079C"/>
    <w:rsid w:val="005736FE"/>
    <w:rsid w:val="00573F70"/>
    <w:rsid w:val="00576BE7"/>
    <w:rsid w:val="0057774C"/>
    <w:rsid w:val="005857C9"/>
    <w:rsid w:val="00586D50"/>
    <w:rsid w:val="00587FBD"/>
    <w:rsid w:val="005915A6"/>
    <w:rsid w:val="005924CE"/>
    <w:rsid w:val="00593BF3"/>
    <w:rsid w:val="00596558"/>
    <w:rsid w:val="00597742"/>
    <w:rsid w:val="005A165F"/>
    <w:rsid w:val="005A32EE"/>
    <w:rsid w:val="005A387B"/>
    <w:rsid w:val="005A5E45"/>
    <w:rsid w:val="005B1128"/>
    <w:rsid w:val="005B146E"/>
    <w:rsid w:val="005B3951"/>
    <w:rsid w:val="005B4794"/>
    <w:rsid w:val="005B4DC6"/>
    <w:rsid w:val="005B513F"/>
    <w:rsid w:val="005B662B"/>
    <w:rsid w:val="005C11C2"/>
    <w:rsid w:val="005C17E1"/>
    <w:rsid w:val="005C34FE"/>
    <w:rsid w:val="005C4F81"/>
    <w:rsid w:val="005C75FD"/>
    <w:rsid w:val="005D1164"/>
    <w:rsid w:val="005D1AFA"/>
    <w:rsid w:val="005D1D0B"/>
    <w:rsid w:val="005D1DEA"/>
    <w:rsid w:val="005D2C78"/>
    <w:rsid w:val="005D2CB2"/>
    <w:rsid w:val="005D335B"/>
    <w:rsid w:val="005D4C9E"/>
    <w:rsid w:val="005D6768"/>
    <w:rsid w:val="005D7982"/>
    <w:rsid w:val="005E0AB8"/>
    <w:rsid w:val="005E17FA"/>
    <w:rsid w:val="005E2545"/>
    <w:rsid w:val="005E2BED"/>
    <w:rsid w:val="005E493A"/>
    <w:rsid w:val="005E582F"/>
    <w:rsid w:val="005E5A7C"/>
    <w:rsid w:val="005E6AD4"/>
    <w:rsid w:val="005F2B6F"/>
    <w:rsid w:val="005F7605"/>
    <w:rsid w:val="00601C54"/>
    <w:rsid w:val="00602891"/>
    <w:rsid w:val="00602A7A"/>
    <w:rsid w:val="00603BED"/>
    <w:rsid w:val="00607744"/>
    <w:rsid w:val="006104DB"/>
    <w:rsid w:val="0061213F"/>
    <w:rsid w:val="00612DF0"/>
    <w:rsid w:val="00612FDB"/>
    <w:rsid w:val="006142D0"/>
    <w:rsid w:val="00614B16"/>
    <w:rsid w:val="006154F4"/>
    <w:rsid w:val="006173C0"/>
    <w:rsid w:val="0061772A"/>
    <w:rsid w:val="00617967"/>
    <w:rsid w:val="00622FFB"/>
    <w:rsid w:val="006238D8"/>
    <w:rsid w:val="00626066"/>
    <w:rsid w:val="00627FB9"/>
    <w:rsid w:val="0063053F"/>
    <w:rsid w:val="00631908"/>
    <w:rsid w:val="00633AEF"/>
    <w:rsid w:val="00636200"/>
    <w:rsid w:val="006363D2"/>
    <w:rsid w:val="00636D01"/>
    <w:rsid w:val="0064007C"/>
    <w:rsid w:val="006418C1"/>
    <w:rsid w:val="00643D8C"/>
    <w:rsid w:val="00643FCD"/>
    <w:rsid w:val="00650418"/>
    <w:rsid w:val="00651922"/>
    <w:rsid w:val="00651B5D"/>
    <w:rsid w:val="006543AB"/>
    <w:rsid w:val="00656C36"/>
    <w:rsid w:val="00656D00"/>
    <w:rsid w:val="00660F70"/>
    <w:rsid w:val="00662AD3"/>
    <w:rsid w:val="00672332"/>
    <w:rsid w:val="00674F41"/>
    <w:rsid w:val="0067682A"/>
    <w:rsid w:val="006776DD"/>
    <w:rsid w:val="006777C7"/>
    <w:rsid w:val="006801D4"/>
    <w:rsid w:val="00686D97"/>
    <w:rsid w:val="00687D56"/>
    <w:rsid w:val="00691BCB"/>
    <w:rsid w:val="006B2167"/>
    <w:rsid w:val="006B32EC"/>
    <w:rsid w:val="006B46B5"/>
    <w:rsid w:val="006B59FA"/>
    <w:rsid w:val="006B5A2E"/>
    <w:rsid w:val="006B785C"/>
    <w:rsid w:val="006C003C"/>
    <w:rsid w:val="006C4191"/>
    <w:rsid w:val="006C5456"/>
    <w:rsid w:val="006D424A"/>
    <w:rsid w:val="006D4620"/>
    <w:rsid w:val="006D6240"/>
    <w:rsid w:val="006D7DD6"/>
    <w:rsid w:val="006E1076"/>
    <w:rsid w:val="006E27C9"/>
    <w:rsid w:val="006E32CF"/>
    <w:rsid w:val="006E5744"/>
    <w:rsid w:val="006E67D8"/>
    <w:rsid w:val="006E68D8"/>
    <w:rsid w:val="006E7E99"/>
    <w:rsid w:val="006F19A9"/>
    <w:rsid w:val="006F261F"/>
    <w:rsid w:val="006F512A"/>
    <w:rsid w:val="006F7110"/>
    <w:rsid w:val="00700EA7"/>
    <w:rsid w:val="00703CB8"/>
    <w:rsid w:val="00706512"/>
    <w:rsid w:val="00710764"/>
    <w:rsid w:val="00711150"/>
    <w:rsid w:val="007113C6"/>
    <w:rsid w:val="0071182B"/>
    <w:rsid w:val="00712F50"/>
    <w:rsid w:val="0071308F"/>
    <w:rsid w:val="007130DA"/>
    <w:rsid w:val="00715509"/>
    <w:rsid w:val="0072042B"/>
    <w:rsid w:val="00720DE2"/>
    <w:rsid w:val="00720F95"/>
    <w:rsid w:val="00724169"/>
    <w:rsid w:val="007243F4"/>
    <w:rsid w:val="00726038"/>
    <w:rsid w:val="00735AEB"/>
    <w:rsid w:val="00735F35"/>
    <w:rsid w:val="00740E4B"/>
    <w:rsid w:val="007419C3"/>
    <w:rsid w:val="00744D9A"/>
    <w:rsid w:val="00746213"/>
    <w:rsid w:val="0074786D"/>
    <w:rsid w:val="0075097B"/>
    <w:rsid w:val="00750D3C"/>
    <w:rsid w:val="00751632"/>
    <w:rsid w:val="0075426C"/>
    <w:rsid w:val="00754C9A"/>
    <w:rsid w:val="00754DE2"/>
    <w:rsid w:val="0075531A"/>
    <w:rsid w:val="00756B92"/>
    <w:rsid w:val="00761DFB"/>
    <w:rsid w:val="007620CA"/>
    <w:rsid w:val="00762114"/>
    <w:rsid w:val="00764F9C"/>
    <w:rsid w:val="0077180D"/>
    <w:rsid w:val="00772C4A"/>
    <w:rsid w:val="007736A2"/>
    <w:rsid w:val="007748BC"/>
    <w:rsid w:val="0077549A"/>
    <w:rsid w:val="007766DE"/>
    <w:rsid w:val="00777977"/>
    <w:rsid w:val="00780AC1"/>
    <w:rsid w:val="00780AFD"/>
    <w:rsid w:val="007816FA"/>
    <w:rsid w:val="00782288"/>
    <w:rsid w:val="00782BE9"/>
    <w:rsid w:val="00783578"/>
    <w:rsid w:val="0078476B"/>
    <w:rsid w:val="00784ADB"/>
    <w:rsid w:val="00785092"/>
    <w:rsid w:val="00785B97"/>
    <w:rsid w:val="00787166"/>
    <w:rsid w:val="0079092F"/>
    <w:rsid w:val="00790B07"/>
    <w:rsid w:val="007910DE"/>
    <w:rsid w:val="007936F9"/>
    <w:rsid w:val="00794880"/>
    <w:rsid w:val="007971DC"/>
    <w:rsid w:val="007A250A"/>
    <w:rsid w:val="007A4A3E"/>
    <w:rsid w:val="007A5E71"/>
    <w:rsid w:val="007A7550"/>
    <w:rsid w:val="007B136F"/>
    <w:rsid w:val="007B259A"/>
    <w:rsid w:val="007B62F6"/>
    <w:rsid w:val="007B6A6A"/>
    <w:rsid w:val="007B7B73"/>
    <w:rsid w:val="007C07BC"/>
    <w:rsid w:val="007C0896"/>
    <w:rsid w:val="007C1645"/>
    <w:rsid w:val="007C612A"/>
    <w:rsid w:val="007C6A30"/>
    <w:rsid w:val="007C6F66"/>
    <w:rsid w:val="007D0323"/>
    <w:rsid w:val="007D270C"/>
    <w:rsid w:val="007D2935"/>
    <w:rsid w:val="007D2E23"/>
    <w:rsid w:val="007D307D"/>
    <w:rsid w:val="007D34FE"/>
    <w:rsid w:val="007D53CF"/>
    <w:rsid w:val="007D78BD"/>
    <w:rsid w:val="007E051E"/>
    <w:rsid w:val="007E1EB1"/>
    <w:rsid w:val="007E1F82"/>
    <w:rsid w:val="007E2A5D"/>
    <w:rsid w:val="007E7158"/>
    <w:rsid w:val="007F052F"/>
    <w:rsid w:val="007F06CC"/>
    <w:rsid w:val="007F2AA0"/>
    <w:rsid w:val="007F364D"/>
    <w:rsid w:val="007F3DA3"/>
    <w:rsid w:val="007F4FB0"/>
    <w:rsid w:val="007F69DB"/>
    <w:rsid w:val="00801A44"/>
    <w:rsid w:val="00804408"/>
    <w:rsid w:val="008048E1"/>
    <w:rsid w:val="00811BE7"/>
    <w:rsid w:val="00812D90"/>
    <w:rsid w:val="00812E62"/>
    <w:rsid w:val="00813269"/>
    <w:rsid w:val="00816007"/>
    <w:rsid w:val="00816AEF"/>
    <w:rsid w:val="00821C35"/>
    <w:rsid w:val="00825C3E"/>
    <w:rsid w:val="00827008"/>
    <w:rsid w:val="0083116B"/>
    <w:rsid w:val="008317FB"/>
    <w:rsid w:val="00834CD8"/>
    <w:rsid w:val="0084123A"/>
    <w:rsid w:val="008424E9"/>
    <w:rsid w:val="00842617"/>
    <w:rsid w:val="00844D16"/>
    <w:rsid w:val="00846334"/>
    <w:rsid w:val="00847C4C"/>
    <w:rsid w:val="00854C0A"/>
    <w:rsid w:val="008561F8"/>
    <w:rsid w:val="00860EB1"/>
    <w:rsid w:val="008623D5"/>
    <w:rsid w:val="00862BD5"/>
    <w:rsid w:val="00864E47"/>
    <w:rsid w:val="00866883"/>
    <w:rsid w:val="00870570"/>
    <w:rsid w:val="0087208D"/>
    <w:rsid w:val="00873C15"/>
    <w:rsid w:val="00880EEF"/>
    <w:rsid w:val="0088258B"/>
    <w:rsid w:val="008830CC"/>
    <w:rsid w:val="008836D3"/>
    <w:rsid w:val="00884A15"/>
    <w:rsid w:val="00885B90"/>
    <w:rsid w:val="00890187"/>
    <w:rsid w:val="008917CA"/>
    <w:rsid w:val="00892E0E"/>
    <w:rsid w:val="00893BF9"/>
    <w:rsid w:val="00894089"/>
    <w:rsid w:val="00894989"/>
    <w:rsid w:val="00894A53"/>
    <w:rsid w:val="00897D29"/>
    <w:rsid w:val="008A329D"/>
    <w:rsid w:val="008A3FCB"/>
    <w:rsid w:val="008A43C8"/>
    <w:rsid w:val="008A5BD9"/>
    <w:rsid w:val="008A6497"/>
    <w:rsid w:val="008A6703"/>
    <w:rsid w:val="008A6E93"/>
    <w:rsid w:val="008A6F5F"/>
    <w:rsid w:val="008A787E"/>
    <w:rsid w:val="008A7F74"/>
    <w:rsid w:val="008B2221"/>
    <w:rsid w:val="008B2712"/>
    <w:rsid w:val="008B4FEC"/>
    <w:rsid w:val="008C0AA9"/>
    <w:rsid w:val="008C1230"/>
    <w:rsid w:val="008C1246"/>
    <w:rsid w:val="008C2AD5"/>
    <w:rsid w:val="008C362C"/>
    <w:rsid w:val="008C4905"/>
    <w:rsid w:val="008C5814"/>
    <w:rsid w:val="008C5C9F"/>
    <w:rsid w:val="008C72B6"/>
    <w:rsid w:val="008C7E93"/>
    <w:rsid w:val="008D5D17"/>
    <w:rsid w:val="008D5D47"/>
    <w:rsid w:val="008D691B"/>
    <w:rsid w:val="008D71D1"/>
    <w:rsid w:val="008E0BDE"/>
    <w:rsid w:val="008E11AB"/>
    <w:rsid w:val="008E1C3A"/>
    <w:rsid w:val="008E41C7"/>
    <w:rsid w:val="008E5113"/>
    <w:rsid w:val="008E5361"/>
    <w:rsid w:val="008E65C2"/>
    <w:rsid w:val="008F0A6D"/>
    <w:rsid w:val="008F1191"/>
    <w:rsid w:val="008F42F8"/>
    <w:rsid w:val="008F4A99"/>
    <w:rsid w:val="008F51EC"/>
    <w:rsid w:val="008F56AA"/>
    <w:rsid w:val="008F6706"/>
    <w:rsid w:val="008F774D"/>
    <w:rsid w:val="00900810"/>
    <w:rsid w:val="00901868"/>
    <w:rsid w:val="0090249D"/>
    <w:rsid w:val="009024DF"/>
    <w:rsid w:val="009028CA"/>
    <w:rsid w:val="009028D3"/>
    <w:rsid w:val="009032CC"/>
    <w:rsid w:val="00903FB2"/>
    <w:rsid w:val="00905561"/>
    <w:rsid w:val="0090584A"/>
    <w:rsid w:val="009062AA"/>
    <w:rsid w:val="00906B7E"/>
    <w:rsid w:val="00910517"/>
    <w:rsid w:val="00910595"/>
    <w:rsid w:val="009110E0"/>
    <w:rsid w:val="00913813"/>
    <w:rsid w:val="00916C1C"/>
    <w:rsid w:val="00920EEB"/>
    <w:rsid w:val="0092551E"/>
    <w:rsid w:val="00926078"/>
    <w:rsid w:val="00933D0F"/>
    <w:rsid w:val="00934B6B"/>
    <w:rsid w:val="00936445"/>
    <w:rsid w:val="00936623"/>
    <w:rsid w:val="00936939"/>
    <w:rsid w:val="00937843"/>
    <w:rsid w:val="00941651"/>
    <w:rsid w:val="00942AB3"/>
    <w:rsid w:val="00945D00"/>
    <w:rsid w:val="00950C0A"/>
    <w:rsid w:val="00950C9A"/>
    <w:rsid w:val="00951204"/>
    <w:rsid w:val="00951354"/>
    <w:rsid w:val="00952DAB"/>
    <w:rsid w:val="00953F67"/>
    <w:rsid w:val="00953FB3"/>
    <w:rsid w:val="0095472A"/>
    <w:rsid w:val="00957BB5"/>
    <w:rsid w:val="00960311"/>
    <w:rsid w:val="00960F4B"/>
    <w:rsid w:val="009669F1"/>
    <w:rsid w:val="00972DCE"/>
    <w:rsid w:val="0097341B"/>
    <w:rsid w:val="00975341"/>
    <w:rsid w:val="00977406"/>
    <w:rsid w:val="00977E3D"/>
    <w:rsid w:val="00980A23"/>
    <w:rsid w:val="00980CF0"/>
    <w:rsid w:val="00983C90"/>
    <w:rsid w:val="00984605"/>
    <w:rsid w:val="00987EE1"/>
    <w:rsid w:val="00987F58"/>
    <w:rsid w:val="00991B49"/>
    <w:rsid w:val="00992D76"/>
    <w:rsid w:val="0099640F"/>
    <w:rsid w:val="0099669B"/>
    <w:rsid w:val="00996F5E"/>
    <w:rsid w:val="009978AA"/>
    <w:rsid w:val="009A1B82"/>
    <w:rsid w:val="009A2036"/>
    <w:rsid w:val="009A27B1"/>
    <w:rsid w:val="009A3033"/>
    <w:rsid w:val="009A651D"/>
    <w:rsid w:val="009B0D8E"/>
    <w:rsid w:val="009B0ED6"/>
    <w:rsid w:val="009B2789"/>
    <w:rsid w:val="009B33B8"/>
    <w:rsid w:val="009B6A36"/>
    <w:rsid w:val="009B77EB"/>
    <w:rsid w:val="009C0E7E"/>
    <w:rsid w:val="009C109C"/>
    <w:rsid w:val="009C1505"/>
    <w:rsid w:val="009C1765"/>
    <w:rsid w:val="009C254A"/>
    <w:rsid w:val="009C27AC"/>
    <w:rsid w:val="009C288F"/>
    <w:rsid w:val="009C5270"/>
    <w:rsid w:val="009C5A5D"/>
    <w:rsid w:val="009D1E86"/>
    <w:rsid w:val="009D2935"/>
    <w:rsid w:val="009D4209"/>
    <w:rsid w:val="009D46C0"/>
    <w:rsid w:val="009D5E67"/>
    <w:rsid w:val="009D646A"/>
    <w:rsid w:val="009D6E71"/>
    <w:rsid w:val="009E0CFB"/>
    <w:rsid w:val="009E16AA"/>
    <w:rsid w:val="009E4C8B"/>
    <w:rsid w:val="009E5A53"/>
    <w:rsid w:val="009F2418"/>
    <w:rsid w:val="009F2AFC"/>
    <w:rsid w:val="009F3531"/>
    <w:rsid w:val="009F4A89"/>
    <w:rsid w:val="009F766F"/>
    <w:rsid w:val="009F7D40"/>
    <w:rsid w:val="00A02046"/>
    <w:rsid w:val="00A020DD"/>
    <w:rsid w:val="00A0474C"/>
    <w:rsid w:val="00A1081E"/>
    <w:rsid w:val="00A11122"/>
    <w:rsid w:val="00A16D3A"/>
    <w:rsid w:val="00A16F4B"/>
    <w:rsid w:val="00A17C34"/>
    <w:rsid w:val="00A212FF"/>
    <w:rsid w:val="00A22A48"/>
    <w:rsid w:val="00A23001"/>
    <w:rsid w:val="00A245BF"/>
    <w:rsid w:val="00A2595F"/>
    <w:rsid w:val="00A309F0"/>
    <w:rsid w:val="00A333B1"/>
    <w:rsid w:val="00A33853"/>
    <w:rsid w:val="00A33BE4"/>
    <w:rsid w:val="00A35FAC"/>
    <w:rsid w:val="00A40A08"/>
    <w:rsid w:val="00A40B64"/>
    <w:rsid w:val="00A40E0F"/>
    <w:rsid w:val="00A4292C"/>
    <w:rsid w:val="00A42BF6"/>
    <w:rsid w:val="00A43475"/>
    <w:rsid w:val="00A466E3"/>
    <w:rsid w:val="00A46A63"/>
    <w:rsid w:val="00A50820"/>
    <w:rsid w:val="00A50DD8"/>
    <w:rsid w:val="00A50F3D"/>
    <w:rsid w:val="00A51711"/>
    <w:rsid w:val="00A51E35"/>
    <w:rsid w:val="00A51F56"/>
    <w:rsid w:val="00A5221F"/>
    <w:rsid w:val="00A525EA"/>
    <w:rsid w:val="00A52C8E"/>
    <w:rsid w:val="00A53C2C"/>
    <w:rsid w:val="00A56A00"/>
    <w:rsid w:val="00A607B1"/>
    <w:rsid w:val="00A62F79"/>
    <w:rsid w:val="00A63F95"/>
    <w:rsid w:val="00A64501"/>
    <w:rsid w:val="00A6601A"/>
    <w:rsid w:val="00A6772E"/>
    <w:rsid w:val="00A72D9C"/>
    <w:rsid w:val="00A7316A"/>
    <w:rsid w:val="00A7372E"/>
    <w:rsid w:val="00A73D5D"/>
    <w:rsid w:val="00A74579"/>
    <w:rsid w:val="00A74EE5"/>
    <w:rsid w:val="00A759DF"/>
    <w:rsid w:val="00A7685E"/>
    <w:rsid w:val="00A80961"/>
    <w:rsid w:val="00A80DAC"/>
    <w:rsid w:val="00A81956"/>
    <w:rsid w:val="00A84EBF"/>
    <w:rsid w:val="00A86038"/>
    <w:rsid w:val="00A87145"/>
    <w:rsid w:val="00A874A8"/>
    <w:rsid w:val="00A90DB0"/>
    <w:rsid w:val="00A91AD4"/>
    <w:rsid w:val="00A945C9"/>
    <w:rsid w:val="00A96DC5"/>
    <w:rsid w:val="00A97919"/>
    <w:rsid w:val="00AA028F"/>
    <w:rsid w:val="00AA0690"/>
    <w:rsid w:val="00AA0E91"/>
    <w:rsid w:val="00AA4CEC"/>
    <w:rsid w:val="00AA5056"/>
    <w:rsid w:val="00AA716A"/>
    <w:rsid w:val="00AA78A6"/>
    <w:rsid w:val="00AB1F1C"/>
    <w:rsid w:val="00AB264E"/>
    <w:rsid w:val="00AB3BD2"/>
    <w:rsid w:val="00AB413A"/>
    <w:rsid w:val="00AB5DFA"/>
    <w:rsid w:val="00AC1F4B"/>
    <w:rsid w:val="00AC2B2F"/>
    <w:rsid w:val="00AC2C45"/>
    <w:rsid w:val="00AC4592"/>
    <w:rsid w:val="00AC495C"/>
    <w:rsid w:val="00AC4F12"/>
    <w:rsid w:val="00AC7CE7"/>
    <w:rsid w:val="00AD0133"/>
    <w:rsid w:val="00AD19B7"/>
    <w:rsid w:val="00AD1EBA"/>
    <w:rsid w:val="00AD25B8"/>
    <w:rsid w:val="00AD3CDE"/>
    <w:rsid w:val="00AD45BC"/>
    <w:rsid w:val="00AD4B96"/>
    <w:rsid w:val="00AD4FD5"/>
    <w:rsid w:val="00AD72AA"/>
    <w:rsid w:val="00AE022E"/>
    <w:rsid w:val="00AE2DB2"/>
    <w:rsid w:val="00AE5071"/>
    <w:rsid w:val="00AE50E2"/>
    <w:rsid w:val="00AE56C9"/>
    <w:rsid w:val="00AE5DA9"/>
    <w:rsid w:val="00AE5E78"/>
    <w:rsid w:val="00AF1B85"/>
    <w:rsid w:val="00AF1F17"/>
    <w:rsid w:val="00AF25A7"/>
    <w:rsid w:val="00AF3ED7"/>
    <w:rsid w:val="00AF44E9"/>
    <w:rsid w:val="00B008B4"/>
    <w:rsid w:val="00B010E8"/>
    <w:rsid w:val="00B01FE5"/>
    <w:rsid w:val="00B05519"/>
    <w:rsid w:val="00B1043E"/>
    <w:rsid w:val="00B1258B"/>
    <w:rsid w:val="00B132D9"/>
    <w:rsid w:val="00B17FDE"/>
    <w:rsid w:val="00B25EAC"/>
    <w:rsid w:val="00B26393"/>
    <w:rsid w:val="00B27134"/>
    <w:rsid w:val="00B30706"/>
    <w:rsid w:val="00B3197A"/>
    <w:rsid w:val="00B347FF"/>
    <w:rsid w:val="00B368C0"/>
    <w:rsid w:val="00B416BC"/>
    <w:rsid w:val="00B41708"/>
    <w:rsid w:val="00B41BDF"/>
    <w:rsid w:val="00B41E41"/>
    <w:rsid w:val="00B4230F"/>
    <w:rsid w:val="00B425DA"/>
    <w:rsid w:val="00B431BF"/>
    <w:rsid w:val="00B4338B"/>
    <w:rsid w:val="00B44392"/>
    <w:rsid w:val="00B46E47"/>
    <w:rsid w:val="00B46F5D"/>
    <w:rsid w:val="00B47518"/>
    <w:rsid w:val="00B518DC"/>
    <w:rsid w:val="00B55FA3"/>
    <w:rsid w:val="00B56175"/>
    <w:rsid w:val="00B5691B"/>
    <w:rsid w:val="00B56E9E"/>
    <w:rsid w:val="00B60B29"/>
    <w:rsid w:val="00B611C4"/>
    <w:rsid w:val="00B629DB"/>
    <w:rsid w:val="00B62FC1"/>
    <w:rsid w:val="00B630EF"/>
    <w:rsid w:val="00B63193"/>
    <w:rsid w:val="00B64B70"/>
    <w:rsid w:val="00B661D6"/>
    <w:rsid w:val="00B71CCF"/>
    <w:rsid w:val="00B7621E"/>
    <w:rsid w:val="00B767CA"/>
    <w:rsid w:val="00B76CE7"/>
    <w:rsid w:val="00B81E5C"/>
    <w:rsid w:val="00B831B8"/>
    <w:rsid w:val="00B85B88"/>
    <w:rsid w:val="00B8771B"/>
    <w:rsid w:val="00B944D8"/>
    <w:rsid w:val="00B95D2D"/>
    <w:rsid w:val="00B967D9"/>
    <w:rsid w:val="00B9717E"/>
    <w:rsid w:val="00BA0160"/>
    <w:rsid w:val="00BA219F"/>
    <w:rsid w:val="00BA2E82"/>
    <w:rsid w:val="00BA4597"/>
    <w:rsid w:val="00BA461E"/>
    <w:rsid w:val="00BA4D5E"/>
    <w:rsid w:val="00BA4DD6"/>
    <w:rsid w:val="00BA6ADA"/>
    <w:rsid w:val="00BA7349"/>
    <w:rsid w:val="00BB1612"/>
    <w:rsid w:val="00BB3751"/>
    <w:rsid w:val="00BB4473"/>
    <w:rsid w:val="00BB512A"/>
    <w:rsid w:val="00BB7858"/>
    <w:rsid w:val="00BC01F8"/>
    <w:rsid w:val="00BC267B"/>
    <w:rsid w:val="00BC2783"/>
    <w:rsid w:val="00BC4B5C"/>
    <w:rsid w:val="00BC556D"/>
    <w:rsid w:val="00BD0C07"/>
    <w:rsid w:val="00BD13E7"/>
    <w:rsid w:val="00BD1516"/>
    <w:rsid w:val="00BD175E"/>
    <w:rsid w:val="00BD1BD6"/>
    <w:rsid w:val="00BD1FF7"/>
    <w:rsid w:val="00BD3031"/>
    <w:rsid w:val="00BD3157"/>
    <w:rsid w:val="00BD4AB3"/>
    <w:rsid w:val="00BD56CE"/>
    <w:rsid w:val="00BE0C44"/>
    <w:rsid w:val="00BE3E4B"/>
    <w:rsid w:val="00BE58E1"/>
    <w:rsid w:val="00BE6993"/>
    <w:rsid w:val="00BE77AE"/>
    <w:rsid w:val="00BE7D69"/>
    <w:rsid w:val="00BE7E00"/>
    <w:rsid w:val="00BF0A84"/>
    <w:rsid w:val="00BF222B"/>
    <w:rsid w:val="00BF275A"/>
    <w:rsid w:val="00BF4D31"/>
    <w:rsid w:val="00BF7429"/>
    <w:rsid w:val="00C02DE4"/>
    <w:rsid w:val="00C0360B"/>
    <w:rsid w:val="00C0482C"/>
    <w:rsid w:val="00C05E7C"/>
    <w:rsid w:val="00C0629B"/>
    <w:rsid w:val="00C06F7E"/>
    <w:rsid w:val="00C070C3"/>
    <w:rsid w:val="00C074EA"/>
    <w:rsid w:val="00C10E59"/>
    <w:rsid w:val="00C15D67"/>
    <w:rsid w:val="00C22107"/>
    <w:rsid w:val="00C22DCB"/>
    <w:rsid w:val="00C23FBB"/>
    <w:rsid w:val="00C26295"/>
    <w:rsid w:val="00C27362"/>
    <w:rsid w:val="00C30636"/>
    <w:rsid w:val="00C31BD6"/>
    <w:rsid w:val="00C40167"/>
    <w:rsid w:val="00C4346E"/>
    <w:rsid w:val="00C43DEC"/>
    <w:rsid w:val="00C4477B"/>
    <w:rsid w:val="00C4543B"/>
    <w:rsid w:val="00C45740"/>
    <w:rsid w:val="00C46420"/>
    <w:rsid w:val="00C47E21"/>
    <w:rsid w:val="00C52D05"/>
    <w:rsid w:val="00C53939"/>
    <w:rsid w:val="00C55160"/>
    <w:rsid w:val="00C569CB"/>
    <w:rsid w:val="00C60D99"/>
    <w:rsid w:val="00C61F05"/>
    <w:rsid w:val="00C6408D"/>
    <w:rsid w:val="00C64D3D"/>
    <w:rsid w:val="00C6777C"/>
    <w:rsid w:val="00C67893"/>
    <w:rsid w:val="00C70F03"/>
    <w:rsid w:val="00C71542"/>
    <w:rsid w:val="00C736E0"/>
    <w:rsid w:val="00C815D1"/>
    <w:rsid w:val="00C819FE"/>
    <w:rsid w:val="00C82AF7"/>
    <w:rsid w:val="00C854D2"/>
    <w:rsid w:val="00C855AE"/>
    <w:rsid w:val="00C86C75"/>
    <w:rsid w:val="00C87431"/>
    <w:rsid w:val="00C921B7"/>
    <w:rsid w:val="00C96D3D"/>
    <w:rsid w:val="00CA2182"/>
    <w:rsid w:val="00CA289C"/>
    <w:rsid w:val="00CA5898"/>
    <w:rsid w:val="00CB17E6"/>
    <w:rsid w:val="00CB2F91"/>
    <w:rsid w:val="00CB3BA9"/>
    <w:rsid w:val="00CB5568"/>
    <w:rsid w:val="00CB69D6"/>
    <w:rsid w:val="00CC095B"/>
    <w:rsid w:val="00CC36C2"/>
    <w:rsid w:val="00CD0621"/>
    <w:rsid w:val="00CD58F2"/>
    <w:rsid w:val="00CD602D"/>
    <w:rsid w:val="00CD7C5F"/>
    <w:rsid w:val="00CE03AA"/>
    <w:rsid w:val="00CF1791"/>
    <w:rsid w:val="00CF3E21"/>
    <w:rsid w:val="00CF4380"/>
    <w:rsid w:val="00CF600B"/>
    <w:rsid w:val="00CF63CA"/>
    <w:rsid w:val="00CF7C5A"/>
    <w:rsid w:val="00CF7E8C"/>
    <w:rsid w:val="00D0056F"/>
    <w:rsid w:val="00D12503"/>
    <w:rsid w:val="00D12821"/>
    <w:rsid w:val="00D12AF8"/>
    <w:rsid w:val="00D12AF9"/>
    <w:rsid w:val="00D162A9"/>
    <w:rsid w:val="00D20BD4"/>
    <w:rsid w:val="00D2560A"/>
    <w:rsid w:val="00D26D9B"/>
    <w:rsid w:val="00D26E4D"/>
    <w:rsid w:val="00D27D43"/>
    <w:rsid w:val="00D30E76"/>
    <w:rsid w:val="00D31D5C"/>
    <w:rsid w:val="00D33C1E"/>
    <w:rsid w:val="00D348C5"/>
    <w:rsid w:val="00D42FDF"/>
    <w:rsid w:val="00D45F3E"/>
    <w:rsid w:val="00D4713C"/>
    <w:rsid w:val="00D47177"/>
    <w:rsid w:val="00D47813"/>
    <w:rsid w:val="00D50647"/>
    <w:rsid w:val="00D50A9D"/>
    <w:rsid w:val="00D536FF"/>
    <w:rsid w:val="00D56765"/>
    <w:rsid w:val="00D57D05"/>
    <w:rsid w:val="00D57E83"/>
    <w:rsid w:val="00D610C1"/>
    <w:rsid w:val="00D64CC5"/>
    <w:rsid w:val="00D66513"/>
    <w:rsid w:val="00D6727B"/>
    <w:rsid w:val="00D70847"/>
    <w:rsid w:val="00D74215"/>
    <w:rsid w:val="00D75226"/>
    <w:rsid w:val="00D75F69"/>
    <w:rsid w:val="00D80150"/>
    <w:rsid w:val="00D802E2"/>
    <w:rsid w:val="00D81247"/>
    <w:rsid w:val="00D82237"/>
    <w:rsid w:val="00D830B4"/>
    <w:rsid w:val="00D844E0"/>
    <w:rsid w:val="00D90AB7"/>
    <w:rsid w:val="00D92A40"/>
    <w:rsid w:val="00D92DC6"/>
    <w:rsid w:val="00D969DA"/>
    <w:rsid w:val="00DA0DDB"/>
    <w:rsid w:val="00DA1437"/>
    <w:rsid w:val="00DA1DF5"/>
    <w:rsid w:val="00DA4102"/>
    <w:rsid w:val="00DA4C40"/>
    <w:rsid w:val="00DA4FFB"/>
    <w:rsid w:val="00DA760A"/>
    <w:rsid w:val="00DB1D65"/>
    <w:rsid w:val="00DB5AD2"/>
    <w:rsid w:val="00DC3019"/>
    <w:rsid w:val="00DC4331"/>
    <w:rsid w:val="00DC4832"/>
    <w:rsid w:val="00DC78AE"/>
    <w:rsid w:val="00DD3137"/>
    <w:rsid w:val="00DD529E"/>
    <w:rsid w:val="00DD5548"/>
    <w:rsid w:val="00DD5E96"/>
    <w:rsid w:val="00DD68BC"/>
    <w:rsid w:val="00DD74F0"/>
    <w:rsid w:val="00DD79DC"/>
    <w:rsid w:val="00DE122D"/>
    <w:rsid w:val="00DE1FF1"/>
    <w:rsid w:val="00DE486F"/>
    <w:rsid w:val="00DE50CF"/>
    <w:rsid w:val="00DF71F1"/>
    <w:rsid w:val="00DF72F6"/>
    <w:rsid w:val="00E0076F"/>
    <w:rsid w:val="00E02B4C"/>
    <w:rsid w:val="00E0310E"/>
    <w:rsid w:val="00E04BCC"/>
    <w:rsid w:val="00E06F0D"/>
    <w:rsid w:val="00E07D9C"/>
    <w:rsid w:val="00E1041C"/>
    <w:rsid w:val="00E125C9"/>
    <w:rsid w:val="00E13761"/>
    <w:rsid w:val="00E16849"/>
    <w:rsid w:val="00E22E8F"/>
    <w:rsid w:val="00E23F64"/>
    <w:rsid w:val="00E25CB6"/>
    <w:rsid w:val="00E26770"/>
    <w:rsid w:val="00E309DC"/>
    <w:rsid w:val="00E4286B"/>
    <w:rsid w:val="00E43513"/>
    <w:rsid w:val="00E439B9"/>
    <w:rsid w:val="00E45D95"/>
    <w:rsid w:val="00E45DEA"/>
    <w:rsid w:val="00E518E5"/>
    <w:rsid w:val="00E53E43"/>
    <w:rsid w:val="00E54E5F"/>
    <w:rsid w:val="00E553A8"/>
    <w:rsid w:val="00E605CB"/>
    <w:rsid w:val="00E60EF6"/>
    <w:rsid w:val="00E613AC"/>
    <w:rsid w:val="00E61CCF"/>
    <w:rsid w:val="00E62556"/>
    <w:rsid w:val="00E6270C"/>
    <w:rsid w:val="00E62C5D"/>
    <w:rsid w:val="00E661C7"/>
    <w:rsid w:val="00E66E37"/>
    <w:rsid w:val="00E7007C"/>
    <w:rsid w:val="00E71FB2"/>
    <w:rsid w:val="00E72F90"/>
    <w:rsid w:val="00E730E7"/>
    <w:rsid w:val="00E8067F"/>
    <w:rsid w:val="00E807C9"/>
    <w:rsid w:val="00E810CA"/>
    <w:rsid w:val="00E905AF"/>
    <w:rsid w:val="00E9064E"/>
    <w:rsid w:val="00E914A1"/>
    <w:rsid w:val="00E91B29"/>
    <w:rsid w:val="00E91B67"/>
    <w:rsid w:val="00E934AA"/>
    <w:rsid w:val="00E95277"/>
    <w:rsid w:val="00E9670E"/>
    <w:rsid w:val="00E9684D"/>
    <w:rsid w:val="00E96BB7"/>
    <w:rsid w:val="00E972CF"/>
    <w:rsid w:val="00E973DE"/>
    <w:rsid w:val="00EA0407"/>
    <w:rsid w:val="00EA2BB1"/>
    <w:rsid w:val="00EA2C44"/>
    <w:rsid w:val="00EA68C8"/>
    <w:rsid w:val="00EB16CB"/>
    <w:rsid w:val="00EB2AD2"/>
    <w:rsid w:val="00EB3253"/>
    <w:rsid w:val="00EB4988"/>
    <w:rsid w:val="00EB4B09"/>
    <w:rsid w:val="00EB68C2"/>
    <w:rsid w:val="00EC0559"/>
    <w:rsid w:val="00EC12BC"/>
    <w:rsid w:val="00EC1601"/>
    <w:rsid w:val="00EC44AD"/>
    <w:rsid w:val="00EC6917"/>
    <w:rsid w:val="00ED1FD7"/>
    <w:rsid w:val="00ED3F14"/>
    <w:rsid w:val="00ED6693"/>
    <w:rsid w:val="00ED74CC"/>
    <w:rsid w:val="00EE3592"/>
    <w:rsid w:val="00EE51B0"/>
    <w:rsid w:val="00EE6504"/>
    <w:rsid w:val="00EE7409"/>
    <w:rsid w:val="00EF0E65"/>
    <w:rsid w:val="00EF1492"/>
    <w:rsid w:val="00EF2124"/>
    <w:rsid w:val="00EF4326"/>
    <w:rsid w:val="00EF603F"/>
    <w:rsid w:val="00F00481"/>
    <w:rsid w:val="00F00FB5"/>
    <w:rsid w:val="00F01CA0"/>
    <w:rsid w:val="00F023A1"/>
    <w:rsid w:val="00F02E28"/>
    <w:rsid w:val="00F05359"/>
    <w:rsid w:val="00F06062"/>
    <w:rsid w:val="00F06A7F"/>
    <w:rsid w:val="00F078F0"/>
    <w:rsid w:val="00F10418"/>
    <w:rsid w:val="00F11950"/>
    <w:rsid w:val="00F11A1C"/>
    <w:rsid w:val="00F158A1"/>
    <w:rsid w:val="00F17898"/>
    <w:rsid w:val="00F22EAF"/>
    <w:rsid w:val="00F23508"/>
    <w:rsid w:val="00F2357F"/>
    <w:rsid w:val="00F237EA"/>
    <w:rsid w:val="00F2530C"/>
    <w:rsid w:val="00F2586D"/>
    <w:rsid w:val="00F31C02"/>
    <w:rsid w:val="00F32743"/>
    <w:rsid w:val="00F336C2"/>
    <w:rsid w:val="00F33C60"/>
    <w:rsid w:val="00F36FBD"/>
    <w:rsid w:val="00F370DC"/>
    <w:rsid w:val="00F4002D"/>
    <w:rsid w:val="00F518B1"/>
    <w:rsid w:val="00F51F25"/>
    <w:rsid w:val="00F53312"/>
    <w:rsid w:val="00F53508"/>
    <w:rsid w:val="00F54A3F"/>
    <w:rsid w:val="00F54EEC"/>
    <w:rsid w:val="00F55FBF"/>
    <w:rsid w:val="00F56A40"/>
    <w:rsid w:val="00F57FEE"/>
    <w:rsid w:val="00F60ACC"/>
    <w:rsid w:val="00F62802"/>
    <w:rsid w:val="00F63DF2"/>
    <w:rsid w:val="00F63E26"/>
    <w:rsid w:val="00F6579B"/>
    <w:rsid w:val="00F7047D"/>
    <w:rsid w:val="00F7199E"/>
    <w:rsid w:val="00F7214F"/>
    <w:rsid w:val="00F73C57"/>
    <w:rsid w:val="00F777DF"/>
    <w:rsid w:val="00F77BAD"/>
    <w:rsid w:val="00F80FC6"/>
    <w:rsid w:val="00F81507"/>
    <w:rsid w:val="00F843E6"/>
    <w:rsid w:val="00F856BE"/>
    <w:rsid w:val="00F85BF5"/>
    <w:rsid w:val="00F85C4F"/>
    <w:rsid w:val="00F9032B"/>
    <w:rsid w:val="00F90690"/>
    <w:rsid w:val="00F92FEE"/>
    <w:rsid w:val="00F934FE"/>
    <w:rsid w:val="00F93CFC"/>
    <w:rsid w:val="00F95203"/>
    <w:rsid w:val="00F961CD"/>
    <w:rsid w:val="00F961EF"/>
    <w:rsid w:val="00F97582"/>
    <w:rsid w:val="00FA33F6"/>
    <w:rsid w:val="00FA44C2"/>
    <w:rsid w:val="00FA65DE"/>
    <w:rsid w:val="00FB22E9"/>
    <w:rsid w:val="00FB3CAC"/>
    <w:rsid w:val="00FB4D13"/>
    <w:rsid w:val="00FB5073"/>
    <w:rsid w:val="00FB6311"/>
    <w:rsid w:val="00FC1187"/>
    <w:rsid w:val="00FC1C37"/>
    <w:rsid w:val="00FC3B80"/>
    <w:rsid w:val="00FC6B0B"/>
    <w:rsid w:val="00FC7162"/>
    <w:rsid w:val="00FD0071"/>
    <w:rsid w:val="00FD1548"/>
    <w:rsid w:val="00FD1A37"/>
    <w:rsid w:val="00FD20F9"/>
    <w:rsid w:val="00FD2FDC"/>
    <w:rsid w:val="00FD378A"/>
    <w:rsid w:val="00FD429E"/>
    <w:rsid w:val="00FD43F1"/>
    <w:rsid w:val="00FD55D5"/>
    <w:rsid w:val="00FE0AAE"/>
    <w:rsid w:val="00FE1031"/>
    <w:rsid w:val="00FE1BAB"/>
    <w:rsid w:val="00FE4653"/>
    <w:rsid w:val="00FE49EE"/>
    <w:rsid w:val="00FE4F57"/>
    <w:rsid w:val="00FE5E37"/>
    <w:rsid w:val="00FE5E4F"/>
    <w:rsid w:val="00FE609D"/>
    <w:rsid w:val="00FE6663"/>
    <w:rsid w:val="00FE78AF"/>
    <w:rsid w:val="00FF3AA7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73ECE"/>
  <w15:chartTrackingRefBased/>
  <w15:docId w15:val="{9931A6AE-FEA1-493C-906F-89E29EEA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89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C0896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BodyText"/>
    <w:link w:val="Heading3Char"/>
    <w:qFormat/>
    <w:rsid w:val="00095B7C"/>
    <w:pPr>
      <w:keepNext/>
      <w:spacing w:after="120" w:line="360" w:lineRule="auto"/>
      <w:outlineLvl w:val="2"/>
    </w:pPr>
    <w:rPr>
      <w:rFonts w:ascii="Calibri" w:eastAsia="Times New Roman" w:hAnsi="Calibri" w:cs="Calibri"/>
      <w:bCs/>
      <w:i/>
      <w:szCs w:val="24"/>
      <w:lang w:eastAsia="en-GB"/>
    </w:rPr>
  </w:style>
  <w:style w:type="paragraph" w:styleId="Heading4">
    <w:name w:val="heading 4"/>
    <w:basedOn w:val="Normal"/>
    <w:next w:val="BodyText"/>
    <w:link w:val="Heading4Char"/>
    <w:qFormat/>
    <w:rsid w:val="00095B7C"/>
    <w:pPr>
      <w:keepNext/>
      <w:spacing w:after="120" w:line="360" w:lineRule="auto"/>
      <w:outlineLvl w:val="3"/>
    </w:pPr>
    <w:rPr>
      <w:rFonts w:ascii="Calibri" w:eastAsia="Times New Roman" w:hAnsi="Calibri" w:cs="Calibri"/>
      <w:i/>
      <w:iCs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095B7C"/>
    <w:pPr>
      <w:keepNext/>
      <w:spacing w:after="0" w:line="360" w:lineRule="auto"/>
      <w:outlineLvl w:val="4"/>
    </w:pPr>
    <w:rPr>
      <w:rFonts w:ascii="Calibri" w:eastAsia="Times New Roman" w:hAnsi="Calibri" w:cs="Calibri"/>
      <w:smallCaps/>
      <w:sz w:val="20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0896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7C0896"/>
    <w:rPr>
      <w:rFonts w:eastAsiaTheme="majorEastAsia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095B7C"/>
    <w:rPr>
      <w:rFonts w:ascii="Calibri" w:eastAsia="Times New Roman" w:hAnsi="Calibri" w:cs="Calibri"/>
      <w:bCs/>
      <w:i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095B7C"/>
    <w:rPr>
      <w:rFonts w:ascii="Calibri" w:eastAsia="Times New Roman" w:hAnsi="Calibri" w:cs="Calibri"/>
      <w:i/>
      <w:iCs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095B7C"/>
    <w:rPr>
      <w:rFonts w:ascii="Calibri" w:eastAsia="Times New Roman" w:hAnsi="Calibri" w:cs="Calibri"/>
      <w:smallCaps/>
      <w:sz w:val="20"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095B7C"/>
  </w:style>
  <w:style w:type="character" w:styleId="Hyperlink">
    <w:name w:val="Hyperlink"/>
    <w:rsid w:val="00095B7C"/>
    <w:rPr>
      <w:rFonts w:ascii="Calibri" w:hAnsi="Calibri"/>
      <w:color w:val="0000FF"/>
      <w:u w:val="single"/>
    </w:rPr>
  </w:style>
  <w:style w:type="paragraph" w:customStyle="1" w:styleId="Bullet">
    <w:name w:val="Bullet"/>
    <w:basedOn w:val="Normal"/>
    <w:rsid w:val="00095B7C"/>
    <w:pPr>
      <w:numPr>
        <w:numId w:val="1"/>
      </w:numPr>
      <w:spacing w:after="220" w:line="360" w:lineRule="auto"/>
      <w:outlineLvl w:val="0"/>
    </w:pPr>
    <w:rPr>
      <w:rFonts w:ascii="Calibri" w:eastAsia="Times New Roman" w:hAnsi="Calibri" w:cs="Arial"/>
      <w:bCs/>
      <w:szCs w:val="24"/>
      <w:lang w:eastAsia="en-GB"/>
    </w:rPr>
  </w:style>
  <w:style w:type="paragraph" w:customStyle="1" w:styleId="Callout">
    <w:name w:val="Callout"/>
    <w:basedOn w:val="Normal"/>
    <w:next w:val="BodyText"/>
    <w:rsid w:val="00095B7C"/>
    <w:pPr>
      <w:pBdr>
        <w:top w:val="single" w:sz="4" w:space="4" w:color="auto"/>
        <w:bottom w:val="single" w:sz="4" w:space="4" w:color="auto"/>
      </w:pBdr>
      <w:spacing w:before="360" w:after="360" w:line="360" w:lineRule="auto"/>
      <w:jc w:val="center"/>
      <w:outlineLvl w:val="0"/>
    </w:pPr>
    <w:rPr>
      <w:rFonts w:ascii="Calibri" w:eastAsia="Times New Roman" w:hAnsi="Calibri" w:cs="Calibri"/>
      <w:bCs/>
      <w:i/>
      <w:szCs w:val="24"/>
      <w:lang w:eastAsia="en-GB"/>
    </w:rPr>
  </w:style>
  <w:style w:type="paragraph" w:styleId="Caption">
    <w:name w:val="caption"/>
    <w:basedOn w:val="Normal"/>
    <w:next w:val="Normal"/>
    <w:qFormat/>
    <w:rsid w:val="00095B7C"/>
    <w:pPr>
      <w:spacing w:after="180" w:line="360" w:lineRule="auto"/>
    </w:pPr>
    <w:rPr>
      <w:rFonts w:ascii="Calibri" w:eastAsia="Times New Roman" w:hAnsi="Calibri" w:cs="Calibri"/>
      <w:sz w:val="18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095B7C"/>
    <w:pPr>
      <w:tabs>
        <w:tab w:val="center" w:pos="4153"/>
        <w:tab w:val="right" w:pos="8306"/>
      </w:tabs>
      <w:spacing w:after="220" w:line="360" w:lineRule="auto"/>
    </w:pPr>
    <w:rPr>
      <w:rFonts w:ascii="Calibri" w:eastAsia="Times New Roman" w:hAnsi="Calibri" w:cs="Calibri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095B7C"/>
    <w:rPr>
      <w:rFonts w:ascii="Calibri" w:eastAsia="Times New Roman" w:hAnsi="Calibri" w:cs="Calibri"/>
      <w:szCs w:val="24"/>
      <w:lang w:eastAsia="en-GB"/>
    </w:rPr>
  </w:style>
  <w:style w:type="paragraph" w:customStyle="1" w:styleId="References">
    <w:name w:val="References"/>
    <w:basedOn w:val="Normal"/>
    <w:next w:val="Normal"/>
    <w:rsid w:val="00095B7C"/>
    <w:pPr>
      <w:keepNext/>
      <w:spacing w:after="120" w:line="360" w:lineRule="auto"/>
      <w:ind w:left="432" w:hanging="432"/>
      <w:outlineLvl w:val="0"/>
    </w:pPr>
    <w:rPr>
      <w:rFonts w:ascii="Book Antiqua" w:eastAsia="Times New Roman" w:hAnsi="Book Antiqua" w:cs="Calibri"/>
      <w:bCs/>
      <w:sz w:val="20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095B7C"/>
    <w:pPr>
      <w:tabs>
        <w:tab w:val="center" w:pos="4320"/>
        <w:tab w:val="right" w:pos="8640"/>
      </w:tabs>
      <w:spacing w:after="220" w:line="360" w:lineRule="auto"/>
    </w:pPr>
    <w:rPr>
      <w:rFonts w:ascii="Calibri" w:eastAsia="Times New Roman" w:hAnsi="Calibri" w:cs="Calibri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95B7C"/>
    <w:rPr>
      <w:rFonts w:ascii="Calibri" w:eastAsia="Times New Roman" w:hAnsi="Calibri" w:cs="Calibri"/>
      <w:szCs w:val="24"/>
      <w:lang w:eastAsia="en-GB"/>
    </w:rPr>
  </w:style>
  <w:style w:type="character" w:styleId="PageNumber">
    <w:name w:val="page number"/>
    <w:rsid w:val="00095B7C"/>
    <w:rPr>
      <w:rFonts w:ascii="Calibri" w:hAnsi="Calibri"/>
    </w:rPr>
  </w:style>
  <w:style w:type="paragraph" w:customStyle="1" w:styleId="Principaltitle">
    <w:name w:val="Principal title"/>
    <w:basedOn w:val="BodyText"/>
    <w:next w:val="BodyText"/>
    <w:rsid w:val="00095B7C"/>
    <w:pPr>
      <w:spacing w:after="480"/>
    </w:pPr>
    <w:rPr>
      <w:b/>
      <w:sz w:val="48"/>
    </w:rPr>
  </w:style>
  <w:style w:type="paragraph" w:customStyle="1" w:styleId="Tabletext">
    <w:name w:val="Table text"/>
    <w:basedOn w:val="References"/>
    <w:rsid w:val="00095B7C"/>
    <w:pPr>
      <w:ind w:left="0" w:firstLine="0"/>
    </w:pPr>
  </w:style>
  <w:style w:type="paragraph" w:styleId="BodyText">
    <w:name w:val="Body Text"/>
    <w:basedOn w:val="Normal"/>
    <w:link w:val="BodyTextChar"/>
    <w:rsid w:val="00095B7C"/>
    <w:pPr>
      <w:spacing w:after="220" w:line="360" w:lineRule="auto"/>
    </w:pPr>
    <w:rPr>
      <w:rFonts w:ascii="Calibri" w:eastAsia="Times New Roman" w:hAnsi="Calibri" w:cs="Calibri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095B7C"/>
    <w:rPr>
      <w:rFonts w:ascii="Calibri" w:eastAsia="Times New Roman" w:hAnsi="Calibri" w:cs="Calibri"/>
      <w:szCs w:val="24"/>
      <w:lang w:eastAsia="en-GB"/>
    </w:rPr>
  </w:style>
  <w:style w:type="paragraph" w:customStyle="1" w:styleId="Bullet2">
    <w:name w:val="Bullet 2"/>
    <w:basedOn w:val="Bullet"/>
    <w:rsid w:val="00095B7C"/>
  </w:style>
  <w:style w:type="paragraph" w:styleId="TOC1">
    <w:name w:val="toc 1"/>
    <w:basedOn w:val="BodyText"/>
    <w:next w:val="BodyText"/>
    <w:autoRedefine/>
    <w:semiHidden/>
    <w:rsid w:val="00095B7C"/>
    <w:pPr>
      <w:spacing w:before="120" w:after="0" w:line="240" w:lineRule="auto"/>
    </w:pPr>
    <w:rPr>
      <w:b/>
      <w:szCs w:val="22"/>
    </w:rPr>
  </w:style>
  <w:style w:type="paragraph" w:styleId="TOC2">
    <w:name w:val="toc 2"/>
    <w:basedOn w:val="BodyText"/>
    <w:next w:val="BodyText"/>
    <w:autoRedefine/>
    <w:semiHidden/>
    <w:rsid w:val="00095B7C"/>
    <w:pPr>
      <w:spacing w:after="0" w:line="240" w:lineRule="auto"/>
      <w:ind w:left="238"/>
    </w:pPr>
  </w:style>
  <w:style w:type="paragraph" w:styleId="TOC3">
    <w:name w:val="toc 3"/>
    <w:basedOn w:val="BodyText"/>
    <w:next w:val="Normal"/>
    <w:autoRedefine/>
    <w:semiHidden/>
    <w:rsid w:val="00095B7C"/>
    <w:pPr>
      <w:spacing w:after="0" w:line="240" w:lineRule="auto"/>
      <w:ind w:left="482"/>
    </w:pPr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095B7C"/>
    <w:pPr>
      <w:spacing w:before="240" w:after="60" w:line="360" w:lineRule="auto"/>
      <w:jc w:val="center"/>
      <w:outlineLvl w:val="0"/>
    </w:pPr>
    <w:rPr>
      <w:rFonts w:ascii="Calibri" w:eastAsia="Times New Roman" w:hAnsi="Calibri" w:cs="Times New Roman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095B7C"/>
    <w:rPr>
      <w:rFonts w:ascii="Calibri" w:eastAsia="Times New Roman" w:hAnsi="Calibri" w:cs="Times New Roman"/>
      <w:b/>
      <w:bCs/>
      <w:kern w:val="28"/>
      <w:sz w:val="32"/>
      <w:szCs w:val="3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B7C"/>
    <w:pPr>
      <w:spacing w:after="60" w:line="360" w:lineRule="auto"/>
      <w:jc w:val="center"/>
      <w:outlineLvl w:val="1"/>
    </w:pPr>
    <w:rPr>
      <w:rFonts w:ascii="Calibri" w:eastAsia="Times New Roman" w:hAnsi="Calibri" w:cs="Times New Roman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095B7C"/>
    <w:rPr>
      <w:rFonts w:ascii="Calibri" w:eastAsia="Times New Roman" w:hAnsi="Calibri" w:cs="Times New Roman"/>
      <w:szCs w:val="24"/>
      <w:lang w:eastAsia="en-GB"/>
    </w:rPr>
  </w:style>
  <w:style w:type="character" w:styleId="SubtleEmphasis">
    <w:name w:val="Subtle Emphasis"/>
    <w:uiPriority w:val="19"/>
    <w:qFormat/>
    <w:rsid w:val="00095B7C"/>
    <w:rPr>
      <w:rFonts w:ascii="Calibri" w:hAnsi="Calibri"/>
      <w:i/>
      <w:iCs/>
      <w:color w:val="808080"/>
    </w:rPr>
  </w:style>
  <w:style w:type="character" w:styleId="Emphasis">
    <w:name w:val="Emphasis"/>
    <w:uiPriority w:val="20"/>
    <w:qFormat/>
    <w:rsid w:val="00095B7C"/>
    <w:rPr>
      <w:rFonts w:ascii="Calibri" w:hAnsi="Calibri"/>
      <w:i/>
      <w:iCs/>
    </w:rPr>
  </w:style>
  <w:style w:type="character" w:styleId="IntenseEmphasis">
    <w:name w:val="Intense Emphasis"/>
    <w:uiPriority w:val="21"/>
    <w:qFormat/>
    <w:rsid w:val="00095B7C"/>
    <w:rPr>
      <w:rFonts w:ascii="Calibri" w:hAnsi="Calibri"/>
      <w:b/>
      <w:bCs/>
      <w:i/>
      <w:iCs/>
      <w:color w:val="4F81BD"/>
    </w:rPr>
  </w:style>
  <w:style w:type="character" w:styleId="Strong">
    <w:name w:val="Strong"/>
    <w:uiPriority w:val="22"/>
    <w:qFormat/>
    <w:rsid w:val="00095B7C"/>
    <w:rPr>
      <w:rFonts w:ascii="Calibri" w:hAnsi="Calibri"/>
      <w:b/>
      <w:bCs/>
    </w:rPr>
  </w:style>
  <w:style w:type="character" w:styleId="SubtleReference">
    <w:name w:val="Subtle Reference"/>
    <w:uiPriority w:val="31"/>
    <w:qFormat/>
    <w:rsid w:val="00095B7C"/>
    <w:rPr>
      <w:rFonts w:ascii="Calibri" w:hAnsi="Calibri"/>
      <w:smallCaps/>
      <w:color w:val="C0504D"/>
      <w:u w:val="single"/>
    </w:rPr>
  </w:style>
  <w:style w:type="character" w:styleId="IntenseReference">
    <w:name w:val="Intense Reference"/>
    <w:uiPriority w:val="32"/>
    <w:qFormat/>
    <w:rsid w:val="00095B7C"/>
    <w:rPr>
      <w:rFonts w:ascii="Calibri" w:hAnsi="Calibri"/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095B7C"/>
    <w:rPr>
      <w:rFonts w:ascii="Calibri" w:hAnsi="Calibri"/>
      <w:b/>
      <w:bCs/>
      <w:smallCaps/>
      <w:spacing w:val="5"/>
    </w:rPr>
  </w:style>
  <w:style w:type="paragraph" w:styleId="NoSpacing">
    <w:name w:val="No Spacing"/>
    <w:uiPriority w:val="1"/>
    <w:qFormat/>
    <w:rsid w:val="00095B7C"/>
    <w:pPr>
      <w:spacing w:after="0" w:line="240" w:lineRule="auto"/>
    </w:pPr>
    <w:rPr>
      <w:rFonts w:ascii="Calibri" w:eastAsia="Times New Roman" w:hAnsi="Calibri" w:cs="Calibri"/>
      <w:szCs w:val="24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095B7C"/>
    <w:pPr>
      <w:spacing w:after="220" w:line="360" w:lineRule="auto"/>
    </w:pPr>
    <w:rPr>
      <w:rFonts w:ascii="Calibri" w:eastAsia="Times New Roman" w:hAnsi="Calibri" w:cs="Calibri"/>
      <w:i/>
      <w:iCs/>
      <w:color w:val="000000"/>
      <w:szCs w:val="24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095B7C"/>
    <w:rPr>
      <w:rFonts w:ascii="Calibri" w:eastAsia="Times New Roman" w:hAnsi="Calibri" w:cs="Calibri"/>
      <w:i/>
      <w:iCs/>
      <w:color w:val="000000"/>
      <w:szCs w:val="24"/>
      <w:lang w:eastAsia="en-GB"/>
    </w:rPr>
  </w:style>
  <w:style w:type="paragraph" w:customStyle="1" w:styleId="Style">
    <w:name w:val="Style"/>
    <w:basedOn w:val="Principaltitle"/>
    <w:rsid w:val="00095B7C"/>
    <w:pPr>
      <w:spacing w:line="240" w:lineRule="auto"/>
    </w:pPr>
    <w:rPr>
      <w:rFonts w:cs="Times New Roman"/>
      <w:bCs/>
      <w:smallCaps/>
      <w:spacing w:val="5"/>
      <w:szCs w:val="20"/>
    </w:rPr>
  </w:style>
  <w:style w:type="character" w:styleId="CommentReference">
    <w:name w:val="annotation reference"/>
    <w:uiPriority w:val="99"/>
    <w:semiHidden/>
    <w:unhideWhenUsed/>
    <w:rsid w:val="00095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5B7C"/>
    <w:pPr>
      <w:spacing w:after="220" w:line="360" w:lineRule="auto"/>
    </w:pPr>
    <w:rPr>
      <w:rFonts w:ascii="Calibri" w:eastAsia="Times New Roman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5B7C"/>
    <w:rPr>
      <w:rFonts w:ascii="Calibri" w:eastAsia="Times New Roman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B7C"/>
    <w:rPr>
      <w:rFonts w:ascii="Calibri" w:eastAsia="Times New Roman" w:hAnsi="Calibri" w:cs="Calibri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B7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B7C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Default">
    <w:name w:val="Default"/>
    <w:rsid w:val="00095B7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95B7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095B7C"/>
    <w:rPr>
      <w:color w:val="954F72"/>
      <w:u w:val="single"/>
    </w:rPr>
  </w:style>
  <w:style w:type="paragraph" w:styleId="Revision">
    <w:name w:val="Revision"/>
    <w:hidden/>
    <w:uiPriority w:val="99"/>
    <w:semiHidden/>
    <w:rsid w:val="00095B7C"/>
    <w:pPr>
      <w:spacing w:after="0" w:line="240" w:lineRule="auto"/>
    </w:pPr>
    <w:rPr>
      <w:rFonts w:ascii="Calibri" w:eastAsia="Times New Roman" w:hAnsi="Calibri" w:cs="Calibri"/>
      <w:szCs w:val="24"/>
      <w:lang w:eastAsia="en-GB"/>
    </w:rPr>
  </w:style>
  <w:style w:type="paragraph" w:customStyle="1" w:styleId="authors">
    <w:name w:val="authors"/>
    <w:basedOn w:val="Normal"/>
    <w:rsid w:val="0009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itationline">
    <w:name w:val="citationline"/>
    <w:basedOn w:val="Normal"/>
    <w:rsid w:val="0009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itation">
    <w:name w:val="citation"/>
    <w:basedOn w:val="DefaultParagraphFont"/>
    <w:rsid w:val="00095B7C"/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rsid w:val="00095B7C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character" w:customStyle="1" w:styleId="snippnewpage">
    <w:name w:val="snippnewpage"/>
    <w:basedOn w:val="DefaultParagraphFont"/>
    <w:rsid w:val="00095B7C"/>
  </w:style>
  <w:style w:type="table" w:customStyle="1" w:styleId="TableGridLight1">
    <w:name w:val="Table Grid Light1"/>
    <w:basedOn w:val="TableNormal"/>
    <w:next w:val="TableGridLight"/>
    <w:uiPriority w:val="40"/>
    <w:rsid w:val="00095B7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ListParagraphChar">
    <w:name w:val="List Paragraph Char"/>
    <w:basedOn w:val="DefaultParagraphFont"/>
    <w:link w:val="ListParagraph1"/>
    <w:uiPriority w:val="34"/>
    <w:rsid w:val="00095B7C"/>
    <w:rPr>
      <w:rFonts w:eastAsia="Calibri" w:cs="Times New Roman"/>
      <w:sz w:val="22"/>
      <w:szCs w:val="22"/>
    </w:rPr>
  </w:style>
  <w:style w:type="paragraph" w:customStyle="1" w:styleId="EndNoteBibliographyTitle">
    <w:name w:val="EndNote Bibliography Title"/>
    <w:basedOn w:val="Normal"/>
    <w:link w:val="EndNoteBibliographyTitleChar"/>
    <w:rsid w:val="00095B7C"/>
    <w:pPr>
      <w:spacing w:after="0" w:line="360" w:lineRule="auto"/>
      <w:jc w:val="center"/>
    </w:pPr>
    <w:rPr>
      <w:rFonts w:ascii="Calibri" w:eastAsia="Times New Roman" w:hAnsi="Calibri" w:cs="Calibri"/>
      <w:noProof/>
      <w:szCs w:val="24"/>
      <w:lang w:eastAsia="en-GB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095B7C"/>
    <w:rPr>
      <w:rFonts w:ascii="Calibri" w:eastAsia="Times New Roman" w:hAnsi="Calibri" w:cs="Calibri"/>
      <w:noProof/>
      <w:sz w:val="22"/>
      <w:szCs w:val="24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095B7C"/>
    <w:pPr>
      <w:spacing w:after="220" w:line="240" w:lineRule="auto"/>
    </w:pPr>
    <w:rPr>
      <w:rFonts w:ascii="Calibri" w:eastAsia="Times New Roman" w:hAnsi="Calibri" w:cs="Calibri"/>
      <w:noProof/>
      <w:szCs w:val="24"/>
      <w:lang w:eastAsia="en-GB"/>
    </w:rPr>
  </w:style>
  <w:style w:type="character" w:customStyle="1" w:styleId="EndNoteBibliographyChar">
    <w:name w:val="EndNote Bibliography Char"/>
    <w:basedOn w:val="ListParagraphChar"/>
    <w:link w:val="EndNoteBibliography"/>
    <w:rsid w:val="00095B7C"/>
    <w:rPr>
      <w:rFonts w:ascii="Calibri" w:eastAsia="Times New Roman" w:hAnsi="Calibri" w:cs="Calibri"/>
      <w:noProof/>
      <w:sz w:val="22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95B7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95B7C"/>
    <w:rPr>
      <w:rFonts w:ascii="Segoe UI" w:hAnsi="Segoe UI" w:cs="Segoe UI" w:hint="default"/>
      <w:i/>
      <w:iCs/>
      <w:sz w:val="18"/>
      <w:szCs w:val="18"/>
      <w:shd w:val="clear" w:color="auto" w:fill="FFFF00"/>
    </w:rPr>
  </w:style>
  <w:style w:type="character" w:styleId="PlaceholderText">
    <w:name w:val="Placeholder Text"/>
    <w:basedOn w:val="DefaultParagraphFont"/>
    <w:uiPriority w:val="99"/>
    <w:semiHidden/>
    <w:rsid w:val="00095B7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9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EndNoteBibliographyLeft0cmHanging127cmAfter">
    <w:name w:val="Style EndNote Bibliography + Left:  0 cm Hanging:  1.27 cm After:..."/>
    <w:basedOn w:val="EndNoteBibliography"/>
    <w:rsid w:val="00095B7C"/>
    <w:pPr>
      <w:spacing w:after="0" w:line="480" w:lineRule="auto"/>
      <w:ind w:left="720" w:hanging="720"/>
    </w:pPr>
    <w:rPr>
      <w:rFonts w:cs="Times New Roman"/>
      <w:sz w:val="20"/>
      <w:szCs w:val="20"/>
    </w:rPr>
  </w:style>
  <w:style w:type="numbering" w:customStyle="1" w:styleId="NoList11">
    <w:name w:val="No List11"/>
    <w:next w:val="NoList"/>
    <w:uiPriority w:val="99"/>
    <w:semiHidden/>
    <w:unhideWhenUsed/>
    <w:rsid w:val="00095B7C"/>
  </w:style>
  <w:style w:type="table" w:customStyle="1" w:styleId="TableGrid1">
    <w:name w:val="Table Grid1"/>
    <w:basedOn w:val="TableNormal"/>
    <w:next w:val="TableGrid"/>
    <w:uiPriority w:val="39"/>
    <w:rsid w:val="00095B7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95B7C"/>
  </w:style>
  <w:style w:type="paragraph" w:styleId="ListParagraph">
    <w:name w:val="List Paragraph"/>
    <w:basedOn w:val="Normal"/>
    <w:uiPriority w:val="34"/>
    <w:qFormat/>
    <w:rsid w:val="00095B7C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095B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1754</Words>
  <Characters>9998</Characters>
  <Application>Microsoft Office Word</Application>
  <DocSecurity>0</DocSecurity>
  <Lines>83</Lines>
  <Paragraphs>23</Paragraphs>
  <ScaleCrop>false</ScaleCrop>
  <Company/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Guillermina Casabona</dc:creator>
  <cp:keywords/>
  <dc:description/>
  <cp:lastModifiedBy>Scott Constantine</cp:lastModifiedBy>
  <cp:revision>4</cp:revision>
  <dcterms:created xsi:type="dcterms:W3CDTF">2023-03-27T08:12:00Z</dcterms:created>
  <dcterms:modified xsi:type="dcterms:W3CDTF">2023-03-27T12:14:00Z</dcterms:modified>
</cp:coreProperties>
</file>