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3D2E" w14:textId="38A11DD3" w:rsidR="000B1520" w:rsidRPr="000B1520" w:rsidRDefault="000B1520" w:rsidP="00721B48">
      <w:pPr>
        <w:ind w:left="1304" w:hanging="1304"/>
        <w:rPr>
          <w:b/>
          <w:bCs/>
          <w:sz w:val="32"/>
          <w:szCs w:val="32"/>
        </w:rPr>
      </w:pPr>
      <w:r w:rsidRPr="000B1520">
        <w:rPr>
          <w:b/>
          <w:bCs/>
          <w:sz w:val="32"/>
          <w:szCs w:val="32"/>
        </w:rPr>
        <w:t>Supplementary materials</w:t>
      </w:r>
      <w:r w:rsidR="00721B48">
        <w:rPr>
          <w:b/>
          <w:bCs/>
          <w:sz w:val="32"/>
          <w:szCs w:val="32"/>
        </w:rPr>
        <w:br/>
      </w:r>
    </w:p>
    <w:p w14:paraId="785FB77F" w14:textId="13438CC5" w:rsidR="000B1520" w:rsidRPr="00896465" w:rsidRDefault="000B1520" w:rsidP="00985B09">
      <w:pPr>
        <w:rPr>
          <w:b/>
          <w:bCs/>
        </w:rPr>
      </w:pPr>
      <w:r w:rsidRPr="000B1520">
        <w:rPr>
          <w:b/>
          <w:bCs/>
          <w:i/>
          <w:iCs/>
          <w:sz w:val="28"/>
          <w:szCs w:val="28"/>
        </w:rPr>
        <w:t>Grouping of discharge diagnoses</w:t>
      </w:r>
      <w:r w:rsidRPr="000B1520">
        <w:rPr>
          <w:color w:val="000000" w:themeColor="text1"/>
          <w:szCs w:val="20"/>
        </w:rPr>
        <w:br/>
      </w:r>
      <w:r w:rsidRPr="00D227B2">
        <w:rPr>
          <w:color w:val="000000" w:themeColor="text1"/>
          <w:szCs w:val="20"/>
        </w:rPr>
        <w:t>An initial overview of discharge diagnoses revealed over 3000 individual ICD-10 codes registered in our population.</w:t>
      </w:r>
      <w:r w:rsidR="00896465">
        <w:rPr>
          <w:b/>
          <w:bCs/>
        </w:rPr>
        <w:t xml:space="preserve"> </w:t>
      </w:r>
      <w:r w:rsidRPr="00D227B2">
        <w:rPr>
          <w:color w:val="000000" w:themeColor="text1"/>
          <w:szCs w:val="20"/>
        </w:rPr>
        <w:t>A large proportion of these were only registered once or twice, demanding a method of grouping them if we were to include discharge diagnosis as a variable in our model.</w:t>
      </w:r>
      <w:r>
        <w:rPr>
          <w:color w:val="000000" w:themeColor="text1"/>
          <w:szCs w:val="20"/>
        </w:rPr>
        <w:t xml:space="preserve"> </w:t>
      </w:r>
      <w:r w:rsidRPr="00D227B2">
        <w:rPr>
          <w:color w:val="000000" w:themeColor="text1"/>
          <w:szCs w:val="20"/>
        </w:rPr>
        <w:t xml:space="preserve">Since </w:t>
      </w:r>
      <w:proofErr w:type="gramStart"/>
      <w:r w:rsidRPr="00D227B2">
        <w:rPr>
          <w:color w:val="000000" w:themeColor="text1"/>
          <w:szCs w:val="20"/>
        </w:rPr>
        <w:t>four digit</w:t>
      </w:r>
      <w:proofErr w:type="gramEnd"/>
      <w:r w:rsidRPr="00D227B2">
        <w:rPr>
          <w:color w:val="000000" w:themeColor="text1"/>
          <w:szCs w:val="20"/>
        </w:rPr>
        <w:t xml:space="preserve"> ICD-10 grouping has previously been </w:t>
      </w:r>
      <w:r>
        <w:rPr>
          <w:color w:val="000000" w:themeColor="text1"/>
          <w:szCs w:val="20"/>
        </w:rPr>
        <w:t>shown</w:t>
      </w:r>
      <w:r w:rsidRPr="00D227B2">
        <w:rPr>
          <w:color w:val="000000" w:themeColor="text1"/>
          <w:szCs w:val="20"/>
        </w:rPr>
        <w:t xml:space="preserve"> to be </w:t>
      </w:r>
      <w:r>
        <w:rPr>
          <w:color w:val="000000" w:themeColor="text1"/>
          <w:szCs w:val="20"/>
        </w:rPr>
        <w:t>a</w:t>
      </w:r>
      <w:r w:rsidRPr="00D227B2">
        <w:rPr>
          <w:color w:val="000000" w:themeColor="text1"/>
          <w:szCs w:val="20"/>
        </w:rPr>
        <w:t>n ineffective mean of categorizing diagnoses</w:t>
      </w:r>
      <w:r>
        <w:rPr>
          <w:color w:val="000000" w:themeColor="text1"/>
          <w:szCs w:val="20"/>
        </w:rPr>
        <w:t xml:space="preserve">, </w:t>
      </w:r>
      <w:r w:rsidRPr="00D227B2">
        <w:rPr>
          <w:color w:val="000000" w:themeColor="text1"/>
          <w:szCs w:val="20"/>
        </w:rPr>
        <w:t xml:space="preserve">we manually grouped relevant discharge diagnoses into </w:t>
      </w:r>
      <w:r>
        <w:rPr>
          <w:color w:val="000000" w:themeColor="text1"/>
          <w:szCs w:val="20"/>
        </w:rPr>
        <w:t xml:space="preserve">new clinically relevant </w:t>
      </w:r>
      <w:r w:rsidRPr="00D227B2">
        <w:rPr>
          <w:color w:val="000000" w:themeColor="text1"/>
          <w:szCs w:val="20"/>
        </w:rPr>
        <w:t>categories.</w:t>
      </w:r>
      <w:r w:rsidR="00A468BA">
        <w:rPr>
          <w:color w:val="000000" w:themeColor="text1"/>
          <w:szCs w:val="20"/>
          <w:vertAlign w:val="superscript"/>
        </w:rPr>
        <w:t>21</w:t>
      </w:r>
      <w:r>
        <w:rPr>
          <w:color w:val="000000" w:themeColor="text1"/>
          <w:szCs w:val="20"/>
        </w:rPr>
        <w:t xml:space="preserve"> </w:t>
      </w:r>
      <w:r w:rsidRPr="00D227B2">
        <w:rPr>
          <w:color w:val="000000" w:themeColor="text1"/>
          <w:szCs w:val="20"/>
        </w:rPr>
        <w:t xml:space="preserve">Screening was, for all but infectious diseases, done based on the 4-digit ICD-10 codes. For infectious diseases we chose to use their 5-digit ICD-10 code. </w:t>
      </w:r>
      <w:r>
        <w:rPr>
          <w:color w:val="000000" w:themeColor="text1"/>
          <w:szCs w:val="20"/>
        </w:rPr>
        <w:t xml:space="preserve"> </w:t>
      </w:r>
      <w:r w:rsidRPr="00D227B2">
        <w:rPr>
          <w:color w:val="000000" w:themeColor="text1"/>
          <w:szCs w:val="20"/>
        </w:rPr>
        <w:t>If two or more diagnoses were deemed comparable in an acute, clinical setting, the two were combined into one.</w:t>
      </w:r>
      <w:r>
        <w:rPr>
          <w:color w:val="000000" w:themeColor="text1"/>
          <w:szCs w:val="20"/>
        </w:rPr>
        <w:t xml:space="preserve"> </w:t>
      </w:r>
      <w:r w:rsidRPr="00D227B2">
        <w:rPr>
          <w:color w:val="000000" w:themeColor="text1"/>
          <w:szCs w:val="20"/>
        </w:rPr>
        <w:t>For example, ´Dehydration´ (DE86)  and ´Other disorders of fluid, electrolyte, and acid balance´ (DE87) were merged into the same category. Different types of pneumonia and bronchitis were also merged into a new category called ´Lower respiratory tract infections´. When deemed relevant, further subdivision of these categories was performed to examine their contents.</w:t>
      </w:r>
      <w:r>
        <w:rPr>
          <w:color w:val="000000" w:themeColor="text1"/>
          <w:szCs w:val="20"/>
        </w:rPr>
        <w:t xml:space="preserve"> </w:t>
      </w:r>
      <w:r w:rsidRPr="00D227B2">
        <w:rPr>
          <w:color w:val="000000" w:themeColor="text1"/>
          <w:szCs w:val="20"/>
        </w:rPr>
        <w:t xml:space="preserve">When examined on a full digit basis, </w:t>
      </w:r>
      <w:r>
        <w:rPr>
          <w:color w:val="000000" w:themeColor="text1"/>
          <w:szCs w:val="20"/>
        </w:rPr>
        <w:t xml:space="preserve">we found that some </w:t>
      </w:r>
      <w:r w:rsidRPr="00D227B2">
        <w:rPr>
          <w:color w:val="000000" w:themeColor="text1"/>
          <w:szCs w:val="20"/>
        </w:rPr>
        <w:t xml:space="preserve">ambiguous </w:t>
      </w:r>
      <w:r>
        <w:rPr>
          <w:color w:val="000000" w:themeColor="text1"/>
          <w:szCs w:val="20"/>
        </w:rPr>
        <w:t xml:space="preserve">diagnoses </w:t>
      </w:r>
      <w:r w:rsidRPr="00D227B2">
        <w:rPr>
          <w:color w:val="000000" w:themeColor="text1"/>
          <w:szCs w:val="20"/>
        </w:rPr>
        <w:t>contain</w:t>
      </w:r>
      <w:r>
        <w:rPr>
          <w:color w:val="000000" w:themeColor="text1"/>
          <w:szCs w:val="20"/>
        </w:rPr>
        <w:t>ed</w:t>
      </w:r>
      <w:r w:rsidRPr="00D227B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 xml:space="preserve">multiple dissimilar diseases. For example, </w:t>
      </w:r>
      <w:r w:rsidRPr="00D227B2">
        <w:rPr>
          <w:color w:val="000000" w:themeColor="text1"/>
          <w:szCs w:val="20"/>
        </w:rPr>
        <w:t xml:space="preserve">´Other functional intestinal disorders´ </w:t>
      </w:r>
      <w:r>
        <w:rPr>
          <w:color w:val="000000" w:themeColor="text1"/>
          <w:szCs w:val="20"/>
        </w:rPr>
        <w:t xml:space="preserve">included </w:t>
      </w:r>
      <w:r w:rsidRPr="00D227B2">
        <w:rPr>
          <w:color w:val="000000" w:themeColor="text1"/>
          <w:szCs w:val="20"/>
        </w:rPr>
        <w:t>both constipation and diarrhea, and thus we allowed for these two to be separated into their own respective categories.</w:t>
      </w:r>
      <w:r>
        <w:rPr>
          <w:color w:val="000000" w:themeColor="text1"/>
          <w:szCs w:val="20"/>
        </w:rPr>
        <w:t xml:space="preserve"> </w:t>
      </w:r>
      <w:r w:rsidRPr="00D227B2">
        <w:rPr>
          <w:color w:val="000000" w:themeColor="text1"/>
          <w:szCs w:val="20"/>
        </w:rPr>
        <w:t xml:space="preserve">Finally, based on this new grouping, the top 50 </w:t>
      </w:r>
      <w:r>
        <w:rPr>
          <w:color w:val="000000" w:themeColor="text1"/>
          <w:szCs w:val="20"/>
        </w:rPr>
        <w:t xml:space="preserve">most frequent </w:t>
      </w:r>
      <w:r w:rsidRPr="00D227B2">
        <w:rPr>
          <w:color w:val="000000" w:themeColor="text1"/>
          <w:szCs w:val="20"/>
        </w:rPr>
        <w:t xml:space="preserve">diagnostic categories were </w:t>
      </w:r>
      <w:r>
        <w:rPr>
          <w:color w:val="000000" w:themeColor="text1"/>
          <w:szCs w:val="20"/>
        </w:rPr>
        <w:t xml:space="preserve">chosen. </w:t>
      </w:r>
      <w:r w:rsidRPr="00D227B2">
        <w:rPr>
          <w:color w:val="000000" w:themeColor="text1"/>
          <w:szCs w:val="20"/>
        </w:rPr>
        <w:t>The remaining diagnoses that did not make it into the top 50 were instead input as their overall disease category, resulting in a total of 66 distinctive diagnostic groups, 16 of which were comprised of overall disease categories. These were grouped</w:t>
      </w:r>
      <w:r>
        <w:rPr>
          <w:color w:val="000000" w:themeColor="text1"/>
          <w:szCs w:val="20"/>
        </w:rPr>
        <w:t xml:space="preserve"> </w:t>
      </w:r>
      <w:r w:rsidRPr="00216920">
        <w:rPr>
          <w:color w:val="000000" w:themeColor="text1"/>
          <w:szCs w:val="20"/>
        </w:rPr>
        <w:t xml:space="preserve">based on a modified version of the Vest-Hansen ICD-10 </w:t>
      </w:r>
      <w:r w:rsidRPr="00D227B2">
        <w:rPr>
          <w:color w:val="000000" w:themeColor="text1"/>
          <w:szCs w:val="20"/>
        </w:rPr>
        <w:t>as previously described by Gregersen et. al</w:t>
      </w:r>
      <w:r>
        <w:rPr>
          <w:color w:val="000000" w:themeColor="text1"/>
          <w:szCs w:val="20"/>
        </w:rPr>
        <w:t>.</w:t>
      </w:r>
      <w:r w:rsidR="00721B48">
        <w:rPr>
          <w:color w:val="000000" w:themeColor="text1"/>
          <w:szCs w:val="20"/>
          <w:vertAlign w:val="superscript"/>
        </w:rPr>
        <w:t>4,22</w:t>
      </w:r>
      <w:r w:rsidRPr="00D227B2">
        <w:rPr>
          <w:color w:val="000000" w:themeColor="text1"/>
          <w:szCs w:val="20"/>
        </w:rPr>
        <w:t xml:space="preserve"> For example, acute pyelonephritis was input as ´Other infectious diseases´, since it did not make the top 50 in this new diagnostic grouping. See below table for a complete overview of the groupings. All 66 diagnostic groups were input into the model as </w:t>
      </w:r>
      <w:r>
        <w:rPr>
          <w:color w:val="000000" w:themeColor="text1"/>
          <w:szCs w:val="20"/>
        </w:rPr>
        <w:t>individual</w:t>
      </w:r>
      <w:r w:rsidRPr="00D227B2">
        <w:rPr>
          <w:color w:val="000000" w:themeColor="text1"/>
          <w:szCs w:val="20"/>
        </w:rPr>
        <w:t xml:space="preserve">, binary variables. </w:t>
      </w:r>
    </w:p>
    <w:p w14:paraId="0947744B" w14:textId="2B393DFF" w:rsidR="00AB5D84" w:rsidRDefault="000B1520" w:rsidP="00BE5481">
      <w:pPr>
        <w:ind w:firstLine="680"/>
        <w:rPr>
          <w:color w:val="000000" w:themeColor="text1"/>
          <w:szCs w:val="20"/>
        </w:rPr>
      </w:pPr>
      <w:r w:rsidRPr="00D227B2">
        <w:rPr>
          <w:color w:val="000000" w:themeColor="text1"/>
          <w:szCs w:val="20"/>
        </w:rPr>
        <w:lastRenderedPageBreak/>
        <w:t xml:space="preserve">The top 50 diagnostic groups are sorted alphabetically based on the first ICD-10 code in the group and are separated from the remaining 16 disease categories in the below table. Due to Danish law on data protection (GDPR), rows with numbers </w:t>
      </w:r>
      <w:r w:rsidRPr="00E52DB6">
        <w:rPr>
          <w:color w:val="111111"/>
          <w:szCs w:val="20"/>
        </w:rPr>
        <w:t>≤</w:t>
      </w:r>
      <w:r w:rsidRPr="00D227B2">
        <w:rPr>
          <w:color w:val="000000" w:themeColor="text1"/>
          <w:szCs w:val="20"/>
        </w:rPr>
        <w:t xml:space="preserve">5 have been concealed and replaced by a </w:t>
      </w:r>
      <w:r>
        <w:rPr>
          <w:color w:val="000000"/>
          <w:szCs w:val="20"/>
        </w:rPr>
        <w:t>‘</w:t>
      </w:r>
      <w:r w:rsidRPr="00D227B2">
        <w:rPr>
          <w:color w:val="000000" w:themeColor="text1"/>
          <w:szCs w:val="20"/>
        </w:rPr>
        <w:t>*</w:t>
      </w:r>
      <w:r>
        <w:rPr>
          <w:color w:val="000000" w:themeColor="text1"/>
          <w:szCs w:val="20"/>
        </w:rPr>
        <w:t>’</w:t>
      </w:r>
      <w:r w:rsidRPr="00D227B2">
        <w:rPr>
          <w:color w:val="000000" w:themeColor="text1"/>
          <w:szCs w:val="20"/>
        </w:rPr>
        <w:t xml:space="preserve"> instead. </w:t>
      </w:r>
      <w:r w:rsidR="00AB5D84">
        <w:rPr>
          <w:color w:val="000000" w:themeColor="text1"/>
          <w:szCs w:val="20"/>
        </w:rPr>
        <w:br/>
      </w:r>
    </w:p>
    <w:p w14:paraId="1277A661" w14:textId="5FAC852E" w:rsidR="000B1520" w:rsidRPr="00AB5D84" w:rsidRDefault="00C3368D" w:rsidP="00985B09">
      <w:pPr>
        <w:rPr>
          <w:szCs w:val="20"/>
        </w:rPr>
      </w:pPr>
      <w:r w:rsidRPr="00AB5D84">
        <w:rPr>
          <w:rFonts w:cs="Arial"/>
          <w:b/>
          <w:bCs/>
          <w:color w:val="000000"/>
          <w:szCs w:val="20"/>
        </w:rPr>
        <w:t>Table S1</w:t>
      </w:r>
      <w:r w:rsidRPr="00AB5D84">
        <w:rPr>
          <w:rFonts w:cs="Arial"/>
          <w:b/>
          <w:bCs/>
          <w:color w:val="ED7D31" w:themeColor="accent2"/>
          <w:szCs w:val="20"/>
        </w:rPr>
        <w:t xml:space="preserve"> </w:t>
      </w:r>
      <w:r w:rsidRPr="00AB5D84">
        <w:rPr>
          <w:rFonts w:cs="Arial"/>
          <w:color w:val="000000"/>
          <w:szCs w:val="20"/>
        </w:rPr>
        <w:t>Diagnostic grouping and frequency according to survival status</w:t>
      </w: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276"/>
        <w:gridCol w:w="1559"/>
        <w:gridCol w:w="1276"/>
      </w:tblGrid>
      <w:tr w:rsidR="000B1520" w:rsidRPr="00021E28" w14:paraId="044FFC5A" w14:textId="77777777" w:rsidTr="00AB5D84">
        <w:trPr>
          <w:trHeight w:val="905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96548" w14:textId="13B4F8D3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t>Diagnostic groups</w:t>
            </w:r>
            <w:r w:rsidR="00E27767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F7631" w14:textId="213B80D2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t>ICD10 codes, including subgroups*</w:t>
            </w:r>
            <w:r w:rsidR="00AB5D8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5F304" w14:textId="166DA869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Total cohort, </w:t>
            </w: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n= 107,132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8C9A7" w14:textId="07E272C1" w:rsidR="00E27767" w:rsidRPr="00E27767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Alive, </w:t>
            </w: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n= 103,557 (96.7%)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ECE667" w14:textId="155908D8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Dead, </w:t>
            </w:r>
            <w:r w:rsidRPr="002B666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n= 3,575 (3.3%)</w:t>
            </w:r>
          </w:p>
        </w:tc>
      </w:tr>
      <w:tr w:rsidR="000B1520" w:rsidRPr="00021E28" w14:paraId="71BABFF5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90B0C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Gastroenteritis or </w:t>
            </w:r>
            <w:proofErr w:type="spellStart"/>
            <w:r w:rsidRPr="002B6669">
              <w:rPr>
                <w:rFonts w:cs="Arial"/>
                <w:color w:val="000000"/>
                <w:sz w:val="16"/>
                <w:szCs w:val="16"/>
              </w:rPr>
              <w:t>gastrocolitis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AC950" w14:textId="104A5951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  <w:lang w:val="da-DK"/>
              </w:rPr>
            </w:pP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DA</w:t>
            </w:r>
            <w:proofErr w:type="gramStart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020,DA</w:t>
            </w:r>
            <w:proofErr w:type="gramEnd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039,DA044,DA045,DA047,</w:t>
            </w:r>
            <w:r w:rsidR="00AB5D84">
              <w:rPr>
                <w:rFonts w:cs="Arial"/>
                <w:color w:val="000000"/>
                <w:sz w:val="16"/>
                <w:szCs w:val="16"/>
                <w:lang w:val="da-DK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DA048,DA049,DA050,DA051,DA058,</w:t>
            </w:r>
            <w:r w:rsidR="00AB5D84">
              <w:rPr>
                <w:rFonts w:cs="Arial"/>
                <w:color w:val="000000"/>
                <w:sz w:val="16"/>
                <w:szCs w:val="16"/>
                <w:lang w:val="da-DK"/>
              </w:rPr>
              <w:t xml:space="preserve"> </w:t>
            </w:r>
            <w:r w:rsidR="00AB5D84">
              <w:rPr>
                <w:rFonts w:cs="Arial"/>
                <w:color w:val="000000"/>
                <w:sz w:val="16"/>
                <w:szCs w:val="16"/>
                <w:lang w:val="da-DK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DA059,DA081,</w:t>
            </w:r>
            <w:r w:rsidR="00AB5D84">
              <w:rPr>
                <w:rFonts w:cs="Arial"/>
                <w:color w:val="000000"/>
                <w:sz w:val="16"/>
                <w:szCs w:val="16"/>
                <w:lang w:val="da-DK"/>
              </w:rPr>
              <w:t xml:space="preserve"> </w:t>
            </w: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DA082,DA083,DA084,</w:t>
            </w: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br/>
              <w:t>DA085,DA090, DA099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69E80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827 (0.8%)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7A9A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811 (0.8%)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33C28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16 (0.4%)</w:t>
            </w:r>
          </w:p>
        </w:tc>
      </w:tr>
      <w:tr w:rsidR="000B1520" w:rsidRPr="00021E28" w14:paraId="1F4518DB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63111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Other skin and subcutaneous infections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9284C8" w14:textId="6B196D9B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DA184A,DA260,DA268,DA692F,DB001,DB001C,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DB029,DB084,DB099A,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DB350A,DB354,DB354A,DB368,DB369,DB370A,DB378,DB378C,DB379,DL00,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DL01,DL02,DL03,DL05,DL06,DL07,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DL08,DL88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FCAAB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597 (0.6%)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2D57C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590 (0.6%)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8DB42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 (0.2%)</w:t>
            </w:r>
          </w:p>
        </w:tc>
      </w:tr>
      <w:tr w:rsidR="000B1520" w:rsidRPr="00021E28" w14:paraId="27925450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D7577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Anemia (not including acute posthemorrhagic anemia)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44064A" w14:textId="3D7A22FA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DD50,DD51,DD52,DD53,DD58,DD59,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DD60,DD61,DD63,DD64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B2215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1,841 (1.7%)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B60C5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1,731 (1.7%)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04BB4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110 (3.1%)</w:t>
            </w:r>
          </w:p>
        </w:tc>
      </w:tr>
      <w:tr w:rsidR="000B1520" w:rsidRPr="00021E28" w14:paraId="501521A6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B944A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Diabetes (type 1, type 2, other, non-specified)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B67F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DE10,DE11,DE13,DE14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219DB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506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AC6DE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488 (0.5%)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0099B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18 (0.5%)</w:t>
            </w:r>
          </w:p>
        </w:tc>
      </w:tr>
      <w:tr w:rsidR="000B1520" w:rsidRPr="00021E28" w14:paraId="26E61483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5B8AAE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Dehydration. Other disorders of fluid, electrolyte, and acid-base balance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824D3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DE86,DE87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D83DC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3,233 (3.0%)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C5A64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2,960 (2.9%)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8895C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273 (7.6%)</w:t>
            </w:r>
          </w:p>
        </w:tc>
      </w:tr>
      <w:tr w:rsidR="000B1520" w:rsidRPr="00021E28" w14:paraId="01F933FD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ADA1A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Epilepsy. Status epilepticus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2083F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DG40,DG41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73D9A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531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1884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512 (0.5%)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84DC0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19 (0.5%)</w:t>
            </w:r>
          </w:p>
        </w:tc>
      </w:tr>
      <w:tr w:rsidR="000B1520" w:rsidRPr="00021E28" w14:paraId="503B9B8B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04C1CA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Hypertensive diseases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F4A8F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DI10,DI11,DI12,DI15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02B1D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1,690 (1.6%)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6E7CF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1,668 (1.6%)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BC2DF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22 (0.6%)</w:t>
            </w:r>
          </w:p>
        </w:tc>
      </w:tr>
      <w:tr w:rsidR="000B1520" w:rsidRPr="00021E28" w14:paraId="612FFCEE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CAFC4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Brain bleeding, infarction, or stroke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3D5FB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  <w:lang w:val="da-DK"/>
              </w:rPr>
            </w:pP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DI</w:t>
            </w:r>
            <w:proofErr w:type="gramStart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60,DI</w:t>
            </w:r>
            <w:proofErr w:type="gramEnd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61,DI62,DI63,DI64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E28E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712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C4FB7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679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EEF4B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33 (0.9%)</w:t>
            </w:r>
          </w:p>
        </w:tc>
      </w:tr>
      <w:tr w:rsidR="000B1520" w:rsidRPr="00021E28" w14:paraId="5EBDEA3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07237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lastRenderedPageBreak/>
              <w:t>Upper respiratory tract infection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E90A89" w14:textId="336FF345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DJ009,DJ010,DJ011,DJ013,DJ014,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DJ019,DJ020,DJ029,DJ029B,DJ030,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DJ039,DJ039A,DJ039C,DJ040,DJ041,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DJ042,DJ068,DJ069,DJ091,DJ091A,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DJ091B,DJ101,DJ101A,DJ101B,DJ108,DJ108A,DJ111,DJ111A,DJ111B,DJ118,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DJ118B,DA370,DA379,DA492,DJ050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46165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616 (0.6%)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D3E91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607 (0.6%)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A1D6E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9 (0.3%)</w:t>
            </w:r>
          </w:p>
        </w:tc>
      </w:tr>
      <w:tr w:rsidR="000B1520" w:rsidRPr="00021E28" w14:paraId="5C294C7F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CFA78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Lower respiratory tract infections, pneumonia, bronchitis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5A0A68" w14:textId="1888759B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DJ100,DJ110,DJ121,DJ128,DJ128A,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DJ129,DJ139,DJ149,DJ150,DJ151,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DJ152,DJ153,DJ154,DJ155,DJ156,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DJ157,DJ158,DJ159,DJ168,DJ171,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DJ178,DJ180,DJ181,DJ188,DJ189,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DA162,DB401,DJ200,DJ204,DJ205,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DJ209,DJ209A,DJ210,DJ219,DJ229,</w:t>
            </w:r>
            <w:r w:rsidR="00AB5D84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DJ40,DJ41,DJ42,DB960,DB974,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DJ440,DJ20,DJ21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4E0C0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3,826 (3.6%)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2F3C2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3,575 (3.5%)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22BFE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251 (7.0%)</w:t>
            </w:r>
          </w:p>
        </w:tc>
      </w:tr>
      <w:tr w:rsidR="000B1520" w:rsidRPr="00021E28" w14:paraId="39CF724E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6891E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Other infections of the digestive system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24F17" w14:textId="6C5630AB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DK040,DK046,DK047,DK052,DK112,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DK113,DK122,DK130A,DK140A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t>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DK209A,DK230,DK231,DK35,DK37,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DK61,DK630,DK650,DK658I,DK67,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DK750,DK751,DK770,DK830,DK859,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DK930,DK931,DK800,DK803,DK804,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DK810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910F1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549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C576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541 (0.5%)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2861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 (0.2%)</w:t>
            </w:r>
          </w:p>
        </w:tc>
      </w:tr>
      <w:tr w:rsidR="000B1520" w:rsidRPr="00021E28" w14:paraId="1407D48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60F2A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Hernias (not including hiatus hernias)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4AB69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  <w:lang w:val="da-DK"/>
              </w:rPr>
            </w:pP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DK</w:t>
            </w:r>
            <w:proofErr w:type="gramStart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40,DK</w:t>
            </w:r>
            <w:proofErr w:type="gramEnd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41,DK42,DK43,</w:t>
            </w: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br/>
              <w:t>DK45,DK46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4C376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716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F5E46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704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48EF0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12 (0.3%)</w:t>
            </w:r>
          </w:p>
        </w:tc>
      </w:tr>
      <w:tr w:rsidR="000B1520" w:rsidRPr="00021E28" w14:paraId="62554A82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716D8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Complicated diverticulitis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8495A3" w14:textId="354AAE7C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DK57,DK570,DK572,DK572A,DK572B,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DK572C,DK574,DK578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D58C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1,036 (1.0%)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F34D2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1,026 (1.0%)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E3342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10 (0.3%)</w:t>
            </w:r>
          </w:p>
        </w:tc>
      </w:tr>
      <w:tr w:rsidR="000B1520" w:rsidRPr="00021E28" w14:paraId="43DE22EF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1844D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Constipation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16410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DK590, DK590A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A724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1,502 (1.4%)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8DFBF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1,456 (1.4%)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08BA4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46 (1.3%)</w:t>
            </w:r>
          </w:p>
        </w:tc>
      </w:tr>
      <w:tr w:rsidR="000B1520" w:rsidRPr="00021E28" w14:paraId="736A0735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EF041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Perianal/perirectal hemorrhoids, hematomas, and fissures, other diseases of anus and rectum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BC07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DK60, DK62, DK64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3693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1,198 (1.1%)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38A14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1,149 (1.1%)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90C88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49 (1.4%)</w:t>
            </w:r>
          </w:p>
        </w:tc>
      </w:tr>
      <w:tr w:rsidR="000B1520" w:rsidRPr="00021E28" w14:paraId="11B26247" w14:textId="77777777" w:rsidTr="00AB5D84">
        <w:trPr>
          <w:trHeight w:val="34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5A37B7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lastRenderedPageBreak/>
              <w:t xml:space="preserve">Urinary tract stones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5080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DN20,DN21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D104E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639 (0.6%)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5D30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6DADD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</w:t>
            </w:r>
          </w:p>
        </w:tc>
      </w:tr>
      <w:tr w:rsidR="000B1520" w:rsidRPr="00021E28" w14:paraId="39146005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71037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Cystitis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9F3650" w14:textId="68DEAE7A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DN300,DN302,DN308,DN308A,DN308B,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DN308C,DN308E,DN309,DN390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F3707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3,542 (3.3%)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EFB3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3,316 (3.2%)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6879C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226 (6.3%)</w:t>
            </w:r>
          </w:p>
        </w:tc>
      </w:tr>
      <w:tr w:rsidR="000B1520" w:rsidRPr="00021E28" w14:paraId="020F0E0D" w14:textId="77777777" w:rsidTr="00AB5D84">
        <w:trPr>
          <w:trHeight w:val="4838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B4778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Traumatic injuries, lesions, fractures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5B7752" w14:textId="39487CAF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DS00,DS01,DS02,DS03,DS04,DS05,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DS07,DS09,DS10,DS12,DS13,DS14,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DS15,DS19,DS20,DS21,DS22,DS23,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DS24,DS27,DS29,DS30,DS31,DS32,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DS33,DS34,DS35,DS36,DS37,DS39,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DS40,DS41,DS42,DS43,DS44,DS46,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DS50,DS51,DS52,DS53,DS54,DS55,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DS60,DS61,DS62,DS63,DS64,DS66,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DS67,DS68,DS69,DS70,DS71,DS72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t>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DS73,DS75,DS76,DS79,DS80,DS81,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DS82,DS83,DS84,DS86,DS89,DS90,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DS91,DS92,DS93,DS94,DS96,DS99,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DT00,DT01,DT07,DT09,DT11,DT13,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DT14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FD84D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2,042 (1.9%)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DE164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1,975 (1.9%)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098A6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67 (1.9%)</w:t>
            </w:r>
          </w:p>
        </w:tc>
      </w:tr>
      <w:tr w:rsidR="000B1520" w:rsidRPr="00021E28" w14:paraId="13728FCC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9AB58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Poisoning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32EDB6" w14:textId="0A1BAAF9" w:rsidR="000B1520" w:rsidRPr="004E12DF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DT38,DT39,DT40,DT41,DT42,DT43,</w:t>
            </w:r>
            <w:r w:rsid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</w:rPr>
              <w:t>DT44,DT45,DT46,DT48,DT49,DT50,</w:t>
            </w:r>
            <w:r w:rsidRPr="002B6669">
              <w:rPr>
                <w:rFonts w:cs="Arial"/>
                <w:color w:val="000000"/>
                <w:sz w:val="16"/>
                <w:szCs w:val="16"/>
              </w:rPr>
              <w:br/>
              <w:t>DT51,DT52,DT54,DT55,</w:t>
            </w:r>
            <w:r w:rsidRPr="004E12DF">
              <w:rPr>
                <w:rFonts w:cs="Arial"/>
                <w:color w:val="000000"/>
                <w:sz w:val="16"/>
                <w:szCs w:val="16"/>
              </w:rPr>
              <w:t>DT58,DT59,</w:t>
            </w:r>
            <w:r w:rsidR="004E12DF" w:rsidRPr="004E12DF">
              <w:rPr>
                <w:rFonts w:cs="Arial"/>
                <w:color w:val="000000"/>
                <w:sz w:val="16"/>
                <w:szCs w:val="16"/>
              </w:rPr>
              <w:br/>
            </w:r>
            <w:r w:rsidRPr="004E12DF">
              <w:rPr>
                <w:rFonts w:cs="Arial"/>
                <w:color w:val="000000"/>
                <w:sz w:val="16"/>
                <w:szCs w:val="16"/>
              </w:rPr>
              <w:t>DT61,DT62,DT63,DT65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63EA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832 (0.8%)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2E56D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818 (0.8%)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C695E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14 (0.4%)</w:t>
            </w:r>
          </w:p>
        </w:tc>
      </w:tr>
      <w:tr w:rsidR="000B1520" w:rsidRPr="00021E28" w14:paraId="675A9A32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D0351C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Complications of surgical and medical care, not elsewhere classified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478B5" w14:textId="7DA9AE64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  <w:lang w:val="da-DK"/>
              </w:rPr>
            </w:pP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DT</w:t>
            </w:r>
            <w:proofErr w:type="gramStart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80,DT</w:t>
            </w:r>
            <w:proofErr w:type="gramEnd"/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81,DT82,DT83,DT84,DT85,</w:t>
            </w:r>
            <w:r w:rsidR="004E12DF">
              <w:rPr>
                <w:rFonts w:cs="Arial"/>
                <w:color w:val="000000"/>
                <w:sz w:val="16"/>
                <w:szCs w:val="16"/>
                <w:lang w:val="da-DK"/>
              </w:rPr>
              <w:br/>
            </w:r>
            <w:r w:rsidRPr="002B6669">
              <w:rPr>
                <w:rFonts w:cs="Arial"/>
                <w:color w:val="000000"/>
                <w:sz w:val="16"/>
                <w:szCs w:val="16"/>
                <w:lang w:val="da-DK"/>
              </w:rPr>
              <w:t>DT86,DT87,DT88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77B3E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1,462 (1.4%)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3DCAB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1,430 (1.4%)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97671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32 (0.9%)</w:t>
            </w:r>
          </w:p>
        </w:tc>
      </w:tr>
      <w:tr w:rsidR="000B1520" w:rsidRPr="00021E28" w14:paraId="6D23105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DA5CE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Erysipelas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2A397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DA469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EAA11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832 (0.8%)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3368B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807 (0.8%)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45218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25 (0.7%)</w:t>
            </w:r>
          </w:p>
        </w:tc>
      </w:tr>
      <w:tr w:rsidR="000B1520" w:rsidRPr="00021E28" w14:paraId="2A6C41D5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37396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Alcohol related disorders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286E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DF10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1F0FD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729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AF412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718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629EA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11 (0.3%)</w:t>
            </w:r>
          </w:p>
        </w:tc>
      </w:tr>
      <w:tr w:rsidR="000B1520" w:rsidRPr="00021E28" w14:paraId="2C533196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265CD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TCI and related syndromes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C3D95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DG45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753AB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1,695 (1.6%)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5A581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1,679 (1.6%)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F273D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16 (0.4%)</w:t>
            </w:r>
          </w:p>
        </w:tc>
      </w:tr>
      <w:tr w:rsidR="000B1520" w:rsidRPr="00021E28" w14:paraId="21DFBE4F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A214B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Angina pectoris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02A14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1FBF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753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5CA84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745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B041F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 (0.2%)</w:t>
            </w:r>
          </w:p>
        </w:tc>
      </w:tr>
      <w:tr w:rsidR="000B1520" w:rsidRPr="00021E28" w14:paraId="355D2C22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948FC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IHD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5D80A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1DE7C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589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50A37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581 (0.6%)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BE99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8 (0.2%)</w:t>
            </w:r>
          </w:p>
        </w:tc>
      </w:tr>
      <w:tr w:rsidR="000B1520" w:rsidRPr="00021E28" w14:paraId="2A9A5A45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72EBD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Atrial fibrillation and flutter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CF837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F3EBB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5,583 (5.2%)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7744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5,511 (5.3%)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24674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72 (2.0%)</w:t>
            </w:r>
          </w:p>
        </w:tc>
      </w:tr>
      <w:tr w:rsidR="000B1520" w:rsidRPr="00021E28" w14:paraId="19B1F4B2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E85D63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lastRenderedPageBreak/>
              <w:t>Heart failure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8E5C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5159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617 (0.6%)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E9D7D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585 (0.6%)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09028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32 (0.9%)</w:t>
            </w:r>
          </w:p>
        </w:tc>
      </w:tr>
      <w:tr w:rsidR="000B1520" w:rsidRPr="00021E28" w14:paraId="7DC11A89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04FE5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Phlebitis and thrombophlebitis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F54B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81879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1,293 (1.2%)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3A50B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1,271 (1.2%)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3664A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22 (0.6%)</w:t>
            </w:r>
          </w:p>
        </w:tc>
      </w:tr>
      <w:tr w:rsidR="000B1520" w:rsidRPr="00021E28" w14:paraId="52F78D9A" w14:textId="77777777" w:rsidTr="00AB5D84">
        <w:trPr>
          <w:trHeight w:val="63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23E3F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COPD without acute lower resp. tract infection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EC7D3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DJ44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8CEA7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2,523 (2.4%)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0BD39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2,393 (2.3%)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C1F59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130 (3.6%)</w:t>
            </w:r>
          </w:p>
        </w:tc>
      </w:tr>
      <w:tr w:rsidR="000B1520" w:rsidRPr="00021E28" w14:paraId="5E58218B" w14:textId="77777777" w:rsidTr="00AB5D84">
        <w:trPr>
          <w:trHeight w:val="39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E002E6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Cholelithiasis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01F17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DK80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A968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573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8DFA3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C4A76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</w:t>
            </w:r>
          </w:p>
        </w:tc>
      </w:tr>
      <w:tr w:rsidR="000B1520" w:rsidRPr="00021E28" w14:paraId="4A97502B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60BB1A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Hematemesis, melena, GI bleeding, disease of the digestive system unspecified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A490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DK92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1505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505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34D50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453 (0.4%)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DE48A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52 (1.5%)</w:t>
            </w:r>
          </w:p>
        </w:tc>
      </w:tr>
      <w:tr w:rsidR="000B1520" w:rsidRPr="00021E28" w14:paraId="5863E061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EB5F5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2B6669">
              <w:rPr>
                <w:rFonts w:cs="Arial"/>
                <w:color w:val="000000"/>
                <w:sz w:val="16"/>
                <w:szCs w:val="16"/>
              </w:rPr>
              <w:t>Dorsalgia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608D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DM54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7CFCD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1,160 (1.1%)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FC7F7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1,143 (1.1%)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B2333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17 (0.5%)</w:t>
            </w:r>
          </w:p>
        </w:tc>
      </w:tr>
      <w:tr w:rsidR="000B1520" w:rsidRPr="00021E28" w14:paraId="499EF1F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AA3DEC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Pain in limb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A7381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DM796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1F871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1,203 (1.1%)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8F960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1,192 (1.2%)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7AE48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11 (0.3%)</w:t>
            </w:r>
          </w:p>
        </w:tc>
      </w:tr>
      <w:tr w:rsidR="000B1520" w:rsidRPr="00021E28" w14:paraId="353AC2E1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1B5EE3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Abnormalities of the heartbeat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80B17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5C57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691 (0.6%)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15B4A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685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07AF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 (0.2%)</w:t>
            </w:r>
          </w:p>
        </w:tc>
      </w:tr>
      <w:tr w:rsidR="000B1520" w:rsidRPr="00021E28" w14:paraId="6D5DFD2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A53077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Abnormalities of breathing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51E58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E0281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2,709 (2.5%)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EDA5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2,561 (2.5%)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BB093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148 (4.1%)</w:t>
            </w:r>
          </w:p>
        </w:tc>
      </w:tr>
      <w:tr w:rsidR="000B1520" w:rsidRPr="00021E28" w14:paraId="352DB208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9C6213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Pain in throat and chest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4A5E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8E4D5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4,136 (3.9%)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3AC19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4,088 (3.9%)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21079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48 (1.3%)</w:t>
            </w:r>
          </w:p>
        </w:tc>
      </w:tr>
      <w:tr w:rsidR="000B1520" w:rsidRPr="00021E28" w14:paraId="0DC19A08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513A5E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Abdominal and pelvic pain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CFCC2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D7FA7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5,408 (5.0%)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AF87B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5,234 (5.1%)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F60F9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174 (4.9%)</w:t>
            </w:r>
          </w:p>
        </w:tc>
      </w:tr>
      <w:tr w:rsidR="000B1520" w:rsidRPr="00021E28" w14:paraId="68B341E1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3EEDE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Nausea and vomiting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38F42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FB827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793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7EFB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760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43D79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33 (0.9%)</w:t>
            </w:r>
          </w:p>
        </w:tc>
      </w:tr>
      <w:tr w:rsidR="000B1520" w:rsidRPr="00021E28" w14:paraId="2B4FD65F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F3363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Repeated falls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73E83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DR296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A193E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712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B4B94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678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33910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34 (1.0%)</w:t>
            </w:r>
          </w:p>
        </w:tc>
      </w:tr>
      <w:tr w:rsidR="000B1520" w:rsidRPr="00021E28" w14:paraId="0ABBF6D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DFB4A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Other symptoms and signs involving the nervous and musculoskeletal system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22691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DR298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25C1C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1,323 (1.2%)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882B9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1,294 (1.2%)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FD052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29 (0.8%)</w:t>
            </w:r>
          </w:p>
        </w:tc>
      </w:tr>
      <w:tr w:rsidR="000B1520" w:rsidRPr="00021E28" w14:paraId="627BB629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F9AD7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Retention of urine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05E6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B2B41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562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4B1F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539 (0.5%)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B82F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23 (0.6%)</w:t>
            </w:r>
          </w:p>
        </w:tc>
      </w:tr>
      <w:tr w:rsidR="000B1520" w:rsidRPr="00021E28" w14:paraId="2E922CB6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0835D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Confusion, amnesia, other </w:t>
            </w:r>
            <w:proofErr w:type="gramStart"/>
            <w:r w:rsidRPr="002B6669">
              <w:rPr>
                <w:rFonts w:cs="Arial"/>
                <w:color w:val="000000"/>
                <w:sz w:val="16"/>
                <w:szCs w:val="16"/>
              </w:rPr>
              <w:t>symptoms</w:t>
            </w:r>
            <w:proofErr w:type="gramEnd"/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and signs involving cognitive functions and awareness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061EA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D279D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719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999F3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684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7D3CC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35 (1.0%)</w:t>
            </w:r>
          </w:p>
        </w:tc>
      </w:tr>
      <w:tr w:rsidR="000B1520" w:rsidRPr="00021E28" w14:paraId="1CA657CF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CA0A5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Dizziness and giddiness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FBD61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502CE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2,395 (2.2%)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D88FB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2,374 (2.3%)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0F010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21 (0.6%)</w:t>
            </w:r>
          </w:p>
        </w:tc>
      </w:tr>
      <w:tr w:rsidR="000B1520" w:rsidRPr="00021E28" w14:paraId="61FA5733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4836EE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Fever of other and unknown origin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41569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A31F0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688 (0.6%)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E9BF9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663 (0.6%)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679CE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25 (0.7%)</w:t>
            </w:r>
          </w:p>
        </w:tc>
      </w:tr>
      <w:tr w:rsidR="000B1520" w:rsidRPr="00021E28" w14:paraId="6AE80085" w14:textId="77777777" w:rsidTr="00AB5D84">
        <w:trPr>
          <w:trHeight w:val="39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F03C3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Headache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42A0A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1B34D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701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C6D8B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75090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</w:t>
            </w:r>
          </w:p>
        </w:tc>
      </w:tr>
      <w:tr w:rsidR="000B1520" w:rsidRPr="00021E28" w14:paraId="2E52A6BE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68EA5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lastRenderedPageBreak/>
              <w:t>Pain, unspecified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F23D4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6BA4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1,071 (1.0%)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C5AAB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1,034 (1.0%)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33BFD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37 (1.0%)</w:t>
            </w:r>
          </w:p>
        </w:tc>
      </w:tr>
      <w:tr w:rsidR="000B1520" w:rsidRPr="00021E28" w14:paraId="440CADB8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D39D9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Malaise and fatigue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5095A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89D03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1,467 (1.4%)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53F0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1,404 (1.4%)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E89E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63 (1.8%)</w:t>
            </w:r>
          </w:p>
        </w:tc>
      </w:tr>
      <w:tr w:rsidR="000B1520" w:rsidRPr="00021E28" w14:paraId="6988B054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571470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Syncope and collapse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BED9E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AE85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3,575 (3.3%)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EF3A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3,534 (3.4%)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86C03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41 (1.1%)</w:t>
            </w:r>
          </w:p>
        </w:tc>
      </w:tr>
      <w:tr w:rsidR="000B1520" w:rsidRPr="00021E28" w14:paraId="41ED2A5B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E1891E" w14:textId="77777777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Edema, localized, universal, unspecified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560E60" w14:textId="77777777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DR60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7267D8" w14:textId="77777777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513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06A3AF" w14:textId="77777777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494 (0.5%)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C23EBA" w14:textId="77777777" w:rsidR="000B1520" w:rsidRPr="002B6669" w:rsidRDefault="000B1520" w:rsidP="00C2526C">
            <w:pPr>
              <w:keepNext/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19 (0.5%)</w:t>
            </w:r>
          </w:p>
        </w:tc>
      </w:tr>
      <w:tr w:rsidR="000B1520" w:rsidRPr="00021E28" w14:paraId="63499E18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B52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Encounter for medical observation for suspected diseases and conditions ruled out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A00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DZ03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077A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11,624 (10.9%)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BEBB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11,366 (11.0%)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AF548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258 (7.2%)</w:t>
            </w:r>
          </w:p>
        </w:tc>
      </w:tr>
      <w:tr w:rsidR="000B1520" w:rsidRPr="00021E28" w14:paraId="4F715159" w14:textId="77777777" w:rsidTr="00AB5D8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42F8A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 xml:space="preserve">Other diseases of the blood and blood-forming organs and certain disorders involved in the immune system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49004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DD50-DD89†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9C315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316 (0.3%)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1E452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304 (0.3%)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50B66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12 (0.3%)</w:t>
            </w:r>
          </w:p>
        </w:tc>
      </w:tr>
      <w:tr w:rsidR="000B1520" w:rsidRPr="00021E28" w14:paraId="638AC0CF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94AA05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diseases of the digestive system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F52D3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DK15-DK93†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D4CFD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1,897 (1.8%)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35D5F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1,841 (1.8%)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EA91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56 (1.6%)</w:t>
            </w:r>
          </w:p>
        </w:tc>
      </w:tr>
      <w:tr w:rsidR="000B1520" w:rsidRPr="00021E28" w14:paraId="040CE60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13A80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diseases of the eyes, ears, mouth, throat, and skin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2204C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  <w:lang w:val="da-DK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  <w:lang w:val="da-DK"/>
              </w:rPr>
              <w:t>DH00-DH95, DL00-DL99, DK00-DK14†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1E709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1,042 (1.0%)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2BF2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1,027 (1.0%)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FB202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15 (0.4%)</w:t>
            </w:r>
          </w:p>
        </w:tc>
      </w:tr>
      <w:tr w:rsidR="000B1520" w:rsidRPr="00021E28" w14:paraId="5E633229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E1C2E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diseases of the genitourinary system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FF1DB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DN00-DN99†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24C56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707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B525C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656 (0.6%)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763F3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51 (1.4%)</w:t>
            </w:r>
          </w:p>
        </w:tc>
      </w:tr>
      <w:tr w:rsidR="000B1520" w:rsidRPr="00021E28" w14:paraId="3B69091E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E88364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diseases of the heart and circulatory system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97CE8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DI00-DI99†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DC32B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2,942 (2.7%)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19BF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2,828 (2.7%)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1979F9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114 (3.2%)</w:t>
            </w:r>
          </w:p>
        </w:tc>
      </w:tr>
      <w:tr w:rsidR="000B1520" w:rsidRPr="00021E28" w14:paraId="6502A919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78F9E9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diseases of the musculoskeletal system and connective tissue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C2CBE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DM00-DM99†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157C1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1,889 (1.8%)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456A8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1,869 (1.8%)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14620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20 (0.6%)</w:t>
            </w:r>
          </w:p>
        </w:tc>
      </w:tr>
      <w:tr w:rsidR="000B1520" w:rsidRPr="00021E28" w14:paraId="3D94D85F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1E013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diseases of the nervous system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192B7" w14:textId="77777777" w:rsidR="000B1520" w:rsidRPr="002B6669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DG00-DG99, DI60-DI69†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065A5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1,700 (1.6%)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C55A22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1,639 (1.6%)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1F949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61 (1.7%)</w:t>
            </w:r>
          </w:p>
        </w:tc>
      </w:tr>
      <w:tr w:rsidR="000B1520" w:rsidRPr="00021E28" w14:paraId="23F7446C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23D9B1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diseases of the respiratory system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738E6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DJ00-DJ99†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2A14F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1,256 (1.2%)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7295D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1,147 (1.1%)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EAC0E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109 (3.0%)</w:t>
            </w:r>
          </w:p>
        </w:tc>
      </w:tr>
      <w:tr w:rsidR="000B1520" w:rsidRPr="00021E28" w14:paraId="5CC1F44B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008A94A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endocrine, nutritional, and metabolic disorders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5375B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DE00-DE90†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D7D4A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678 (0.6%)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060F7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641 (0.6%)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8B36C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37 (1.0%)</w:t>
            </w:r>
          </w:p>
        </w:tc>
      </w:tr>
      <w:tr w:rsidR="000B1520" w:rsidRPr="00021E28" w14:paraId="3FAD846A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C5C65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>Other factors influencing health status and contact with health services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563945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DZ00-DZ99†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FBAC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1,523 (1.4%)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0C117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1,455 (1.4%)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06170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68 (1.9%)</w:t>
            </w:r>
          </w:p>
        </w:tc>
      </w:tr>
      <w:tr w:rsidR="000B1520" w:rsidRPr="00021E28" w14:paraId="46DA4842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EBDA48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injury and certain other consequences of external causes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5CEC70" w14:textId="77777777" w:rsidR="000B1520" w:rsidRPr="002B6669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DS00-DY09†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E75D0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763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E8B54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746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802A0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17 (0.5%)</w:t>
            </w:r>
          </w:p>
        </w:tc>
      </w:tr>
      <w:tr w:rsidR="000B1520" w:rsidRPr="00021E28" w14:paraId="482D6B3D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12D86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mental and behavioral disorders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04CBB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DF00-DF99†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09408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746 (0.7%)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DEC6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688 (0.7%)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626E4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58 (1.6%)</w:t>
            </w:r>
          </w:p>
        </w:tc>
      </w:tr>
      <w:tr w:rsidR="000B1520" w:rsidRPr="00021E28" w14:paraId="784CE1C3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77EE03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Neoplasms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F29D51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DC00-DD48†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89F70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1,306 (1.2%)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7AAA0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1,193 (1.2%)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B9B47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113 (3.2%)</w:t>
            </w:r>
          </w:p>
        </w:tc>
      </w:tr>
      <w:tr w:rsidR="000B1520" w:rsidRPr="00021E28" w14:paraId="6FDF7F50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7E004F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 xml:space="preserve">Other poisoning, intoxications, substance use, and adverse effects of medications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DEA3F3" w14:textId="77777777" w:rsidR="000B1520" w:rsidRPr="002B6669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DF10-19, DT36-DT65, DT69.9†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44858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516 (0.5%)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C38D9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BDC4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 xml:space="preserve"> * </w:t>
            </w:r>
          </w:p>
        </w:tc>
      </w:tr>
      <w:tr w:rsidR="000B1520" w:rsidRPr="00021E28" w14:paraId="153B05B1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C241E3D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symptoms and abnormal findings, not elsewhere classified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A905D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DR00-DR99†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2EB4B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3,658 (3.4%)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19675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3,510 (3.4%)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9DB524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148 (4.1%)</w:t>
            </w:r>
          </w:p>
        </w:tc>
      </w:tr>
      <w:tr w:rsidR="000B1520" w:rsidRPr="00021E28" w14:paraId="6CD9C216" w14:textId="77777777" w:rsidTr="00AB5D8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4560216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>Other infectious diseases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9AD4F7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 w:themeColor="text1"/>
                <w:sz w:val="16"/>
                <w:szCs w:val="16"/>
              </w:rPr>
            </w:pP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t xml:space="preserve">DA00-DB99, DD73.3, DE06.0, DE06.9, DE32.1, DG00-DG02, DG04-07, DH00, DH01.0, DH03.0-.1, DH04.0, DH04.3, DH05.0, DH06.1, DH10, DH13.0-.1, DH15.0, DH19.1-.2, DH22.0, DH32.0, DH44.0-.1, DH60.0-1, DH60.3, DH62.0-3, DH65.0-1, DH66.0-4, DH66.9, DH67.1, DH67.8, DH68.0 DH70.2, DH73.0, DH75.0, DH94.0, DI00-02, DI30.1, DI32.0-1, DI33.0, DI38, DI39.8, DI40.0,D I41, DI43.0, DI52.0-1, DI68.1, DI98.1, DJ00-J06, DJ09-J18, DJ20-22, DJ34.0, DJ36, DJ38.3D, DJ38.7G, DJ39.0-1, DJ39.8A, DJ44.0, DJ85.1-3, DJ86, DK04.0, DK04.6-7, DK05.2, DK11.2-3, DK12.2, DK13.0A, DK14.0A, DK20.9A, DK23.0-1, DK35, DK37, DK57.0, DK57.2, </w:t>
            </w:r>
            <w:r w:rsidRPr="002B6669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>DK57.4, DK57.8, DK61, DK63.0, DK65.0, DK65.8I, DK67, DK75.0-1, DK77.0, DK80.0, DK80.3-4, DK81.0, DK83.0, DK85.9, DK93.0-1, DL00-03, DL05-08, DL88, DM00-01, DM46.1-5, DM49.0-3, DM60.0, DM60.8, DM63.0-2, DM65.0-1, DM68.0, DM71.0-1, DM86.0-2, DM86.9, DM90.0-2, DN10, DN12, DN13.6, DN15.1, DN16.0, DN20.0I, DN29.1, DN30.0, DN33.0, DN34.0-1, DN39.0, DN41, DN43.1, DN45.0, DN45.9, DN48.1-2, DN49, DN61, DN70-77, DO23, DO26.4, DO41.1, DO75.3, DO85, DO86, DO88.3, DO91, DO98, DT80.2, DT81.4, DT82.6-7, DT83.5-6, DT84.5-7, DT85.7, DT88.0, DT89.9†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E8F2CE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lastRenderedPageBreak/>
              <w:t>1,154 (1.1%)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B791F8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1,086 (1.0%)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67955C" w14:textId="77777777" w:rsidR="000B1520" w:rsidRPr="002B6669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rFonts w:cs="Arial"/>
                <w:color w:val="000000"/>
                <w:sz w:val="16"/>
                <w:szCs w:val="16"/>
              </w:rPr>
            </w:pPr>
            <w:r w:rsidRPr="002B6669">
              <w:rPr>
                <w:rFonts w:cs="Arial"/>
                <w:color w:val="000000"/>
                <w:sz w:val="16"/>
                <w:szCs w:val="16"/>
              </w:rPr>
              <w:t>68 (1.9%)</w:t>
            </w:r>
          </w:p>
        </w:tc>
      </w:tr>
    </w:tbl>
    <w:p w14:paraId="22820B23" w14:textId="77777777" w:rsidR="009D6BE0" w:rsidRDefault="009D6BE0" w:rsidP="009D6BE0">
      <w:pPr>
        <w:spacing w:line="360" w:lineRule="auto"/>
        <w:rPr>
          <w:rFonts w:cs="Arial"/>
          <w:sz w:val="16"/>
          <w:szCs w:val="16"/>
        </w:rPr>
      </w:pPr>
    </w:p>
    <w:p w14:paraId="2B0255A0" w14:textId="2D160493" w:rsidR="00985B09" w:rsidRDefault="00C3368D" w:rsidP="009D6BE0">
      <w:pPr>
        <w:spacing w:line="360" w:lineRule="auto"/>
        <w:rPr>
          <w:sz w:val="16"/>
          <w:szCs w:val="16"/>
        </w:rPr>
      </w:pPr>
      <w:r w:rsidRPr="002B6669">
        <w:rPr>
          <w:rFonts w:cs="Arial"/>
          <w:sz w:val="16"/>
          <w:szCs w:val="16"/>
        </w:rPr>
        <w:t xml:space="preserve">* rows containing n = </w:t>
      </w:r>
      <w:r w:rsidRPr="002B6669">
        <w:rPr>
          <w:rFonts w:cs="Arial"/>
          <w:color w:val="111111"/>
          <w:sz w:val="16"/>
          <w:szCs w:val="16"/>
        </w:rPr>
        <w:t>≤</w:t>
      </w:r>
      <w:r w:rsidRPr="002B6669">
        <w:rPr>
          <w:rFonts w:cs="Arial"/>
          <w:color w:val="000000" w:themeColor="text1"/>
          <w:sz w:val="16"/>
          <w:szCs w:val="16"/>
        </w:rPr>
        <w:t>5</w:t>
      </w:r>
      <w:r w:rsidRPr="002B6669">
        <w:rPr>
          <w:rFonts w:cs="Arial"/>
          <w:color w:val="000000" w:themeColor="text1"/>
          <w:sz w:val="16"/>
          <w:szCs w:val="16"/>
        </w:rPr>
        <w:br/>
        <w:t>†</w:t>
      </w:r>
      <w:r w:rsidRPr="002B6669">
        <w:rPr>
          <w:rFonts w:cs="Arial"/>
          <w:sz w:val="16"/>
          <w:szCs w:val="16"/>
        </w:rPr>
        <w:t xml:space="preserve"> not including ICD-10 codes in the above groups</w:t>
      </w:r>
      <w:r>
        <w:rPr>
          <w:sz w:val="16"/>
          <w:szCs w:val="16"/>
        </w:rPr>
        <w:t xml:space="preserve"> </w:t>
      </w:r>
      <w:r w:rsidR="00985B09">
        <w:rPr>
          <w:sz w:val="16"/>
          <w:szCs w:val="16"/>
        </w:rPr>
        <w:br w:type="page"/>
      </w:r>
    </w:p>
    <w:p w14:paraId="216D5726" w14:textId="4828B6FF" w:rsidR="00C3368D" w:rsidRDefault="000B1520" w:rsidP="000B1520">
      <w:pPr>
        <w:rPr>
          <w:b/>
          <w:bCs/>
          <w:i/>
          <w:iCs/>
          <w:color w:val="000000" w:themeColor="text1"/>
          <w:sz w:val="28"/>
          <w:szCs w:val="28"/>
        </w:rPr>
      </w:pPr>
      <w:r w:rsidRPr="00985B09">
        <w:rPr>
          <w:b/>
          <w:bCs/>
          <w:i/>
          <w:iCs/>
          <w:color w:val="000000" w:themeColor="text1"/>
          <w:sz w:val="28"/>
          <w:szCs w:val="28"/>
        </w:rPr>
        <w:lastRenderedPageBreak/>
        <w:t>Comorbidity status</w:t>
      </w:r>
    </w:p>
    <w:p w14:paraId="52C203A6" w14:textId="7812D9AF" w:rsidR="00D03827" w:rsidRPr="00AC0B8A" w:rsidRDefault="00AC0B8A" w:rsidP="00D03827">
      <w:pPr>
        <w:spacing w:line="360" w:lineRule="auto"/>
        <w:rPr>
          <w:color w:val="000000" w:themeColor="text1"/>
          <w:szCs w:val="20"/>
        </w:rPr>
      </w:pPr>
      <w:r w:rsidRPr="00AC0B8A">
        <w:rPr>
          <w:b/>
          <w:bCs/>
          <w:color w:val="000000" w:themeColor="text1"/>
          <w:szCs w:val="20"/>
        </w:rPr>
        <w:t>Table S2</w:t>
      </w:r>
      <w:r>
        <w:rPr>
          <w:color w:val="000000" w:themeColor="text1"/>
          <w:szCs w:val="20"/>
        </w:rPr>
        <w:t xml:space="preserve"> Distribution (%) of Diseases of Charlson Comorbidity Index according to survival status</w:t>
      </w:r>
    </w:p>
    <w:tbl>
      <w:tblPr>
        <w:tblpPr w:leftFromText="141" w:rightFromText="141" w:vertAnchor="page" w:horzAnchor="margin" w:tblpY="2488"/>
        <w:tblW w:w="8364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275"/>
        <w:gridCol w:w="1560"/>
        <w:gridCol w:w="1701"/>
      </w:tblGrid>
      <w:tr w:rsidR="00D03827" w:rsidRPr="00865715" w14:paraId="42866EB7" w14:textId="77777777" w:rsidTr="00D03827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2130CC0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AC0B8A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</w:rPr>
              <w:t>Comorbidity</w:t>
            </w: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680F7A89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Total  cohort, </w:t>
            </w: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n = 107,132</w:t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34DCC5BE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Survivors, </w:t>
            </w: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n = 103,557</w:t>
            </w: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(95%CI)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149ADA0D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Non-survivors, </w:t>
            </w: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n = 3,575 (95%CI)</w:t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ABD7E7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Risk difference,  </w:t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non-survivors -  survivors (95%CI)</w:t>
            </w: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†</w:t>
            </w:r>
            <w:r w:rsidRPr="0086571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D03827" w:rsidRPr="00865715" w14:paraId="1A746B32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A524C5B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Cancer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2480BCA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14.1%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0F8F7DC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13.9%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A49849A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21.3%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70AB9D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7.4% (6.0, 8.7)</w:t>
            </w:r>
          </w:p>
        </w:tc>
      </w:tr>
      <w:tr w:rsidR="00D03827" w:rsidRPr="00865715" w14:paraId="2CD922FE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F4129BD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Metastatic disease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1EB29EE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1.8%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5B44316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1.7%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F7E829A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5.3%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653619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3.6% (2.8, 4.3)</w:t>
            </w:r>
          </w:p>
        </w:tc>
      </w:tr>
      <w:tr w:rsidR="00D03827" w:rsidRPr="00865715" w14:paraId="1B424FFE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1202FCF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Myocardial infarction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AD6E141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6.4%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08C5846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6.4%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323515E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7.6%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F5581D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1.2% (0.3, 2.1) </w:t>
            </w:r>
          </w:p>
        </w:tc>
      </w:tr>
      <w:tr w:rsidR="00D03827" w:rsidRPr="00865715" w14:paraId="3EAE3C24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A0375B3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Congestive heart failure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1C7373B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9.8%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29EBF27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9.5%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F182A82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17.6%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23BA4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8.1% (6.9, 9.4)</w:t>
            </w:r>
          </w:p>
        </w:tc>
      </w:tr>
      <w:tr w:rsidR="00D03827" w:rsidRPr="00865715" w14:paraId="04D60AD1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D45FEB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Peripheral vascular disease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1492020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7.5%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D623235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7.4%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B2CF92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11.3%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5EA467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3.9% (2.9, 5.0)</w:t>
            </w:r>
          </w:p>
        </w:tc>
      </w:tr>
      <w:tr w:rsidR="00D03827" w:rsidRPr="00865715" w14:paraId="0D73E483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269B01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Cerebrovascular disease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B955D16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16.3%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C210310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16.0%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97F5022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24.8%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32019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8.8% (7.4, 10.3) </w:t>
            </w:r>
          </w:p>
        </w:tc>
      </w:tr>
      <w:tr w:rsidR="00D03827" w:rsidRPr="00865715" w14:paraId="28035CCE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2122339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Dementia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CDE0CEF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6.2%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DA314BF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5.7%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45FE131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20.5%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4EEDBE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14.8% (13.5, 16.) </w:t>
            </w:r>
          </w:p>
        </w:tc>
      </w:tr>
      <w:tr w:rsidR="00D03827" w:rsidRPr="00865715" w14:paraId="4C9B8B8B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40C08F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Chronic pulmonary disease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CC0425E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16.2%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6BF062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16.0%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95C300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22.5%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AB745C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6.5% (5.1, 7.9) </w:t>
            </w:r>
          </w:p>
        </w:tc>
      </w:tr>
      <w:tr w:rsidR="00D03827" w:rsidRPr="00865715" w14:paraId="69456A4A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6452E17" w14:textId="77777777" w:rsidR="00D03827" w:rsidRPr="00865715" w:rsidRDefault="00D03827" w:rsidP="00D03827">
            <w:pPr>
              <w:pStyle w:val="NormalWeb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Connective tissue disease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705D816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3.6%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63F9285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3.6%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FE4B99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3.6%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B0449F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0.0% (-0.0, 0.0)</w:t>
            </w:r>
          </w:p>
        </w:tc>
      </w:tr>
      <w:tr w:rsidR="00D03827" w:rsidRPr="00865715" w14:paraId="08C23A94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70B939E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Peptic ulcer disease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22ADC1C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2.7%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14ACB21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2.6%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D5F8A3A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4.6%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46D0BB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2.0% (1.3, 2.7) </w:t>
            </w:r>
          </w:p>
        </w:tc>
      </w:tr>
      <w:tr w:rsidR="00D03827" w:rsidRPr="00865715" w14:paraId="7FF1E4EA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E4DEC6D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Liver disease (mild)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E73CEF7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1.2%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BD7AA81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1.2%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BB4E95D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1.5%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6947BD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0.4% (0.1, 0.8) </w:t>
            </w:r>
          </w:p>
        </w:tc>
      </w:tr>
      <w:tr w:rsidR="00D03827" w:rsidRPr="00865715" w14:paraId="2D800C62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DE7DB3E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Liver disease (moderate to severe)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2D2CBA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0.6%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BDB1EA2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0.6%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032EE5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1.0%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EE5002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0.4% (0.1, 0.7)</w:t>
            </w:r>
          </w:p>
        </w:tc>
      </w:tr>
      <w:tr w:rsidR="00D03827" w:rsidRPr="00865715" w14:paraId="00609587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467D329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Diabetes without complications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E1C9147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9.6%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8FE3246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9.5%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ADB8D5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11.1%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D0EA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1.6% (0.6, 2.7)</w:t>
            </w:r>
          </w:p>
        </w:tc>
      </w:tr>
      <w:tr w:rsidR="00D03827" w:rsidRPr="00865715" w14:paraId="74A23BC6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454FA7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Diabetes with complications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B197755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4.3%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B03C064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4.2%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9F89772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6.1%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D69F17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1.9% (1.1, 2.7)</w:t>
            </w:r>
          </w:p>
        </w:tc>
      </w:tr>
      <w:tr w:rsidR="00D03827" w:rsidRPr="00865715" w14:paraId="21A11D37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EDC160A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Paraplegia and hemiplegia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C4641E5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0.5%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E5AB3E1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0.5%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8B36F5F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0.7%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C43E91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0.2% (0.1, 0.5)</w:t>
            </w:r>
          </w:p>
        </w:tc>
      </w:tr>
      <w:tr w:rsidR="00D03827" w:rsidRPr="00865715" w14:paraId="1F98E4B3" w14:textId="77777777" w:rsidTr="00D0382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CEA86F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Renal disease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C48B695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5.0%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C91277A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4.8%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7A459BF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9.8%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13D9D8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5.0% (4.0, 5.9)</w:t>
            </w:r>
          </w:p>
        </w:tc>
      </w:tr>
      <w:tr w:rsidR="00D03827" w:rsidRPr="00865715" w14:paraId="64B1B13E" w14:textId="77777777" w:rsidTr="00D03827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78A6777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AIDS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3B0222A" w14:textId="77777777" w:rsidR="00D03827" w:rsidRPr="00865715" w:rsidRDefault="00D03827" w:rsidP="00D03827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n </w:t>
            </w:r>
            <w:r w:rsidRPr="00865715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≤</w:t>
            </w: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 xml:space="preserve">5*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71B683F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n </w:t>
            </w:r>
            <w:r w:rsidRPr="00865715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≤</w:t>
            </w: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5*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17AFB33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n </w:t>
            </w:r>
            <w:r w:rsidRPr="00865715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≤</w:t>
            </w: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5*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03A3D9" w14:textId="77777777" w:rsidR="00D03827" w:rsidRPr="00865715" w:rsidRDefault="00D03827" w:rsidP="00D03827">
            <w:pPr>
              <w:autoSpaceDE w:val="0"/>
              <w:autoSpaceDN w:val="0"/>
              <w:adjustRightInd w:val="0"/>
              <w:spacing w:before="67" w:after="67"/>
              <w:rPr>
                <w:rFonts w:eastAsiaTheme="minorHAnsi"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n </w:t>
            </w:r>
            <w:r w:rsidRPr="00865715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≤</w:t>
            </w: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865715">
              <w:rPr>
                <w:rFonts w:eastAsiaTheme="minorHAnsi" w:cs="Arial"/>
                <w:color w:val="000000" w:themeColor="text1"/>
                <w:sz w:val="16"/>
                <w:szCs w:val="16"/>
              </w:rPr>
              <w:t>5*</w:t>
            </w:r>
          </w:p>
        </w:tc>
      </w:tr>
    </w:tbl>
    <w:p w14:paraId="002B7CF9" w14:textId="77777777" w:rsidR="00AC0B8A" w:rsidRPr="00865715" w:rsidRDefault="00AC0B8A" w:rsidP="00AC0B8A">
      <w:pPr>
        <w:autoSpaceDE w:val="0"/>
        <w:autoSpaceDN w:val="0"/>
        <w:adjustRightInd w:val="0"/>
        <w:spacing w:before="67" w:after="67"/>
        <w:rPr>
          <w:rFonts w:cs="Arial"/>
          <w:color w:val="000000" w:themeColor="text1"/>
          <w:sz w:val="16"/>
          <w:szCs w:val="16"/>
        </w:rPr>
      </w:pPr>
      <w:r w:rsidRPr="00865715">
        <w:rPr>
          <w:rFonts w:cs="Arial"/>
          <w:color w:val="000000" w:themeColor="text1"/>
          <w:sz w:val="16"/>
          <w:szCs w:val="16"/>
        </w:rPr>
        <w:t>* rows containing n = ≤5 have been concealed due to Danish law on data protection (GDPR)</w:t>
      </w:r>
    </w:p>
    <w:p w14:paraId="40541283" w14:textId="4A59A667" w:rsidR="00AC0B8A" w:rsidRPr="00AC0B8A" w:rsidRDefault="00AC0B8A" w:rsidP="000B1520">
      <w:pPr>
        <w:rPr>
          <w:color w:val="000000" w:themeColor="text1"/>
          <w:szCs w:val="20"/>
        </w:rPr>
      </w:pPr>
      <w:r w:rsidRPr="00865715">
        <w:rPr>
          <w:rFonts w:cs="Arial"/>
          <w:color w:val="000000" w:themeColor="text1"/>
          <w:sz w:val="16"/>
          <w:szCs w:val="16"/>
        </w:rPr>
        <w:t xml:space="preserve">† </w:t>
      </w:r>
      <w:r w:rsidRPr="00865715">
        <w:rPr>
          <w:rFonts w:eastAsiaTheme="minorHAnsi" w:cs="Arial"/>
          <w:color w:val="000000"/>
          <w:sz w:val="16"/>
          <w:szCs w:val="16"/>
        </w:rPr>
        <w:t xml:space="preserve">Absolute difference between proportions (survivors </w:t>
      </w:r>
      <w:r w:rsidRPr="00865715">
        <w:rPr>
          <w:rFonts w:cs="Arial"/>
          <w:color w:val="000000"/>
          <w:sz w:val="16"/>
          <w:szCs w:val="16"/>
        </w:rPr>
        <w:t>– non-</w:t>
      </w:r>
      <w:r w:rsidRPr="00AC0B8A">
        <w:rPr>
          <w:rFonts w:cs="Arial"/>
          <w:color w:val="000000"/>
          <w:sz w:val="16"/>
          <w:szCs w:val="16"/>
        </w:rPr>
        <w:t>survivors)</w:t>
      </w:r>
    </w:p>
    <w:p w14:paraId="129C6DB1" w14:textId="21D1736D" w:rsidR="007C02E4" w:rsidRDefault="007C02E4">
      <w:pPr>
        <w:spacing w:line="240" w:lineRule="auto"/>
        <w:rPr>
          <w:b/>
          <w:bCs/>
          <w:color w:val="000000" w:themeColor="text1"/>
          <w:sz w:val="16"/>
          <w:szCs w:val="16"/>
        </w:rPr>
      </w:pPr>
    </w:p>
    <w:p w14:paraId="45F36CF2" w14:textId="5E746C57" w:rsidR="0049681E" w:rsidRDefault="00AC0B8A" w:rsidP="00AE6F63">
      <w:pPr>
        <w:spacing w:line="240" w:lineRule="auto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br w:type="page"/>
      </w:r>
      <w:r w:rsidR="007C02E4">
        <w:rPr>
          <w:b/>
          <w:bCs/>
          <w:i/>
          <w:iCs/>
          <w:color w:val="000000" w:themeColor="text1"/>
          <w:sz w:val="28"/>
          <w:szCs w:val="28"/>
        </w:rPr>
        <w:lastRenderedPageBreak/>
        <w:t>Comparing included and excluded patients</w:t>
      </w:r>
      <w:r w:rsidR="000A4157">
        <w:rPr>
          <w:b/>
          <w:bCs/>
          <w:i/>
          <w:iCs/>
          <w:color w:val="000000" w:themeColor="text1"/>
          <w:sz w:val="28"/>
          <w:szCs w:val="28"/>
        </w:rPr>
        <w:br/>
      </w:r>
    </w:p>
    <w:p w14:paraId="65304C0F" w14:textId="08E2BDFC" w:rsidR="009D6BE0" w:rsidRPr="000A4157" w:rsidRDefault="009D6BE0" w:rsidP="007C02E4">
      <w:pPr>
        <w:rPr>
          <w:b/>
          <w:bCs/>
          <w:i/>
          <w:iCs/>
          <w:color w:val="000000" w:themeColor="text1"/>
          <w:szCs w:val="20"/>
        </w:rPr>
      </w:pPr>
      <w:r w:rsidRPr="000A4157">
        <w:rPr>
          <w:rFonts w:cs="Arial"/>
          <w:b/>
          <w:bCs/>
          <w:color w:val="000000"/>
          <w:szCs w:val="20"/>
        </w:rPr>
        <w:t xml:space="preserve">Table S3 </w:t>
      </w:r>
      <w:r w:rsidRPr="000A4157">
        <w:rPr>
          <w:rFonts w:cs="Arial"/>
          <w:color w:val="000000"/>
          <w:szCs w:val="20"/>
        </w:rPr>
        <w:t xml:space="preserve">Comparison between those included and excluded in the </w:t>
      </w:r>
      <w:proofErr w:type="gramStart"/>
      <w:r w:rsidRPr="000A4157">
        <w:rPr>
          <w:rFonts w:cs="Arial"/>
          <w:color w:val="000000"/>
          <w:szCs w:val="20"/>
        </w:rPr>
        <w:t>study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1417"/>
      </w:tblGrid>
      <w:tr w:rsidR="007C02E4" w14:paraId="506EBEB6" w14:textId="77777777" w:rsidTr="007C02E4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0262CCA1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bookmarkStart w:id="0" w:name="IDX"/>
            <w:bookmarkEnd w:id="0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Variable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2350F104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Included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n= 107,132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33AE697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Excluded*,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n= 69,878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35AD3248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Risk difference**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br/>
              <w:t>(95% CI)</w:t>
            </w:r>
          </w:p>
        </w:tc>
      </w:tr>
      <w:tr w:rsidR="007C02E4" w14:paraId="440C9D2A" w14:textId="77777777" w:rsidTr="007C02E4">
        <w:trPr>
          <w:cantSplit/>
        </w:trPr>
        <w:tc>
          <w:tcPr>
            <w:tcW w:w="255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3971BB1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Age, median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70E2B65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75.0 (70.0-82.0)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5A39038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 (70.0-81.0)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EE0759B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 (1.0, 1.0)</w:t>
            </w:r>
          </w:p>
        </w:tc>
      </w:tr>
      <w:tr w:rsidR="007C02E4" w14:paraId="631BE82C" w14:textId="77777777" w:rsidTr="007C02E4">
        <w:trPr>
          <w:cantSplit/>
        </w:trPr>
        <w:tc>
          <w:tcPr>
            <w:tcW w:w="255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2F636A4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Gender, Female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A9AF803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52.7%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6295B0B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49.3%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B966134" w14:textId="77777777" w:rsidR="007C02E4" w:rsidRDefault="007C02E4" w:rsidP="007C02E4">
            <w:pPr>
              <w:keepNext/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 (3.9 – 2.9)</w:t>
            </w:r>
          </w:p>
        </w:tc>
      </w:tr>
      <w:tr w:rsidR="007C02E4" w14:paraId="5265BD27" w14:textId="77777777" w:rsidTr="007C02E4">
        <w:trPr>
          <w:cantSplit/>
        </w:trPr>
        <w:tc>
          <w:tcPr>
            <w:tcW w:w="255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0A6C97C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Charlson Comorbidity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Index Score (CCI), median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98C6A4B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 (0-2)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AD6ADB0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 (0-2)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8D22F1A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0.0 (0.0, 0.0)</w:t>
            </w:r>
          </w:p>
        </w:tc>
      </w:tr>
      <w:tr w:rsidR="007C02E4" w14:paraId="22058AF9" w14:textId="77777777" w:rsidTr="009D6BE0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41670AA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30-day mortality rate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BECE807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A8E05D9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5831D3D" w14:textId="77777777" w:rsidR="007C02E4" w:rsidRDefault="007C02E4" w:rsidP="007C02E4">
            <w:pPr>
              <w:adjustRightInd w:val="0"/>
              <w:spacing w:before="67" w:after="67" w:line="36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0.2 (0.1 – 0.4)</w:t>
            </w:r>
          </w:p>
        </w:tc>
      </w:tr>
    </w:tbl>
    <w:p w14:paraId="37AFFF0C" w14:textId="77777777" w:rsidR="009D6BE0" w:rsidRDefault="009D6BE0" w:rsidP="009D6BE0">
      <w:pPr>
        <w:adjustRightInd w:val="0"/>
        <w:spacing w:before="67" w:after="67" w:line="360" w:lineRule="auto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*For those excluded, only the first hospitalization for each patient is considered</w:t>
      </w:r>
    </w:p>
    <w:p w14:paraId="44070368" w14:textId="75D84B38" w:rsidR="007C02E4" w:rsidRDefault="009D6BE0" w:rsidP="009D6BE0">
      <w:pPr>
        <w:spacing w:line="240" w:lineRule="auto"/>
        <w:rPr>
          <w:b/>
          <w:bCs/>
          <w:color w:val="000000" w:themeColor="text1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**</w:t>
      </w:r>
      <w:r>
        <w:rPr>
          <w:rFonts w:eastAsiaTheme="minorHAnsi" w:cs="Arial"/>
          <w:color w:val="000000"/>
          <w:sz w:val="16"/>
          <w:szCs w:val="16"/>
        </w:rPr>
        <w:t xml:space="preserve">For categorical variables, risk difference is defined as the absolute difference between proportions (included </w:t>
      </w:r>
      <w:r>
        <w:rPr>
          <w:rFonts w:cs="Arial"/>
          <w:color w:val="000000"/>
          <w:sz w:val="16"/>
          <w:szCs w:val="16"/>
        </w:rPr>
        <w:t xml:space="preserve">– excluded). For continuous variables, the median of difference is displayed using the Hodges-Lehman estimator of location of shift </w:t>
      </w:r>
      <w:r>
        <w:rPr>
          <w:rFonts w:eastAsiaTheme="minorHAnsi" w:cs="Arial"/>
          <w:color w:val="000000"/>
          <w:sz w:val="16"/>
          <w:szCs w:val="16"/>
        </w:rPr>
        <w:t xml:space="preserve">(included </w:t>
      </w:r>
      <w:r>
        <w:rPr>
          <w:rFonts w:cs="Arial"/>
          <w:color w:val="000000"/>
          <w:sz w:val="16"/>
          <w:szCs w:val="16"/>
        </w:rPr>
        <w:t>– excluded).</w:t>
      </w:r>
      <w:r w:rsidR="007C02E4">
        <w:rPr>
          <w:b/>
          <w:bCs/>
          <w:color w:val="000000" w:themeColor="text1"/>
          <w:sz w:val="16"/>
          <w:szCs w:val="16"/>
        </w:rPr>
        <w:br w:type="page"/>
      </w:r>
    </w:p>
    <w:p w14:paraId="79907FC3" w14:textId="010976B5" w:rsidR="000B1520" w:rsidRPr="00931775" w:rsidRDefault="000B1520" w:rsidP="000B1520">
      <w:pPr>
        <w:rPr>
          <w:i/>
          <w:iCs/>
          <w:sz w:val="28"/>
          <w:szCs w:val="28"/>
        </w:rPr>
      </w:pPr>
      <w:r w:rsidRPr="00931775">
        <w:rPr>
          <w:b/>
          <w:bCs/>
          <w:i/>
          <w:iCs/>
          <w:sz w:val="28"/>
          <w:szCs w:val="28"/>
        </w:rPr>
        <w:lastRenderedPageBreak/>
        <w:t>Model calibration</w:t>
      </w:r>
    </w:p>
    <w:p w14:paraId="1998AA1D" w14:textId="77777777" w:rsidR="00C3368D" w:rsidRDefault="000B1520" w:rsidP="006B6FF1">
      <w:pPr>
        <w:spacing w:line="360" w:lineRule="auto"/>
        <w:rPr>
          <w:rFonts w:cs="Arial"/>
          <w:color w:val="000000" w:themeColor="text1"/>
          <w:szCs w:val="20"/>
        </w:rPr>
      </w:pPr>
      <w:r w:rsidRPr="00E52DB6">
        <w:rPr>
          <w:color w:val="000000" w:themeColor="text1"/>
          <w:szCs w:val="20"/>
        </w:rPr>
        <w:br/>
      </w:r>
      <w:r w:rsidRPr="00D227B2">
        <w:rPr>
          <w:color w:val="000000" w:themeColor="text1"/>
          <w:szCs w:val="20"/>
        </w:rPr>
        <w:t xml:space="preserve">Calibration plots produced from the test set examine how the </w:t>
      </w:r>
      <w:r>
        <w:rPr>
          <w:color w:val="000000" w:themeColor="text1"/>
          <w:szCs w:val="20"/>
        </w:rPr>
        <w:t>predicted</w:t>
      </w:r>
      <w:r w:rsidRPr="00D227B2">
        <w:rPr>
          <w:color w:val="000000" w:themeColor="text1"/>
          <w:szCs w:val="20"/>
        </w:rPr>
        <w:t xml:space="preserve"> probabilities reflect the observed probabilities of the data. For a perfectly calibrated model, the plot would be linear</w:t>
      </w:r>
      <w:r>
        <w:rPr>
          <w:color w:val="000000" w:themeColor="text1"/>
          <w:szCs w:val="20"/>
        </w:rPr>
        <w:t>:</w:t>
      </w:r>
      <w:r w:rsidRPr="00D227B2">
        <w:rPr>
          <w:color w:val="000000" w:themeColor="text1"/>
          <w:szCs w:val="20"/>
        </w:rPr>
        <w:t xml:space="preserve"> e.g., if </w:t>
      </w:r>
      <w:r>
        <w:rPr>
          <w:color w:val="000000" w:themeColor="text1"/>
          <w:szCs w:val="20"/>
        </w:rPr>
        <w:t>all</w:t>
      </w:r>
      <w:r w:rsidRPr="00D227B2">
        <w:rPr>
          <w:color w:val="000000" w:themeColor="text1"/>
          <w:szCs w:val="20"/>
        </w:rPr>
        <w:t xml:space="preserve"> patient</w:t>
      </w:r>
      <w:r>
        <w:rPr>
          <w:color w:val="000000" w:themeColor="text1"/>
          <w:szCs w:val="20"/>
        </w:rPr>
        <w:t>s</w:t>
      </w:r>
      <w:r w:rsidRPr="00D227B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 xml:space="preserve">who were predicted to have a 10% risk </w:t>
      </w:r>
      <w:r w:rsidRPr="00D227B2">
        <w:rPr>
          <w:color w:val="000000" w:themeColor="text1"/>
          <w:szCs w:val="20"/>
        </w:rPr>
        <w:t>short-term mortality were gathered into one group</w:t>
      </w:r>
      <w:r>
        <w:rPr>
          <w:color w:val="000000" w:themeColor="text1"/>
          <w:szCs w:val="20"/>
        </w:rPr>
        <w:t>,</w:t>
      </w:r>
      <w:r w:rsidRPr="00D227B2">
        <w:rPr>
          <w:color w:val="000000" w:themeColor="text1"/>
          <w:szCs w:val="20"/>
        </w:rPr>
        <w:t xml:space="preserve"> the </w:t>
      </w:r>
      <w:r>
        <w:rPr>
          <w:color w:val="000000" w:themeColor="text1"/>
          <w:szCs w:val="20"/>
        </w:rPr>
        <w:t>observed/actual</w:t>
      </w:r>
      <w:r w:rsidRPr="00D227B2">
        <w:rPr>
          <w:color w:val="000000" w:themeColor="text1"/>
          <w:szCs w:val="20"/>
        </w:rPr>
        <w:t xml:space="preserve"> mortality rate of th</w:t>
      </w:r>
      <w:r>
        <w:rPr>
          <w:color w:val="000000" w:themeColor="text1"/>
          <w:szCs w:val="20"/>
        </w:rPr>
        <w:t xml:space="preserve">at </w:t>
      </w:r>
      <w:r w:rsidRPr="00D227B2">
        <w:rPr>
          <w:color w:val="000000" w:themeColor="text1"/>
          <w:szCs w:val="20"/>
        </w:rPr>
        <w:t xml:space="preserve">group should be 10%. </w:t>
      </w:r>
      <w:r w:rsidR="006B6FF1">
        <w:rPr>
          <w:color w:val="000000" w:themeColor="text1"/>
          <w:szCs w:val="20"/>
        </w:rPr>
        <w:t>Th</w:t>
      </w:r>
      <w:r w:rsidRPr="00D227B2">
        <w:rPr>
          <w:color w:val="000000" w:themeColor="text1"/>
          <w:szCs w:val="20"/>
        </w:rPr>
        <w:t>e level 0 model shows almost perfect calibration</w:t>
      </w:r>
      <w:r w:rsidR="006B6FF1">
        <w:rPr>
          <w:color w:val="000000" w:themeColor="text1"/>
          <w:szCs w:val="20"/>
        </w:rPr>
        <w:t xml:space="preserve"> (Figure S1)</w:t>
      </w:r>
      <w:r w:rsidRPr="00D227B2">
        <w:rPr>
          <w:color w:val="000000" w:themeColor="text1"/>
          <w:szCs w:val="20"/>
        </w:rPr>
        <w:t xml:space="preserve">, but with very little variance in mortality predictions </w:t>
      </w:r>
      <w:r>
        <w:rPr>
          <w:color w:val="000000" w:themeColor="text1"/>
          <w:szCs w:val="20"/>
        </w:rPr>
        <w:t xml:space="preserve">between patients </w:t>
      </w:r>
      <w:r w:rsidRPr="00D227B2">
        <w:rPr>
          <w:color w:val="000000" w:themeColor="text1"/>
          <w:szCs w:val="20"/>
        </w:rPr>
        <w:t xml:space="preserve">(e.g., the model is perfectly calibrated because the model predicts </w:t>
      </w:r>
      <w:r>
        <w:rPr>
          <w:color w:val="000000" w:themeColor="text1"/>
          <w:szCs w:val="20"/>
        </w:rPr>
        <w:t>all</w:t>
      </w:r>
      <w:r w:rsidRPr="00D227B2">
        <w:rPr>
          <w:color w:val="000000" w:themeColor="text1"/>
          <w:szCs w:val="20"/>
        </w:rPr>
        <w:t xml:space="preserve"> patient</w:t>
      </w:r>
      <w:r>
        <w:rPr>
          <w:color w:val="000000" w:themeColor="text1"/>
          <w:szCs w:val="20"/>
        </w:rPr>
        <w:t>s</w:t>
      </w:r>
      <w:r w:rsidRPr="00D227B2">
        <w:rPr>
          <w:color w:val="000000" w:themeColor="text1"/>
          <w:szCs w:val="20"/>
        </w:rPr>
        <w:t xml:space="preserve"> to have mortality </w:t>
      </w:r>
      <w:r>
        <w:rPr>
          <w:color w:val="000000" w:themeColor="text1"/>
          <w:szCs w:val="20"/>
        </w:rPr>
        <w:t xml:space="preserve">risk </w:t>
      </w:r>
      <w:r w:rsidRPr="00D227B2">
        <w:rPr>
          <w:color w:val="000000" w:themeColor="text1"/>
          <w:szCs w:val="20"/>
        </w:rPr>
        <w:t xml:space="preserve">close to the ¨average¨ </w:t>
      </w:r>
      <w:r>
        <w:rPr>
          <w:color w:val="000000" w:themeColor="text1"/>
          <w:szCs w:val="20"/>
        </w:rPr>
        <w:t xml:space="preserve">risk of </w:t>
      </w:r>
      <w:r w:rsidRPr="00D227B2">
        <w:rPr>
          <w:color w:val="000000" w:themeColor="text1"/>
          <w:szCs w:val="20"/>
        </w:rPr>
        <w:t>3.3%). The level 5 model displays good overall model calibration and more diversity in mortality predictions.</w:t>
      </w:r>
      <w:r w:rsidRPr="004B02D1">
        <w:rPr>
          <w:rFonts w:cs="Arial"/>
          <w:color w:val="000000" w:themeColor="text1"/>
          <w:szCs w:val="20"/>
        </w:rPr>
        <w:t xml:space="preserve"> </w:t>
      </w:r>
    </w:p>
    <w:p w14:paraId="025586C5" w14:textId="77777777" w:rsidR="00C3368D" w:rsidRDefault="00C3368D" w:rsidP="006B6FF1">
      <w:pPr>
        <w:spacing w:line="360" w:lineRule="auto"/>
        <w:rPr>
          <w:rFonts w:cs="Arial"/>
          <w:color w:val="000000" w:themeColor="text1"/>
          <w:szCs w:val="20"/>
        </w:rPr>
      </w:pPr>
    </w:p>
    <w:p w14:paraId="5F346D14" w14:textId="2F981BDA" w:rsidR="000B1520" w:rsidRPr="00C3368D" w:rsidRDefault="00C3368D" w:rsidP="00C3368D">
      <w:pPr>
        <w:widowControl w:val="0"/>
        <w:rPr>
          <w:rFonts w:cs="Arial"/>
          <w:b/>
          <w:bCs/>
          <w:sz w:val="32"/>
          <w:szCs w:val="32"/>
        </w:rPr>
      </w:pPr>
      <w:r w:rsidRPr="004B02D1">
        <w:rPr>
          <w:rFonts w:cs="Arial"/>
          <w:b/>
          <w:bCs/>
          <w:color w:val="000000" w:themeColor="text1"/>
          <w:szCs w:val="20"/>
        </w:rPr>
        <w:t>Figure S1</w:t>
      </w:r>
      <w:r w:rsidRPr="004B02D1">
        <w:rPr>
          <w:rFonts w:cs="Arial"/>
          <w:color w:val="000000" w:themeColor="text1"/>
          <w:szCs w:val="20"/>
        </w:rPr>
        <w:t xml:space="preserve"> Calibration plots showing how model calibration changes with additional variables.</w:t>
      </w:r>
      <w:r>
        <w:rPr>
          <w:rFonts w:cs="Arial"/>
          <w:color w:val="000000" w:themeColor="text1"/>
          <w:szCs w:val="20"/>
        </w:rPr>
        <w:br/>
      </w:r>
      <w:r>
        <w:rPr>
          <w:b/>
          <w:bCs/>
          <w:i/>
          <w:iCs/>
          <w:noProof/>
          <w:color w:val="000000" w:themeColor="text1"/>
          <w:szCs w:val="20"/>
        </w:rPr>
        <w:drawing>
          <wp:inline distT="0" distB="0" distL="0" distR="0" wp14:anchorId="34499C17" wp14:editId="06F5E2FE">
            <wp:extent cx="5486400" cy="3984361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520" w:rsidRPr="006B6FF1">
        <w:rPr>
          <w:b/>
          <w:bCs/>
          <w:color w:val="000000" w:themeColor="text1"/>
        </w:rPr>
        <w:br w:type="page"/>
      </w:r>
    </w:p>
    <w:p w14:paraId="79498236" w14:textId="38BB34DD" w:rsidR="000B1520" w:rsidRPr="00496681" w:rsidRDefault="000B1520" w:rsidP="000B1520">
      <w:pPr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 w:rsidRPr="00496681">
        <w:rPr>
          <w:b/>
          <w:bCs/>
          <w:i/>
          <w:iCs/>
          <w:color w:val="000000" w:themeColor="text1"/>
          <w:sz w:val="28"/>
          <w:szCs w:val="28"/>
        </w:rPr>
        <w:lastRenderedPageBreak/>
        <w:t xml:space="preserve">Results from validation </w:t>
      </w:r>
      <w:proofErr w:type="gramStart"/>
      <w:r w:rsidRPr="00496681">
        <w:rPr>
          <w:b/>
          <w:bCs/>
          <w:i/>
          <w:iCs/>
          <w:color w:val="000000" w:themeColor="text1"/>
          <w:sz w:val="28"/>
          <w:szCs w:val="28"/>
        </w:rPr>
        <w:t>set</w:t>
      </w:r>
      <w:proofErr w:type="gramEnd"/>
    </w:p>
    <w:p w14:paraId="14154BAE" w14:textId="4674F315" w:rsidR="000B1520" w:rsidRDefault="000B1520" w:rsidP="000B1520">
      <w:pPr>
        <w:spacing w:line="360" w:lineRule="auto"/>
        <w:rPr>
          <w:color w:val="000000" w:themeColor="text1"/>
          <w:szCs w:val="20"/>
        </w:rPr>
      </w:pPr>
    </w:p>
    <w:p w14:paraId="0F9E4A11" w14:textId="030A960D" w:rsidR="009D6BE0" w:rsidRPr="00AC0B8A" w:rsidRDefault="009D6BE0" w:rsidP="00AC0B8A">
      <w:pPr>
        <w:spacing w:line="360" w:lineRule="auto"/>
        <w:rPr>
          <w:color w:val="000000" w:themeColor="text1"/>
          <w:szCs w:val="20"/>
        </w:rPr>
      </w:pPr>
      <w:r w:rsidRPr="00AC0B8A">
        <w:rPr>
          <w:rFonts w:cs="Arial"/>
          <w:b/>
          <w:bCs/>
          <w:color w:val="000000" w:themeColor="text1"/>
          <w:szCs w:val="20"/>
        </w:rPr>
        <w:t xml:space="preserve">Table S4 </w:t>
      </w:r>
      <w:r w:rsidRPr="00AC0B8A">
        <w:rPr>
          <w:rFonts w:cs="Arial"/>
          <w:color w:val="000000" w:themeColor="text1"/>
          <w:szCs w:val="20"/>
        </w:rPr>
        <w:t xml:space="preserve">Model performance on validation </w:t>
      </w:r>
      <w:proofErr w:type="gramStart"/>
      <w:r w:rsidRPr="00AC0B8A">
        <w:rPr>
          <w:rFonts w:cs="Arial"/>
          <w:color w:val="000000" w:themeColor="text1"/>
          <w:szCs w:val="20"/>
        </w:rPr>
        <w:t>set</w:t>
      </w:r>
      <w:proofErr w:type="gram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9"/>
      </w:tblGrid>
      <w:tr w:rsidR="000B1520" w:rsidRPr="00496681" w14:paraId="2A3D5BFF" w14:textId="77777777" w:rsidTr="00C2526C">
        <w:tc>
          <w:tcPr>
            <w:tcW w:w="5382" w:type="dxa"/>
          </w:tcPr>
          <w:p w14:paraId="0A6E9DF8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Model level (included variables) </w:t>
            </w:r>
          </w:p>
        </w:tc>
        <w:tc>
          <w:tcPr>
            <w:tcW w:w="1559" w:type="dxa"/>
          </w:tcPr>
          <w:p w14:paraId="50AEED16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AUC</w:t>
            </w:r>
          </w:p>
        </w:tc>
        <w:tc>
          <w:tcPr>
            <w:tcW w:w="1559" w:type="dxa"/>
          </w:tcPr>
          <w:p w14:paraId="61CA5575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Brier Score</w:t>
            </w:r>
          </w:p>
        </w:tc>
      </w:tr>
      <w:tr w:rsidR="000B1520" w:rsidRPr="00496681" w14:paraId="1EC3E9B2" w14:textId="77777777" w:rsidTr="00C2526C">
        <w:tc>
          <w:tcPr>
            <w:tcW w:w="5382" w:type="dxa"/>
          </w:tcPr>
          <w:p w14:paraId="0EFF0E18" w14:textId="77777777" w:rsidR="000B1520" w:rsidRPr="00865715" w:rsidRDefault="000B1520" w:rsidP="00C2526C">
            <w:pPr>
              <w:spacing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 xml:space="preserve">Level 0 </w:t>
            </w:r>
          </w:p>
          <w:p w14:paraId="69CC7AFE" w14:textId="77777777" w:rsidR="000B1520" w:rsidRPr="00865715" w:rsidRDefault="000B1520" w:rsidP="00C2526C">
            <w:pPr>
              <w:spacing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(Age, sex)</w:t>
            </w:r>
          </w:p>
        </w:tc>
        <w:tc>
          <w:tcPr>
            <w:tcW w:w="1559" w:type="dxa"/>
          </w:tcPr>
          <w:p w14:paraId="64975F07" w14:textId="77777777" w:rsidR="000B1520" w:rsidRPr="00865715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0.691</w:t>
            </w:r>
          </w:p>
        </w:tc>
        <w:tc>
          <w:tcPr>
            <w:tcW w:w="1559" w:type="dxa"/>
          </w:tcPr>
          <w:p w14:paraId="1E2579F2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0.0318</w:t>
            </w:r>
          </w:p>
        </w:tc>
      </w:tr>
      <w:tr w:rsidR="000B1520" w:rsidRPr="00496681" w14:paraId="1BEDD4F4" w14:textId="77777777" w:rsidTr="00C2526C">
        <w:tc>
          <w:tcPr>
            <w:tcW w:w="5382" w:type="dxa"/>
          </w:tcPr>
          <w:p w14:paraId="5CE90EA7" w14:textId="77777777" w:rsidR="000B1520" w:rsidRPr="00865715" w:rsidRDefault="000B1520" w:rsidP="00C2526C">
            <w:pPr>
              <w:spacing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Level 1</w:t>
            </w: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br/>
              <w:t>(Level 0 + discharge diagnosis, specialty)</w:t>
            </w:r>
          </w:p>
        </w:tc>
        <w:tc>
          <w:tcPr>
            <w:tcW w:w="1559" w:type="dxa"/>
          </w:tcPr>
          <w:p w14:paraId="73E41753" w14:textId="77777777" w:rsidR="000B1520" w:rsidRPr="00865715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0.730</w:t>
            </w:r>
          </w:p>
          <w:p w14:paraId="105FB242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42463F0E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0.0314</w:t>
            </w:r>
          </w:p>
        </w:tc>
      </w:tr>
      <w:tr w:rsidR="000B1520" w:rsidRPr="00496681" w14:paraId="488C8794" w14:textId="77777777" w:rsidTr="00C2526C">
        <w:tc>
          <w:tcPr>
            <w:tcW w:w="5382" w:type="dxa"/>
          </w:tcPr>
          <w:p w14:paraId="0E0F5874" w14:textId="77777777" w:rsidR="000B1520" w:rsidRPr="00865715" w:rsidRDefault="000B1520" w:rsidP="00C2526C">
            <w:pPr>
              <w:spacing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Level 2</w:t>
            </w: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br/>
              <w:t>(Level 1 + time of day at discharge, day of the week at time of discharge, length of stay)</w:t>
            </w:r>
          </w:p>
        </w:tc>
        <w:tc>
          <w:tcPr>
            <w:tcW w:w="1559" w:type="dxa"/>
          </w:tcPr>
          <w:p w14:paraId="7DC11C60" w14:textId="77777777" w:rsidR="000B1520" w:rsidRPr="00865715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0.730</w:t>
            </w:r>
          </w:p>
          <w:p w14:paraId="746A7E97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34876077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0.0314</w:t>
            </w:r>
          </w:p>
        </w:tc>
      </w:tr>
      <w:tr w:rsidR="000B1520" w:rsidRPr="00496681" w14:paraId="48D77E06" w14:textId="77777777" w:rsidTr="00C2526C">
        <w:tc>
          <w:tcPr>
            <w:tcW w:w="5382" w:type="dxa"/>
          </w:tcPr>
          <w:p w14:paraId="523A0425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Level 3 </w:t>
            </w: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br/>
              <w:t>(Level 2 + laboratory results from the admission, previous admission during the last 30 days prior to this admission)</w:t>
            </w:r>
          </w:p>
        </w:tc>
        <w:tc>
          <w:tcPr>
            <w:tcW w:w="1559" w:type="dxa"/>
          </w:tcPr>
          <w:p w14:paraId="16BDCEF1" w14:textId="77777777" w:rsidR="000B1520" w:rsidRPr="00865715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0.813</w:t>
            </w:r>
          </w:p>
          <w:p w14:paraId="0AB8C2AE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6D11397E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0.0294</w:t>
            </w:r>
          </w:p>
        </w:tc>
      </w:tr>
      <w:tr w:rsidR="000B1520" w:rsidRPr="00496681" w14:paraId="17FAF959" w14:textId="77777777" w:rsidTr="00C2526C">
        <w:tc>
          <w:tcPr>
            <w:tcW w:w="5382" w:type="dxa"/>
          </w:tcPr>
          <w:p w14:paraId="0E0A91B6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Level 4</w:t>
            </w: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br/>
              <w:t>(Level 3 + Diseases of Charlson Comorbidity Index, number of different prescription drugs redeemed within 6 months prior to index hospitalization)</w:t>
            </w:r>
          </w:p>
        </w:tc>
        <w:tc>
          <w:tcPr>
            <w:tcW w:w="1559" w:type="dxa"/>
          </w:tcPr>
          <w:p w14:paraId="4684AB50" w14:textId="77777777" w:rsidR="000B1520" w:rsidRPr="00865715" w:rsidRDefault="000B1520" w:rsidP="00C2526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65715">
              <w:rPr>
                <w:rFonts w:cs="Arial"/>
                <w:color w:val="000000" w:themeColor="text1"/>
                <w:sz w:val="16"/>
                <w:szCs w:val="16"/>
              </w:rPr>
              <w:t>0.843</w:t>
            </w:r>
          </w:p>
          <w:p w14:paraId="6AACFEBE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09B5A155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0.0290</w:t>
            </w:r>
          </w:p>
        </w:tc>
      </w:tr>
      <w:tr w:rsidR="000B1520" w:rsidRPr="00496681" w14:paraId="2F164E08" w14:textId="77777777" w:rsidTr="00C2526C">
        <w:tc>
          <w:tcPr>
            <w:tcW w:w="5382" w:type="dxa"/>
          </w:tcPr>
          <w:p w14:paraId="123C790B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Level 5</w:t>
            </w: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br/>
              <w:t>(Level 4 + living situation, marital status, education level, disposable yearly income)</w:t>
            </w:r>
          </w:p>
        </w:tc>
        <w:tc>
          <w:tcPr>
            <w:tcW w:w="1559" w:type="dxa"/>
          </w:tcPr>
          <w:p w14:paraId="34FC46D5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0.843</w:t>
            </w:r>
          </w:p>
        </w:tc>
        <w:tc>
          <w:tcPr>
            <w:tcW w:w="1559" w:type="dxa"/>
          </w:tcPr>
          <w:p w14:paraId="4D3616D2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0.0290</w:t>
            </w:r>
          </w:p>
        </w:tc>
      </w:tr>
      <w:tr w:rsidR="000B1520" w:rsidRPr="00496681" w14:paraId="7ED1724E" w14:textId="77777777" w:rsidTr="00C2526C">
        <w:tc>
          <w:tcPr>
            <w:tcW w:w="5382" w:type="dxa"/>
          </w:tcPr>
          <w:p w14:paraId="05BC5749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Backwards selection model</w:t>
            </w: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br/>
              <w:t xml:space="preserve">(Variables from level 5 model with positive variable importance only) </w:t>
            </w:r>
          </w:p>
        </w:tc>
        <w:tc>
          <w:tcPr>
            <w:tcW w:w="1559" w:type="dxa"/>
          </w:tcPr>
          <w:p w14:paraId="256D3ED9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0.839</w:t>
            </w:r>
          </w:p>
        </w:tc>
        <w:tc>
          <w:tcPr>
            <w:tcW w:w="1559" w:type="dxa"/>
          </w:tcPr>
          <w:p w14:paraId="6B10CE91" w14:textId="77777777" w:rsidR="000B1520" w:rsidRPr="00865715" w:rsidRDefault="000B1520" w:rsidP="00C2526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65715">
              <w:rPr>
                <w:rFonts w:ascii="Arial" w:hAnsi="Arial" w:cs="Arial"/>
                <w:color w:val="000000" w:themeColor="text1"/>
                <w:sz w:val="16"/>
                <w:szCs w:val="16"/>
              </w:rPr>
              <w:t>0.0291</w:t>
            </w:r>
          </w:p>
        </w:tc>
      </w:tr>
    </w:tbl>
    <w:p w14:paraId="441B0E40" w14:textId="77777777" w:rsidR="000B1520" w:rsidRPr="00496681" w:rsidRDefault="000B1520" w:rsidP="000B1520">
      <w:pPr>
        <w:rPr>
          <w:rFonts w:cs="Arial"/>
          <w:color w:val="000000" w:themeColor="text1"/>
          <w:szCs w:val="20"/>
        </w:rPr>
      </w:pPr>
    </w:p>
    <w:p w14:paraId="009198F0" w14:textId="256BE794" w:rsidR="000F63AF" w:rsidRDefault="000B1520" w:rsidP="009C0221">
      <w:pPr>
        <w:rPr>
          <w:b/>
          <w:bCs/>
        </w:rPr>
      </w:pPr>
      <w:r w:rsidRPr="00BD0A74">
        <w:rPr>
          <w:b/>
          <w:bCs/>
          <w:color w:val="000000" w:themeColor="text1"/>
        </w:rPr>
        <w:br/>
      </w:r>
      <w:r w:rsidRPr="00BD0A74">
        <w:rPr>
          <w:b/>
          <w:bCs/>
          <w:color w:val="000000" w:themeColor="text1"/>
        </w:rPr>
        <w:br/>
      </w:r>
      <w:r w:rsidRPr="00D227B2">
        <w:rPr>
          <w:b/>
          <w:bCs/>
        </w:rPr>
        <w:br/>
      </w:r>
      <w:r w:rsidRPr="00D227B2">
        <w:rPr>
          <w:b/>
          <w:bCs/>
        </w:rPr>
        <w:br/>
      </w:r>
      <w:r w:rsidRPr="00D227B2">
        <w:rPr>
          <w:b/>
          <w:bCs/>
        </w:rPr>
        <w:br/>
      </w:r>
      <w:r w:rsidRPr="00D227B2">
        <w:rPr>
          <w:b/>
          <w:bCs/>
        </w:rPr>
        <w:br/>
      </w:r>
      <w:r w:rsidRPr="00D227B2">
        <w:rPr>
          <w:b/>
          <w:bCs/>
        </w:rPr>
        <w:br/>
      </w:r>
      <w:r w:rsidRPr="00D227B2">
        <w:rPr>
          <w:b/>
          <w:bCs/>
        </w:rPr>
        <w:br/>
      </w:r>
      <w:r w:rsidRPr="00D227B2">
        <w:rPr>
          <w:b/>
          <w:bCs/>
        </w:rPr>
        <w:br/>
      </w:r>
    </w:p>
    <w:p w14:paraId="1707E86A" w14:textId="766F2896" w:rsidR="000B1520" w:rsidRDefault="000F63AF" w:rsidP="000F63AF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1817D677" w14:textId="77D9555C" w:rsidR="009C0221" w:rsidRDefault="000B1520" w:rsidP="000B1520">
      <w:pPr>
        <w:rPr>
          <w:b/>
          <w:bCs/>
          <w:i/>
          <w:iCs/>
          <w:sz w:val="28"/>
          <w:szCs w:val="28"/>
        </w:rPr>
      </w:pPr>
      <w:r w:rsidRPr="009C0221">
        <w:rPr>
          <w:b/>
          <w:bCs/>
          <w:i/>
          <w:iCs/>
          <w:sz w:val="28"/>
          <w:szCs w:val="28"/>
        </w:rPr>
        <w:lastRenderedPageBreak/>
        <w:t>Model median predictions</w:t>
      </w:r>
    </w:p>
    <w:p w14:paraId="1F452DA1" w14:textId="7F3A84EE" w:rsidR="00AC0B8A" w:rsidRPr="00AC0B8A" w:rsidRDefault="009D6BE0" w:rsidP="000B1520">
      <w:pPr>
        <w:rPr>
          <w:color w:val="000000" w:themeColor="text1"/>
          <w:szCs w:val="20"/>
        </w:rPr>
      </w:pPr>
      <w:r w:rsidRPr="00AC0B8A">
        <w:rPr>
          <w:b/>
          <w:bCs/>
          <w:color w:val="000000" w:themeColor="text1"/>
          <w:szCs w:val="20"/>
        </w:rPr>
        <w:t xml:space="preserve">Table S5 </w:t>
      </w:r>
      <w:r w:rsidRPr="00AC0B8A">
        <w:rPr>
          <w:color w:val="000000" w:themeColor="text1"/>
          <w:szCs w:val="20"/>
        </w:rPr>
        <w:t xml:space="preserve">Medians of predicted 30-day mortality risk, by </w:t>
      </w:r>
      <w:proofErr w:type="gramStart"/>
      <w:r w:rsidRPr="00AC0B8A">
        <w:rPr>
          <w:color w:val="000000" w:themeColor="text1"/>
          <w:szCs w:val="20"/>
        </w:rPr>
        <w:t>outcome</w:t>
      </w:r>
      <w:proofErr w:type="gram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52"/>
        <w:gridCol w:w="1701"/>
        <w:gridCol w:w="2405"/>
      </w:tblGrid>
      <w:tr w:rsidR="000B1520" w:rsidRPr="0025441C" w14:paraId="17D60AD9" w14:textId="77777777" w:rsidTr="003561B4"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05A37859" w14:textId="77777777" w:rsidR="000B1520" w:rsidRPr="00C53C2C" w:rsidRDefault="000B1520" w:rsidP="00C252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>Model</w:t>
            </w:r>
          </w:p>
        </w:tc>
        <w:tc>
          <w:tcPr>
            <w:tcW w:w="1701" w:type="dxa"/>
          </w:tcPr>
          <w:p w14:paraId="6B4CB151" w14:textId="77777777" w:rsidR="000B1520" w:rsidRPr="00C53C2C" w:rsidRDefault="000B1520" w:rsidP="00C252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>Survival-status</w:t>
            </w:r>
          </w:p>
        </w:tc>
        <w:tc>
          <w:tcPr>
            <w:tcW w:w="2405" w:type="dxa"/>
          </w:tcPr>
          <w:p w14:paraId="783B5919" w14:textId="77777777" w:rsidR="000B1520" w:rsidRPr="00C53C2C" w:rsidRDefault="000B1520" w:rsidP="00C252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 xml:space="preserve">Median of  predicted 30-day mortality risk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>%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0B1520" w:rsidRPr="0057767D" w14:paraId="7E068D00" w14:textId="77777777" w:rsidTr="003561B4">
        <w:tc>
          <w:tcPr>
            <w:tcW w:w="2552" w:type="dxa"/>
          </w:tcPr>
          <w:p w14:paraId="096AD691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0</w:t>
            </w:r>
          </w:p>
        </w:tc>
        <w:tc>
          <w:tcPr>
            <w:tcW w:w="1701" w:type="dxa"/>
          </w:tcPr>
          <w:p w14:paraId="62B620D6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Survivors</w:t>
            </w:r>
          </w:p>
        </w:tc>
        <w:tc>
          <w:tcPr>
            <w:tcW w:w="2405" w:type="dxa"/>
          </w:tcPr>
          <w:p w14:paraId="0016995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2.2</w:t>
            </w:r>
          </w:p>
        </w:tc>
      </w:tr>
      <w:tr w:rsidR="000B1520" w:rsidRPr="0057767D" w14:paraId="12D862BA" w14:textId="77777777" w:rsidTr="003561B4">
        <w:tc>
          <w:tcPr>
            <w:tcW w:w="2552" w:type="dxa"/>
          </w:tcPr>
          <w:p w14:paraId="5C5C41BE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0</w:t>
            </w:r>
          </w:p>
        </w:tc>
        <w:tc>
          <w:tcPr>
            <w:tcW w:w="1701" w:type="dxa"/>
          </w:tcPr>
          <w:p w14:paraId="5A531088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Non-survivors</w:t>
            </w:r>
          </w:p>
        </w:tc>
        <w:tc>
          <w:tcPr>
            <w:tcW w:w="2405" w:type="dxa"/>
          </w:tcPr>
          <w:p w14:paraId="3FAE0A9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4.7</w:t>
            </w:r>
          </w:p>
        </w:tc>
      </w:tr>
      <w:tr w:rsidR="000B1520" w:rsidRPr="0057767D" w14:paraId="39F8482C" w14:textId="77777777" w:rsidTr="003561B4">
        <w:tc>
          <w:tcPr>
            <w:tcW w:w="2552" w:type="dxa"/>
          </w:tcPr>
          <w:p w14:paraId="12502B53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1</w:t>
            </w:r>
          </w:p>
        </w:tc>
        <w:tc>
          <w:tcPr>
            <w:tcW w:w="1701" w:type="dxa"/>
          </w:tcPr>
          <w:p w14:paraId="289ADA02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Survivors</w:t>
            </w:r>
          </w:p>
        </w:tc>
        <w:tc>
          <w:tcPr>
            <w:tcW w:w="2405" w:type="dxa"/>
          </w:tcPr>
          <w:p w14:paraId="57AA43C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2.2</w:t>
            </w:r>
          </w:p>
        </w:tc>
      </w:tr>
      <w:tr w:rsidR="000B1520" w:rsidRPr="0057767D" w14:paraId="4C020A29" w14:textId="77777777" w:rsidTr="003561B4">
        <w:tc>
          <w:tcPr>
            <w:tcW w:w="2552" w:type="dxa"/>
          </w:tcPr>
          <w:p w14:paraId="04F59003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1</w:t>
            </w:r>
          </w:p>
        </w:tc>
        <w:tc>
          <w:tcPr>
            <w:tcW w:w="1701" w:type="dxa"/>
          </w:tcPr>
          <w:p w14:paraId="5BA27644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Non-survivors</w:t>
            </w:r>
          </w:p>
        </w:tc>
        <w:tc>
          <w:tcPr>
            <w:tcW w:w="2405" w:type="dxa"/>
          </w:tcPr>
          <w:p w14:paraId="029FEAD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5.2</w:t>
            </w:r>
          </w:p>
        </w:tc>
      </w:tr>
      <w:tr w:rsidR="000B1520" w:rsidRPr="0057767D" w14:paraId="16796839" w14:textId="77777777" w:rsidTr="003561B4">
        <w:tc>
          <w:tcPr>
            <w:tcW w:w="2552" w:type="dxa"/>
          </w:tcPr>
          <w:p w14:paraId="054C93A1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2</w:t>
            </w:r>
          </w:p>
        </w:tc>
        <w:tc>
          <w:tcPr>
            <w:tcW w:w="1701" w:type="dxa"/>
          </w:tcPr>
          <w:p w14:paraId="65C82B9A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Survivors</w:t>
            </w:r>
          </w:p>
        </w:tc>
        <w:tc>
          <w:tcPr>
            <w:tcW w:w="2405" w:type="dxa"/>
          </w:tcPr>
          <w:p w14:paraId="4B3DA1E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2.2</w:t>
            </w:r>
          </w:p>
        </w:tc>
      </w:tr>
      <w:tr w:rsidR="000B1520" w:rsidRPr="0057767D" w14:paraId="32FE9AC7" w14:textId="77777777" w:rsidTr="003561B4">
        <w:tc>
          <w:tcPr>
            <w:tcW w:w="2552" w:type="dxa"/>
          </w:tcPr>
          <w:p w14:paraId="4AA020DB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2</w:t>
            </w:r>
          </w:p>
        </w:tc>
        <w:tc>
          <w:tcPr>
            <w:tcW w:w="1701" w:type="dxa"/>
          </w:tcPr>
          <w:p w14:paraId="7C195CB4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Non-survivors</w:t>
            </w:r>
          </w:p>
        </w:tc>
        <w:tc>
          <w:tcPr>
            <w:tcW w:w="2405" w:type="dxa"/>
          </w:tcPr>
          <w:p w14:paraId="74065BD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5.3</w:t>
            </w:r>
          </w:p>
        </w:tc>
      </w:tr>
      <w:tr w:rsidR="000B1520" w:rsidRPr="0057767D" w14:paraId="6532D075" w14:textId="77777777" w:rsidTr="003561B4">
        <w:tc>
          <w:tcPr>
            <w:tcW w:w="2552" w:type="dxa"/>
          </w:tcPr>
          <w:p w14:paraId="6C84A360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3</w:t>
            </w:r>
          </w:p>
        </w:tc>
        <w:tc>
          <w:tcPr>
            <w:tcW w:w="1701" w:type="dxa"/>
          </w:tcPr>
          <w:p w14:paraId="377C86F9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Survivors</w:t>
            </w:r>
          </w:p>
        </w:tc>
        <w:tc>
          <w:tcPr>
            <w:tcW w:w="2405" w:type="dxa"/>
          </w:tcPr>
          <w:p w14:paraId="3F52C3E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1.5</w:t>
            </w:r>
          </w:p>
        </w:tc>
      </w:tr>
      <w:tr w:rsidR="000B1520" w:rsidRPr="0057767D" w14:paraId="36E6ECD0" w14:textId="77777777" w:rsidTr="003561B4">
        <w:tc>
          <w:tcPr>
            <w:tcW w:w="2552" w:type="dxa"/>
          </w:tcPr>
          <w:p w14:paraId="6973FA48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3</w:t>
            </w:r>
          </w:p>
        </w:tc>
        <w:tc>
          <w:tcPr>
            <w:tcW w:w="1701" w:type="dxa"/>
          </w:tcPr>
          <w:p w14:paraId="21559DEF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Non-survivors</w:t>
            </w:r>
          </w:p>
        </w:tc>
        <w:tc>
          <w:tcPr>
            <w:tcW w:w="2405" w:type="dxa"/>
          </w:tcPr>
          <w:p w14:paraId="6C98A46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8.7</w:t>
            </w:r>
          </w:p>
        </w:tc>
      </w:tr>
      <w:tr w:rsidR="000B1520" w:rsidRPr="0057767D" w14:paraId="275270E2" w14:textId="77777777" w:rsidTr="003561B4">
        <w:tc>
          <w:tcPr>
            <w:tcW w:w="2552" w:type="dxa"/>
          </w:tcPr>
          <w:p w14:paraId="5417BDCE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4</w:t>
            </w:r>
          </w:p>
        </w:tc>
        <w:tc>
          <w:tcPr>
            <w:tcW w:w="1701" w:type="dxa"/>
          </w:tcPr>
          <w:p w14:paraId="2DD9644D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Survivors</w:t>
            </w:r>
          </w:p>
        </w:tc>
        <w:tc>
          <w:tcPr>
            <w:tcW w:w="2405" w:type="dxa"/>
          </w:tcPr>
          <w:p w14:paraId="07E996F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1.4</w:t>
            </w:r>
          </w:p>
        </w:tc>
      </w:tr>
      <w:tr w:rsidR="000B1520" w:rsidRPr="0057767D" w14:paraId="3421678C" w14:textId="77777777" w:rsidTr="003561B4">
        <w:tc>
          <w:tcPr>
            <w:tcW w:w="2552" w:type="dxa"/>
          </w:tcPr>
          <w:p w14:paraId="20C14314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4</w:t>
            </w:r>
          </w:p>
        </w:tc>
        <w:tc>
          <w:tcPr>
            <w:tcW w:w="1701" w:type="dxa"/>
          </w:tcPr>
          <w:p w14:paraId="313719DA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Non-survivors</w:t>
            </w:r>
          </w:p>
        </w:tc>
        <w:tc>
          <w:tcPr>
            <w:tcW w:w="2405" w:type="dxa"/>
          </w:tcPr>
          <w:p w14:paraId="29E793E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10.0</w:t>
            </w:r>
          </w:p>
        </w:tc>
      </w:tr>
      <w:tr w:rsidR="000B1520" w:rsidRPr="0057767D" w14:paraId="0840C8A0" w14:textId="77777777" w:rsidTr="003561B4">
        <w:tc>
          <w:tcPr>
            <w:tcW w:w="2552" w:type="dxa"/>
          </w:tcPr>
          <w:p w14:paraId="008E37E9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5</w:t>
            </w:r>
          </w:p>
        </w:tc>
        <w:tc>
          <w:tcPr>
            <w:tcW w:w="1701" w:type="dxa"/>
          </w:tcPr>
          <w:p w14:paraId="6B039526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Survivors</w:t>
            </w:r>
          </w:p>
        </w:tc>
        <w:tc>
          <w:tcPr>
            <w:tcW w:w="2405" w:type="dxa"/>
          </w:tcPr>
          <w:p w14:paraId="037DB2C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1.3</w:t>
            </w:r>
          </w:p>
        </w:tc>
      </w:tr>
      <w:tr w:rsidR="000B1520" w:rsidRPr="0057767D" w14:paraId="54C7CA48" w14:textId="77777777" w:rsidTr="003561B4">
        <w:tc>
          <w:tcPr>
            <w:tcW w:w="2552" w:type="dxa"/>
          </w:tcPr>
          <w:p w14:paraId="385D626A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Level 5</w:t>
            </w:r>
          </w:p>
        </w:tc>
        <w:tc>
          <w:tcPr>
            <w:tcW w:w="1701" w:type="dxa"/>
          </w:tcPr>
          <w:p w14:paraId="71955080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Non-survivors</w:t>
            </w:r>
          </w:p>
        </w:tc>
        <w:tc>
          <w:tcPr>
            <w:tcW w:w="2405" w:type="dxa"/>
          </w:tcPr>
          <w:p w14:paraId="083E301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10.5</w:t>
            </w:r>
          </w:p>
        </w:tc>
      </w:tr>
      <w:tr w:rsidR="000B1520" w:rsidRPr="0057767D" w14:paraId="617B3AE3" w14:textId="77777777" w:rsidTr="003561B4">
        <w:tc>
          <w:tcPr>
            <w:tcW w:w="2552" w:type="dxa"/>
          </w:tcPr>
          <w:p w14:paraId="0FA80387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Backwards selection model</w:t>
            </w:r>
          </w:p>
        </w:tc>
        <w:tc>
          <w:tcPr>
            <w:tcW w:w="1701" w:type="dxa"/>
          </w:tcPr>
          <w:p w14:paraId="3B9BFD94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Survivors</w:t>
            </w:r>
            <w:r w:rsidRPr="00C53C2C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2405" w:type="dxa"/>
          </w:tcPr>
          <w:p w14:paraId="6A5BDEB2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1.3</w:t>
            </w:r>
          </w:p>
        </w:tc>
      </w:tr>
      <w:tr w:rsidR="000B1520" w:rsidRPr="0057767D" w14:paraId="260D11DD" w14:textId="77777777" w:rsidTr="003561B4">
        <w:tc>
          <w:tcPr>
            <w:tcW w:w="2552" w:type="dxa"/>
          </w:tcPr>
          <w:p w14:paraId="4F8F09B4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Backwards selection model</w:t>
            </w:r>
          </w:p>
        </w:tc>
        <w:tc>
          <w:tcPr>
            <w:tcW w:w="1701" w:type="dxa"/>
          </w:tcPr>
          <w:p w14:paraId="3D74262B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Non-survivors</w:t>
            </w:r>
          </w:p>
        </w:tc>
        <w:tc>
          <w:tcPr>
            <w:tcW w:w="2405" w:type="dxa"/>
          </w:tcPr>
          <w:p w14:paraId="2BE9090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53C2C">
              <w:rPr>
                <w:rFonts w:eastAsiaTheme="minorHAnsi"/>
                <w:color w:val="000000" w:themeColor="text1"/>
                <w:sz w:val="16"/>
                <w:szCs w:val="16"/>
              </w:rPr>
              <w:t>10.7</w:t>
            </w:r>
          </w:p>
        </w:tc>
      </w:tr>
    </w:tbl>
    <w:p w14:paraId="25270330" w14:textId="77777777" w:rsidR="009C0221" w:rsidRDefault="009C0221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3C4C38FA" w14:textId="313CB848" w:rsidR="000B1520" w:rsidRDefault="000B1520" w:rsidP="000B1520">
      <w:pPr>
        <w:rPr>
          <w:color w:val="000000" w:themeColor="text1"/>
          <w:szCs w:val="20"/>
        </w:rPr>
      </w:pPr>
      <w:r w:rsidRPr="009C0221">
        <w:rPr>
          <w:b/>
          <w:bCs/>
          <w:i/>
          <w:iCs/>
          <w:color w:val="000000" w:themeColor="text1"/>
          <w:sz w:val="28"/>
          <w:szCs w:val="28"/>
        </w:rPr>
        <w:lastRenderedPageBreak/>
        <w:t>Relative variable importance</w:t>
      </w:r>
      <w:r w:rsidRPr="009C0221">
        <w:rPr>
          <w:i/>
          <w:iCs/>
          <w:color w:val="000000" w:themeColor="text1"/>
          <w:sz w:val="28"/>
          <w:szCs w:val="28"/>
        </w:rPr>
        <w:br/>
      </w:r>
      <w:r w:rsidRPr="00750B53">
        <w:rPr>
          <w:color w:val="000000" w:themeColor="text1"/>
          <w:szCs w:val="20"/>
        </w:rPr>
        <w:t>Displayed importance rankings assume complete independence and no correlation between variables.</w:t>
      </w:r>
    </w:p>
    <w:p w14:paraId="01765DCE" w14:textId="77777777" w:rsidR="009D6BE0" w:rsidRPr="009C0221" w:rsidRDefault="009D6BE0" w:rsidP="000B1520">
      <w:pPr>
        <w:rPr>
          <w:b/>
          <w:bCs/>
          <w:color w:val="000000" w:themeColor="text1"/>
        </w:rPr>
      </w:pPr>
    </w:p>
    <w:p w14:paraId="5332A1B1" w14:textId="50FDBCB1" w:rsidR="000B1520" w:rsidRPr="00AC0B8A" w:rsidRDefault="009D6BE0" w:rsidP="000B1520">
      <w:pPr>
        <w:autoSpaceDE w:val="0"/>
        <w:autoSpaceDN w:val="0"/>
        <w:adjustRightInd w:val="0"/>
        <w:spacing w:after="200" w:line="276" w:lineRule="auto"/>
        <w:rPr>
          <w:color w:val="000000" w:themeColor="text1"/>
          <w:szCs w:val="20"/>
        </w:rPr>
      </w:pPr>
      <w:r w:rsidRPr="00AC0B8A">
        <w:rPr>
          <w:b/>
          <w:bCs/>
          <w:color w:val="000000" w:themeColor="text1"/>
          <w:szCs w:val="20"/>
        </w:rPr>
        <w:t xml:space="preserve">Table S6 </w:t>
      </w:r>
      <w:r w:rsidRPr="00AC0B8A">
        <w:rPr>
          <w:color w:val="000000" w:themeColor="text1"/>
          <w:szCs w:val="20"/>
        </w:rPr>
        <w:t>Relative variable importance, compared to the most important variable, age. Descending.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3"/>
        <w:gridCol w:w="2123"/>
      </w:tblGrid>
      <w:tr w:rsidR="000B1520" w:rsidRPr="00750B53" w14:paraId="55D5E729" w14:textId="77777777" w:rsidTr="000A4157">
        <w:tc>
          <w:tcPr>
            <w:tcW w:w="4393" w:type="dxa"/>
          </w:tcPr>
          <w:p w14:paraId="46806C0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>Variable</w:t>
            </w: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ab/>
              <w:t xml:space="preserve">            </w:t>
            </w: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ab/>
            </w: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123" w:type="dxa"/>
          </w:tcPr>
          <w:p w14:paraId="47BDC25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 xml:space="preserve">Relative importance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C53C2C">
              <w:rPr>
                <w:b/>
                <w:bCs/>
                <w:color w:val="000000" w:themeColor="text1"/>
                <w:sz w:val="16"/>
                <w:szCs w:val="16"/>
              </w:rPr>
              <w:t>%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0B1520" w:rsidRPr="00750B53" w14:paraId="3F36F383" w14:textId="77777777" w:rsidTr="000A4157">
        <w:tc>
          <w:tcPr>
            <w:tcW w:w="4393" w:type="dxa"/>
          </w:tcPr>
          <w:p w14:paraId="0A12026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Age</w:t>
            </w:r>
            <w:r w:rsidRPr="00C53C2C">
              <w:rPr>
                <w:color w:val="000000" w:themeColor="text1"/>
                <w:sz w:val="16"/>
                <w:szCs w:val="16"/>
              </w:rPr>
              <w:tab/>
            </w:r>
            <w:r w:rsidRPr="00C53C2C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123" w:type="dxa"/>
          </w:tcPr>
          <w:p w14:paraId="6FF2586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100.0</w:t>
            </w:r>
          </w:p>
        </w:tc>
      </w:tr>
      <w:tr w:rsidR="000B1520" w:rsidRPr="00750B53" w14:paraId="5958380D" w14:textId="77777777" w:rsidTr="000A4157">
        <w:trPr>
          <w:trHeight w:val="379"/>
        </w:trPr>
        <w:tc>
          <w:tcPr>
            <w:tcW w:w="4393" w:type="dxa"/>
          </w:tcPr>
          <w:p w14:paraId="3A28BF2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Dementia, comorbidity                    </w:t>
            </w:r>
          </w:p>
        </w:tc>
        <w:tc>
          <w:tcPr>
            <w:tcW w:w="2123" w:type="dxa"/>
          </w:tcPr>
          <w:p w14:paraId="48394D5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43.9</w:t>
            </w:r>
          </w:p>
        </w:tc>
      </w:tr>
      <w:tr w:rsidR="000B1520" w:rsidRPr="00750B53" w14:paraId="47113CF5" w14:textId="77777777" w:rsidTr="000A4157">
        <w:tc>
          <w:tcPr>
            <w:tcW w:w="4393" w:type="dxa"/>
          </w:tcPr>
          <w:p w14:paraId="286B2ED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Number of different prescription drugs redeemed within 6 months prior to index hospitalization     </w:t>
            </w:r>
          </w:p>
        </w:tc>
        <w:tc>
          <w:tcPr>
            <w:tcW w:w="2123" w:type="dxa"/>
          </w:tcPr>
          <w:p w14:paraId="32F0484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33.2</w:t>
            </w:r>
          </w:p>
        </w:tc>
      </w:tr>
      <w:tr w:rsidR="000B1520" w:rsidRPr="00750B53" w14:paraId="20005C80" w14:textId="77777777" w:rsidTr="000A4157">
        <w:tc>
          <w:tcPr>
            <w:tcW w:w="4393" w:type="dxa"/>
          </w:tcPr>
          <w:p w14:paraId="7B5C5E3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C-reactive protein; P (mg/L)</w:t>
            </w:r>
          </w:p>
        </w:tc>
        <w:tc>
          <w:tcPr>
            <w:tcW w:w="2123" w:type="dxa"/>
          </w:tcPr>
          <w:p w14:paraId="219659D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21.7</w:t>
            </w:r>
          </w:p>
        </w:tc>
      </w:tr>
      <w:tr w:rsidR="000B1520" w:rsidRPr="00750B53" w14:paraId="700D3D49" w14:textId="77777777" w:rsidTr="000A4157">
        <w:tc>
          <w:tcPr>
            <w:tcW w:w="4393" w:type="dxa"/>
          </w:tcPr>
          <w:p w14:paraId="48E96F7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eGFR (mL/min)                     </w:t>
            </w:r>
          </w:p>
        </w:tc>
        <w:tc>
          <w:tcPr>
            <w:tcW w:w="2123" w:type="dxa"/>
          </w:tcPr>
          <w:p w14:paraId="3E6627A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14.7</w:t>
            </w:r>
          </w:p>
        </w:tc>
      </w:tr>
      <w:tr w:rsidR="000B1520" w:rsidRPr="00750B53" w14:paraId="171A7081" w14:textId="77777777" w:rsidTr="000A4157">
        <w:tc>
          <w:tcPr>
            <w:tcW w:w="4393" w:type="dxa"/>
          </w:tcPr>
          <w:p w14:paraId="46F51C1F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Creatinine; P (</w:t>
            </w:r>
            <w:r w:rsidRPr="00C53C2C">
              <w:rPr>
                <w:color w:val="000000" w:themeColor="text1"/>
                <w:sz w:val="16"/>
                <w:szCs w:val="16"/>
                <w:shd w:val="clear" w:color="auto" w:fill="FFFFFF"/>
              </w:rPr>
              <w:t>μmol/L)</w:t>
            </w:r>
            <w:r w:rsidRPr="00C53C2C">
              <w:rPr>
                <w:color w:val="000000" w:themeColor="text1"/>
                <w:sz w:val="16"/>
                <w:szCs w:val="16"/>
              </w:rPr>
              <w:t xml:space="preserve">                     </w:t>
            </w:r>
          </w:p>
        </w:tc>
        <w:tc>
          <w:tcPr>
            <w:tcW w:w="2123" w:type="dxa"/>
          </w:tcPr>
          <w:p w14:paraId="44449BD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14.2</w:t>
            </w:r>
          </w:p>
        </w:tc>
      </w:tr>
      <w:tr w:rsidR="000B1520" w:rsidRPr="00750B53" w14:paraId="154FD5A7" w14:textId="77777777" w:rsidTr="000A4157">
        <w:tc>
          <w:tcPr>
            <w:tcW w:w="4393" w:type="dxa"/>
          </w:tcPr>
          <w:p w14:paraId="6C5AB49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Marital status                            </w:t>
            </w:r>
          </w:p>
        </w:tc>
        <w:tc>
          <w:tcPr>
            <w:tcW w:w="2123" w:type="dxa"/>
          </w:tcPr>
          <w:p w14:paraId="6ECEF9B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14.1</w:t>
            </w:r>
          </w:p>
        </w:tc>
      </w:tr>
      <w:tr w:rsidR="000B1520" w:rsidRPr="00750B53" w14:paraId="7927DA1D" w14:textId="77777777" w:rsidTr="000A4157">
        <w:tc>
          <w:tcPr>
            <w:tcW w:w="4393" w:type="dxa"/>
          </w:tcPr>
          <w:p w14:paraId="32C4233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Previous admission, 30 days prior to index hospitalization </w:t>
            </w:r>
          </w:p>
        </w:tc>
        <w:tc>
          <w:tcPr>
            <w:tcW w:w="2123" w:type="dxa"/>
          </w:tcPr>
          <w:p w14:paraId="29889E2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13.6</w:t>
            </w:r>
          </w:p>
        </w:tc>
      </w:tr>
      <w:tr w:rsidR="000B1520" w:rsidRPr="00750B53" w14:paraId="44227C27" w14:textId="77777777" w:rsidTr="000A4157">
        <w:tc>
          <w:tcPr>
            <w:tcW w:w="4393" w:type="dxa"/>
          </w:tcPr>
          <w:p w14:paraId="08E7813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Living situation                          </w:t>
            </w:r>
          </w:p>
        </w:tc>
        <w:tc>
          <w:tcPr>
            <w:tcW w:w="2123" w:type="dxa"/>
          </w:tcPr>
          <w:p w14:paraId="345536C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11.4</w:t>
            </w:r>
          </w:p>
        </w:tc>
      </w:tr>
      <w:tr w:rsidR="000B1520" w:rsidRPr="00750B53" w14:paraId="045500DD" w14:textId="77777777" w:rsidTr="000A4157">
        <w:tc>
          <w:tcPr>
            <w:tcW w:w="4393" w:type="dxa"/>
          </w:tcPr>
          <w:p w14:paraId="7A01CF89" w14:textId="77777777" w:rsidR="000B1520" w:rsidRPr="000B1520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  <w:lang w:val="da-DK"/>
              </w:rPr>
            </w:pPr>
            <w:r w:rsidRPr="000B1520">
              <w:rPr>
                <w:color w:val="000000" w:themeColor="text1"/>
                <w:sz w:val="16"/>
                <w:szCs w:val="16"/>
                <w:lang w:val="da-DK"/>
              </w:rPr>
              <w:t>Sodium ion; P</w:t>
            </w:r>
            <w:proofErr w:type="gramStart"/>
            <w:r w:rsidRPr="000B1520">
              <w:rPr>
                <w:color w:val="000000" w:themeColor="text1"/>
                <w:sz w:val="16"/>
                <w:szCs w:val="16"/>
                <w:lang w:val="da-DK"/>
              </w:rPr>
              <w:t xml:space="preserve">   (</w:t>
            </w:r>
            <w:proofErr w:type="gramEnd"/>
            <w:r w:rsidRPr="000B1520">
              <w:rPr>
                <w:color w:val="000000" w:themeColor="text1"/>
                <w:sz w:val="16"/>
                <w:szCs w:val="16"/>
                <w:lang w:val="da-DK"/>
              </w:rPr>
              <w:t xml:space="preserve">mmol/L)                    </w:t>
            </w:r>
          </w:p>
        </w:tc>
        <w:tc>
          <w:tcPr>
            <w:tcW w:w="2123" w:type="dxa"/>
          </w:tcPr>
          <w:p w14:paraId="3283C62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11.3</w:t>
            </w:r>
          </w:p>
        </w:tc>
      </w:tr>
      <w:tr w:rsidR="000B1520" w:rsidRPr="00750B53" w14:paraId="6D577CF6" w14:textId="77777777" w:rsidTr="000A4157">
        <w:tc>
          <w:tcPr>
            <w:tcW w:w="4393" w:type="dxa"/>
          </w:tcPr>
          <w:p w14:paraId="4C0ED11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Bilirubin; P (</w:t>
            </w:r>
            <w:r w:rsidRPr="00C53C2C">
              <w:rPr>
                <w:color w:val="000000" w:themeColor="text1"/>
                <w:sz w:val="16"/>
                <w:szCs w:val="16"/>
                <w:shd w:val="clear" w:color="auto" w:fill="FFFFFF"/>
              </w:rPr>
              <w:t>μmol/L)</w:t>
            </w:r>
            <w:r w:rsidRPr="00C53C2C">
              <w:rPr>
                <w:rStyle w:val="apple-converted-space"/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123" w:type="dxa"/>
          </w:tcPr>
          <w:p w14:paraId="6F7818A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7.5</w:t>
            </w:r>
          </w:p>
        </w:tc>
      </w:tr>
      <w:tr w:rsidR="000B1520" w:rsidRPr="00750B53" w14:paraId="3313E03F" w14:textId="77777777" w:rsidTr="000A4157">
        <w:tc>
          <w:tcPr>
            <w:tcW w:w="4393" w:type="dxa"/>
          </w:tcPr>
          <w:p w14:paraId="5061DA9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Alkaline phosphatase; P (U/L) </w:t>
            </w:r>
          </w:p>
        </w:tc>
        <w:tc>
          <w:tcPr>
            <w:tcW w:w="2123" w:type="dxa"/>
          </w:tcPr>
          <w:p w14:paraId="550B71A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7.2</w:t>
            </w:r>
          </w:p>
        </w:tc>
      </w:tr>
      <w:tr w:rsidR="000B1520" w:rsidRPr="00750B53" w14:paraId="7980FB3F" w14:textId="77777777" w:rsidTr="000A4157">
        <w:tc>
          <w:tcPr>
            <w:tcW w:w="4393" w:type="dxa"/>
          </w:tcPr>
          <w:p w14:paraId="1C8E9CC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Glucose; P (mmol/L)</w:t>
            </w:r>
          </w:p>
        </w:tc>
        <w:tc>
          <w:tcPr>
            <w:tcW w:w="2123" w:type="dxa"/>
          </w:tcPr>
          <w:p w14:paraId="2621CB4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6.8</w:t>
            </w:r>
          </w:p>
        </w:tc>
      </w:tr>
      <w:tr w:rsidR="000B1520" w:rsidRPr="00750B53" w14:paraId="3CF5BE58" w14:textId="77777777" w:rsidTr="000A4157">
        <w:tc>
          <w:tcPr>
            <w:tcW w:w="4393" w:type="dxa"/>
          </w:tcPr>
          <w:p w14:paraId="64339B8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Hemoglobin; B (mmol/L)            </w:t>
            </w:r>
          </w:p>
        </w:tc>
        <w:tc>
          <w:tcPr>
            <w:tcW w:w="2123" w:type="dxa"/>
          </w:tcPr>
          <w:p w14:paraId="2AE20C1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6.8</w:t>
            </w:r>
          </w:p>
        </w:tc>
      </w:tr>
      <w:tr w:rsidR="000B1520" w:rsidRPr="00750B53" w14:paraId="7E3DCBBD" w14:textId="77777777" w:rsidTr="000A4157">
        <w:trPr>
          <w:trHeight w:val="190"/>
        </w:trPr>
        <w:tc>
          <w:tcPr>
            <w:tcW w:w="4393" w:type="dxa"/>
          </w:tcPr>
          <w:p w14:paraId="3A940B7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Cancer diagnosis, comorbidity                        </w:t>
            </w:r>
          </w:p>
        </w:tc>
        <w:tc>
          <w:tcPr>
            <w:tcW w:w="2123" w:type="dxa"/>
          </w:tcPr>
          <w:p w14:paraId="5C88915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6.5</w:t>
            </w:r>
          </w:p>
        </w:tc>
      </w:tr>
      <w:tr w:rsidR="000B1520" w:rsidRPr="00750B53" w14:paraId="3A9732CF" w14:textId="77777777" w:rsidTr="000A4157">
        <w:tc>
          <w:tcPr>
            <w:tcW w:w="4393" w:type="dxa"/>
          </w:tcPr>
          <w:p w14:paraId="23BE16E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Sex</w:t>
            </w:r>
          </w:p>
        </w:tc>
        <w:tc>
          <w:tcPr>
            <w:tcW w:w="2123" w:type="dxa"/>
          </w:tcPr>
          <w:p w14:paraId="4E80B47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6.1</w:t>
            </w:r>
          </w:p>
        </w:tc>
      </w:tr>
      <w:tr w:rsidR="000B1520" w:rsidRPr="00750B53" w14:paraId="4AABFC12" w14:textId="77777777" w:rsidTr="000A4157">
        <w:tc>
          <w:tcPr>
            <w:tcW w:w="4393" w:type="dxa"/>
          </w:tcPr>
          <w:p w14:paraId="55850E4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Lower respiratory tract infection, discharge diagnosis                  </w:t>
            </w:r>
          </w:p>
        </w:tc>
        <w:tc>
          <w:tcPr>
            <w:tcW w:w="2123" w:type="dxa"/>
          </w:tcPr>
          <w:p w14:paraId="6C81CD4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5.7</w:t>
            </w:r>
          </w:p>
        </w:tc>
      </w:tr>
      <w:tr w:rsidR="000B1520" w:rsidRPr="00750B53" w14:paraId="2531609B" w14:textId="77777777" w:rsidTr="000A4157">
        <w:tc>
          <w:tcPr>
            <w:tcW w:w="4393" w:type="dxa"/>
          </w:tcPr>
          <w:p w14:paraId="42F2271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Alanine transaminase; P (U/L) </w:t>
            </w:r>
            <w:r w:rsidRPr="00C53C2C">
              <w:rPr>
                <w:color w:val="000000" w:themeColor="text1"/>
                <w:sz w:val="16"/>
                <w:szCs w:val="16"/>
              </w:rPr>
              <w:tab/>
            </w:r>
            <w:r w:rsidRPr="00C53C2C">
              <w:rPr>
                <w:color w:val="000000" w:themeColor="text1"/>
                <w:sz w:val="16"/>
                <w:szCs w:val="16"/>
              </w:rPr>
              <w:tab/>
              <w:t xml:space="preserve">  </w:t>
            </w:r>
          </w:p>
        </w:tc>
        <w:tc>
          <w:tcPr>
            <w:tcW w:w="2123" w:type="dxa"/>
          </w:tcPr>
          <w:p w14:paraId="5ED1799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3.9</w:t>
            </w:r>
          </w:p>
        </w:tc>
      </w:tr>
      <w:tr w:rsidR="000B1520" w:rsidRPr="00750B53" w14:paraId="429CFC8B" w14:textId="77777777" w:rsidTr="000A4157">
        <w:tc>
          <w:tcPr>
            <w:tcW w:w="4393" w:type="dxa"/>
          </w:tcPr>
          <w:p w14:paraId="7253E53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Metastatic disease, comorbidity </w:t>
            </w:r>
          </w:p>
        </w:tc>
        <w:tc>
          <w:tcPr>
            <w:tcW w:w="2123" w:type="dxa"/>
          </w:tcPr>
          <w:p w14:paraId="178E213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3.7</w:t>
            </w:r>
          </w:p>
        </w:tc>
      </w:tr>
      <w:tr w:rsidR="000B1520" w:rsidRPr="00750B53" w14:paraId="30033202" w14:textId="77777777" w:rsidTr="000A4157">
        <w:tc>
          <w:tcPr>
            <w:tcW w:w="4393" w:type="dxa"/>
          </w:tcPr>
          <w:p w14:paraId="1B9137D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Malaise and fatigue, discharge diagnosis                  </w:t>
            </w:r>
          </w:p>
        </w:tc>
        <w:tc>
          <w:tcPr>
            <w:tcW w:w="2123" w:type="dxa"/>
          </w:tcPr>
          <w:p w14:paraId="2D18EB2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3.7</w:t>
            </w:r>
          </w:p>
        </w:tc>
      </w:tr>
      <w:tr w:rsidR="000B1520" w:rsidRPr="00750B53" w14:paraId="30EB7EB6" w14:textId="77777777" w:rsidTr="000A4157">
        <w:tc>
          <w:tcPr>
            <w:tcW w:w="4393" w:type="dxa"/>
          </w:tcPr>
          <w:p w14:paraId="05A2389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Medical/surgical specialty from admission                </w:t>
            </w:r>
          </w:p>
        </w:tc>
        <w:tc>
          <w:tcPr>
            <w:tcW w:w="2123" w:type="dxa"/>
          </w:tcPr>
          <w:p w14:paraId="3B61C5B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3.5</w:t>
            </w:r>
          </w:p>
        </w:tc>
      </w:tr>
      <w:tr w:rsidR="000B1520" w:rsidRPr="00750B53" w14:paraId="5B85652E" w14:textId="77777777" w:rsidTr="000A4157">
        <w:tc>
          <w:tcPr>
            <w:tcW w:w="4393" w:type="dxa"/>
          </w:tcPr>
          <w:p w14:paraId="5568D58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Gastric ulcer disease, comorbidity                    </w:t>
            </w:r>
          </w:p>
        </w:tc>
        <w:tc>
          <w:tcPr>
            <w:tcW w:w="2123" w:type="dxa"/>
          </w:tcPr>
          <w:p w14:paraId="31D5360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3.4</w:t>
            </w:r>
          </w:p>
        </w:tc>
      </w:tr>
      <w:tr w:rsidR="000B1520" w:rsidRPr="00750B53" w14:paraId="0A638850" w14:textId="77777777" w:rsidTr="000A4157">
        <w:tc>
          <w:tcPr>
            <w:tcW w:w="4393" w:type="dxa"/>
          </w:tcPr>
          <w:p w14:paraId="278784F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lastRenderedPageBreak/>
              <w:t xml:space="preserve">Time of day of discharge                      </w:t>
            </w:r>
          </w:p>
        </w:tc>
        <w:tc>
          <w:tcPr>
            <w:tcW w:w="2123" w:type="dxa"/>
          </w:tcPr>
          <w:p w14:paraId="150560E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3.3</w:t>
            </w:r>
          </w:p>
        </w:tc>
      </w:tr>
      <w:tr w:rsidR="000B1520" w:rsidRPr="00750B53" w14:paraId="6CBE85C8" w14:textId="77777777" w:rsidTr="000A4157">
        <w:tc>
          <w:tcPr>
            <w:tcW w:w="4393" w:type="dxa"/>
          </w:tcPr>
          <w:p w14:paraId="27712B5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COPD without acute lower respiratory tract infection, discharge diagnosis                       </w:t>
            </w:r>
          </w:p>
        </w:tc>
        <w:tc>
          <w:tcPr>
            <w:tcW w:w="2123" w:type="dxa"/>
          </w:tcPr>
          <w:p w14:paraId="3B98B75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3.3</w:t>
            </w:r>
          </w:p>
        </w:tc>
      </w:tr>
      <w:tr w:rsidR="000B1520" w:rsidRPr="00750B53" w14:paraId="23277E27" w14:textId="77777777" w:rsidTr="000A4157">
        <w:tc>
          <w:tcPr>
            <w:tcW w:w="4393" w:type="dxa"/>
          </w:tcPr>
          <w:p w14:paraId="641F293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Encounter for medical observation for suspected diseases and conditions ruled out, discharge diagnosis</w:t>
            </w:r>
          </w:p>
        </w:tc>
        <w:tc>
          <w:tcPr>
            <w:tcW w:w="2123" w:type="dxa"/>
          </w:tcPr>
          <w:p w14:paraId="1A7C070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3.2</w:t>
            </w:r>
          </w:p>
        </w:tc>
      </w:tr>
      <w:tr w:rsidR="000B1520" w:rsidRPr="00750B53" w14:paraId="508FC9D6" w14:textId="77777777" w:rsidTr="000A4157">
        <w:tc>
          <w:tcPr>
            <w:tcW w:w="4393" w:type="dxa"/>
          </w:tcPr>
          <w:p w14:paraId="3D1F5E6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Potassium ion; P (mmol/L)</w:t>
            </w:r>
          </w:p>
        </w:tc>
        <w:tc>
          <w:tcPr>
            <w:tcW w:w="2123" w:type="dxa"/>
          </w:tcPr>
          <w:p w14:paraId="7774A2A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3.0</w:t>
            </w:r>
          </w:p>
        </w:tc>
      </w:tr>
      <w:tr w:rsidR="000B1520" w:rsidRPr="00750B53" w14:paraId="58A48EBE" w14:textId="77777777" w:rsidTr="000A4157">
        <w:tc>
          <w:tcPr>
            <w:tcW w:w="4393" w:type="dxa"/>
          </w:tcPr>
          <w:p w14:paraId="373EFE5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Albumin; P (g/L)</w:t>
            </w:r>
          </w:p>
        </w:tc>
        <w:tc>
          <w:tcPr>
            <w:tcW w:w="2123" w:type="dxa"/>
          </w:tcPr>
          <w:p w14:paraId="06B13E0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2.8</w:t>
            </w:r>
          </w:p>
        </w:tc>
      </w:tr>
      <w:tr w:rsidR="000B1520" w:rsidRPr="00750B53" w14:paraId="1F1431BC" w14:textId="77777777" w:rsidTr="000A4157">
        <w:tc>
          <w:tcPr>
            <w:tcW w:w="4393" w:type="dxa"/>
          </w:tcPr>
          <w:p w14:paraId="3C04FBD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Day of the week at time of discharge</w:t>
            </w:r>
          </w:p>
        </w:tc>
        <w:tc>
          <w:tcPr>
            <w:tcW w:w="2123" w:type="dxa"/>
          </w:tcPr>
          <w:p w14:paraId="263D773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2.6</w:t>
            </w:r>
          </w:p>
        </w:tc>
      </w:tr>
      <w:tr w:rsidR="000B1520" w:rsidRPr="00750B53" w14:paraId="792FF4EE" w14:textId="77777777" w:rsidTr="000A4157">
        <w:tc>
          <w:tcPr>
            <w:tcW w:w="4393" w:type="dxa"/>
          </w:tcPr>
          <w:p w14:paraId="64C4B33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Cerebrovascular disease, comorbidity</w:t>
            </w:r>
          </w:p>
        </w:tc>
        <w:tc>
          <w:tcPr>
            <w:tcW w:w="2123" w:type="dxa"/>
          </w:tcPr>
          <w:p w14:paraId="691C2E7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2.6</w:t>
            </w:r>
          </w:p>
        </w:tc>
      </w:tr>
      <w:tr w:rsidR="000B1520" w:rsidRPr="00750B53" w14:paraId="1D458A02" w14:textId="77777777" w:rsidTr="000A4157">
        <w:tc>
          <w:tcPr>
            <w:tcW w:w="4393" w:type="dxa"/>
          </w:tcPr>
          <w:p w14:paraId="3FD43CE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Diabetes without complications, comorbidity</w:t>
            </w:r>
          </w:p>
        </w:tc>
        <w:tc>
          <w:tcPr>
            <w:tcW w:w="2123" w:type="dxa"/>
          </w:tcPr>
          <w:p w14:paraId="4C31603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2. 4</w:t>
            </w:r>
          </w:p>
        </w:tc>
      </w:tr>
      <w:tr w:rsidR="000B1520" w:rsidRPr="00750B53" w14:paraId="06CF5E4E" w14:textId="77777777" w:rsidTr="000A4157">
        <w:tc>
          <w:tcPr>
            <w:tcW w:w="4393" w:type="dxa"/>
          </w:tcPr>
          <w:p w14:paraId="0FCC28A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Pulmonary disease, comorbidity</w:t>
            </w:r>
          </w:p>
        </w:tc>
        <w:tc>
          <w:tcPr>
            <w:tcW w:w="2123" w:type="dxa"/>
          </w:tcPr>
          <w:p w14:paraId="26402B7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2.0</w:t>
            </w:r>
          </w:p>
        </w:tc>
      </w:tr>
      <w:tr w:rsidR="000B1520" w:rsidRPr="00750B53" w14:paraId="2C28491A" w14:textId="77777777" w:rsidTr="000A4157">
        <w:tc>
          <w:tcPr>
            <w:tcW w:w="4393" w:type="dxa"/>
          </w:tcPr>
          <w:p w14:paraId="5C61780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Neoplasm, discharge diagnosis                         </w:t>
            </w:r>
          </w:p>
        </w:tc>
        <w:tc>
          <w:tcPr>
            <w:tcW w:w="2123" w:type="dxa"/>
          </w:tcPr>
          <w:p w14:paraId="224780E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2.0</w:t>
            </w:r>
          </w:p>
        </w:tc>
      </w:tr>
      <w:tr w:rsidR="000B1520" w:rsidRPr="00750B53" w14:paraId="799159BD" w14:textId="77777777" w:rsidTr="000A4157">
        <w:tc>
          <w:tcPr>
            <w:tcW w:w="4393" w:type="dxa"/>
          </w:tcPr>
          <w:p w14:paraId="20892C9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Educational level                            </w:t>
            </w:r>
          </w:p>
        </w:tc>
        <w:tc>
          <w:tcPr>
            <w:tcW w:w="2123" w:type="dxa"/>
          </w:tcPr>
          <w:p w14:paraId="49811F0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1.7</w:t>
            </w:r>
          </w:p>
        </w:tc>
      </w:tr>
      <w:tr w:rsidR="000B1520" w:rsidRPr="00750B53" w14:paraId="5EF93226" w14:textId="77777777" w:rsidTr="000A4157">
        <w:tc>
          <w:tcPr>
            <w:tcW w:w="4393" w:type="dxa"/>
          </w:tcPr>
          <w:p w14:paraId="582C98F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Dehydration. Other disorders of fluid, electrolyte and acid-base balance, discharge diagnosis</w:t>
            </w:r>
          </w:p>
        </w:tc>
        <w:tc>
          <w:tcPr>
            <w:tcW w:w="2123" w:type="dxa"/>
          </w:tcPr>
          <w:p w14:paraId="41F494B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1.4</w:t>
            </w:r>
          </w:p>
        </w:tc>
      </w:tr>
      <w:tr w:rsidR="000B1520" w:rsidRPr="00750B53" w14:paraId="37B1A639" w14:textId="77777777" w:rsidTr="000A4157">
        <w:tc>
          <w:tcPr>
            <w:tcW w:w="4393" w:type="dxa"/>
          </w:tcPr>
          <w:p w14:paraId="1905D29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Traumatic injuries, lesions, fractures, discharge diagnosis</w:t>
            </w:r>
          </w:p>
        </w:tc>
        <w:tc>
          <w:tcPr>
            <w:tcW w:w="2123" w:type="dxa"/>
          </w:tcPr>
          <w:p w14:paraId="0F6BDAB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1.3</w:t>
            </w:r>
          </w:p>
        </w:tc>
      </w:tr>
      <w:tr w:rsidR="000B1520" w:rsidRPr="00750B53" w14:paraId="3E612CA5" w14:textId="77777777" w:rsidTr="000A4157">
        <w:tc>
          <w:tcPr>
            <w:tcW w:w="4393" w:type="dxa"/>
          </w:tcPr>
          <w:p w14:paraId="35429E1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Abnormalities of breathing, discharge diagnosis</w:t>
            </w:r>
          </w:p>
        </w:tc>
        <w:tc>
          <w:tcPr>
            <w:tcW w:w="2123" w:type="dxa"/>
          </w:tcPr>
          <w:p w14:paraId="57B7B9D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1.3</w:t>
            </w:r>
          </w:p>
        </w:tc>
      </w:tr>
      <w:tr w:rsidR="000B1520" w:rsidRPr="00750B53" w14:paraId="5954B728" w14:textId="77777777" w:rsidTr="000A4157">
        <w:tc>
          <w:tcPr>
            <w:tcW w:w="4393" w:type="dxa"/>
          </w:tcPr>
          <w:p w14:paraId="30FA90F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Fever of other and unknown origin</w:t>
            </w:r>
          </w:p>
        </w:tc>
        <w:tc>
          <w:tcPr>
            <w:tcW w:w="2123" w:type="dxa"/>
          </w:tcPr>
          <w:p w14:paraId="1798BB4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1.2</w:t>
            </w:r>
          </w:p>
        </w:tc>
      </w:tr>
      <w:tr w:rsidR="000B1520" w:rsidRPr="00750B53" w14:paraId="3F3E1FAA" w14:textId="77777777" w:rsidTr="000A4157">
        <w:tc>
          <w:tcPr>
            <w:tcW w:w="4393" w:type="dxa"/>
          </w:tcPr>
          <w:p w14:paraId="22034DC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INR</w:t>
            </w:r>
          </w:p>
        </w:tc>
        <w:tc>
          <w:tcPr>
            <w:tcW w:w="2123" w:type="dxa"/>
          </w:tcPr>
          <w:p w14:paraId="73CA9EE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1.2</w:t>
            </w:r>
          </w:p>
        </w:tc>
      </w:tr>
      <w:tr w:rsidR="000B1520" w:rsidRPr="00750B53" w14:paraId="3BD321C1" w14:textId="77777777" w:rsidTr="000A4157">
        <w:tc>
          <w:tcPr>
            <w:tcW w:w="4393" w:type="dxa"/>
          </w:tcPr>
          <w:p w14:paraId="4D51956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Heart failure, discharge diagnosis</w:t>
            </w:r>
          </w:p>
        </w:tc>
        <w:tc>
          <w:tcPr>
            <w:tcW w:w="2123" w:type="dxa"/>
          </w:tcPr>
          <w:p w14:paraId="4DDD3F5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1.2</w:t>
            </w:r>
          </w:p>
        </w:tc>
      </w:tr>
      <w:tr w:rsidR="000B1520" w:rsidRPr="00750B53" w14:paraId="0B168E26" w14:textId="77777777" w:rsidTr="000A4157">
        <w:tc>
          <w:tcPr>
            <w:tcW w:w="4393" w:type="dxa"/>
          </w:tcPr>
          <w:p w14:paraId="2DC2B15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Constipation, discharge diagnosis</w:t>
            </w:r>
          </w:p>
        </w:tc>
        <w:tc>
          <w:tcPr>
            <w:tcW w:w="2123" w:type="dxa"/>
          </w:tcPr>
          <w:p w14:paraId="211A5AB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1.1</w:t>
            </w:r>
          </w:p>
        </w:tc>
      </w:tr>
      <w:tr w:rsidR="000B1520" w:rsidRPr="00750B53" w14:paraId="41CE35E2" w14:textId="77777777" w:rsidTr="000A4157">
        <w:tc>
          <w:tcPr>
            <w:tcW w:w="4393" w:type="dxa"/>
          </w:tcPr>
          <w:p w14:paraId="7B580AB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Thrombocytes; B  (10</w:t>
            </w:r>
            <w:r w:rsidRPr="00C53C2C">
              <w:rPr>
                <w:color w:val="000000" w:themeColor="text1"/>
                <w:sz w:val="16"/>
                <w:szCs w:val="16"/>
                <w:vertAlign w:val="superscript"/>
              </w:rPr>
              <w:t>9</w:t>
            </w:r>
            <w:r w:rsidRPr="00C53C2C">
              <w:rPr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2123" w:type="dxa"/>
          </w:tcPr>
          <w:p w14:paraId="7B9FF02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1.1</w:t>
            </w:r>
          </w:p>
        </w:tc>
      </w:tr>
      <w:tr w:rsidR="000B1520" w:rsidRPr="00750B53" w14:paraId="6DD8B747" w14:textId="77777777" w:rsidTr="000A4157">
        <w:tc>
          <w:tcPr>
            <w:tcW w:w="4393" w:type="dxa"/>
          </w:tcPr>
          <w:p w14:paraId="1EF5EDD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Angina pectoris, discharge diagnosis       </w:t>
            </w:r>
          </w:p>
        </w:tc>
        <w:tc>
          <w:tcPr>
            <w:tcW w:w="2123" w:type="dxa"/>
          </w:tcPr>
          <w:p w14:paraId="5BB29A5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1.0</w:t>
            </w:r>
          </w:p>
        </w:tc>
      </w:tr>
      <w:tr w:rsidR="000B1520" w:rsidRPr="00750B53" w14:paraId="3393B9F7" w14:textId="77777777" w:rsidTr="000A4157">
        <w:tc>
          <w:tcPr>
            <w:tcW w:w="4393" w:type="dxa"/>
          </w:tcPr>
          <w:p w14:paraId="2DFC024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 xml:space="preserve">Total yearly income                   </w:t>
            </w:r>
          </w:p>
        </w:tc>
        <w:tc>
          <w:tcPr>
            <w:tcW w:w="2123" w:type="dxa"/>
          </w:tcPr>
          <w:p w14:paraId="37F0FFD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color w:val="000000" w:themeColor="text1"/>
                <w:sz w:val="16"/>
                <w:szCs w:val="16"/>
              </w:rPr>
              <w:t>1.0</w:t>
            </w:r>
          </w:p>
        </w:tc>
      </w:tr>
      <w:tr w:rsidR="000B1520" w:rsidRPr="00D227B2" w14:paraId="15DBD1EA" w14:textId="77777777" w:rsidTr="000A4157">
        <w:tc>
          <w:tcPr>
            <w:tcW w:w="4393" w:type="dxa"/>
          </w:tcPr>
          <w:p w14:paraId="455210E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Hematemesis, melena, GI bleeding, disease of the digestive system unspecified,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785FFF8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0.7</w:t>
            </w:r>
          </w:p>
        </w:tc>
      </w:tr>
      <w:tr w:rsidR="000B1520" w:rsidRPr="00D227B2" w14:paraId="36B3081E" w14:textId="77777777" w:rsidTr="000A4157">
        <w:tc>
          <w:tcPr>
            <w:tcW w:w="4393" w:type="dxa"/>
          </w:tcPr>
          <w:p w14:paraId="2D10C41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Renal disease, comorbidity </w:t>
            </w:r>
          </w:p>
        </w:tc>
        <w:tc>
          <w:tcPr>
            <w:tcW w:w="2123" w:type="dxa"/>
          </w:tcPr>
          <w:p w14:paraId="773E93A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0.7</w:t>
            </w:r>
          </w:p>
        </w:tc>
      </w:tr>
      <w:tr w:rsidR="000B1520" w:rsidRPr="00D227B2" w14:paraId="07C68F7E" w14:textId="77777777" w:rsidTr="000A4157">
        <w:tc>
          <w:tcPr>
            <w:tcW w:w="4393" w:type="dxa"/>
          </w:tcPr>
          <w:p w14:paraId="0D4B456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Abdominal and pelvic pain,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123" w:type="dxa"/>
          </w:tcPr>
          <w:p w14:paraId="1BB19C5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0.6</w:t>
            </w:r>
          </w:p>
        </w:tc>
      </w:tr>
      <w:tr w:rsidR="000B1520" w:rsidRPr="00D227B2" w14:paraId="75CBE42C" w14:textId="77777777" w:rsidTr="000A4157">
        <w:tc>
          <w:tcPr>
            <w:tcW w:w="4393" w:type="dxa"/>
          </w:tcPr>
          <w:p w14:paraId="677B93D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Poisoning,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0AE45CE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0.6</w:t>
            </w:r>
          </w:p>
        </w:tc>
      </w:tr>
      <w:tr w:rsidR="000B1520" w:rsidRPr="00D227B2" w14:paraId="14357AA0" w14:textId="77777777" w:rsidTr="000A4157">
        <w:tc>
          <w:tcPr>
            <w:tcW w:w="4393" w:type="dxa"/>
          </w:tcPr>
          <w:p w14:paraId="29FD744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Epilepsy. Status epilepticus,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123" w:type="dxa"/>
          </w:tcPr>
          <w:p w14:paraId="7B62B13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0.6</w:t>
            </w:r>
          </w:p>
        </w:tc>
      </w:tr>
      <w:tr w:rsidR="000B1520" w:rsidRPr="00D227B2" w14:paraId="7F5E427C" w14:textId="77777777" w:rsidTr="000A4157">
        <w:tc>
          <w:tcPr>
            <w:tcW w:w="4393" w:type="dxa"/>
          </w:tcPr>
          <w:p w14:paraId="62AE187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Edema, discharge diagnosis     </w:t>
            </w:r>
          </w:p>
        </w:tc>
        <w:tc>
          <w:tcPr>
            <w:tcW w:w="2123" w:type="dxa"/>
          </w:tcPr>
          <w:p w14:paraId="4BEDDDA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0.5</w:t>
            </w:r>
          </w:p>
        </w:tc>
      </w:tr>
      <w:tr w:rsidR="000B1520" w:rsidRPr="00D227B2" w14:paraId="39717384" w14:textId="77777777" w:rsidTr="000A4157">
        <w:tc>
          <w:tcPr>
            <w:tcW w:w="4393" w:type="dxa"/>
          </w:tcPr>
          <w:p w14:paraId="5E298CE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Urinary tract stones,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             </w:t>
            </w:r>
          </w:p>
        </w:tc>
        <w:tc>
          <w:tcPr>
            <w:tcW w:w="2123" w:type="dxa"/>
          </w:tcPr>
          <w:p w14:paraId="7B103FE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0.4</w:t>
            </w:r>
          </w:p>
        </w:tc>
      </w:tr>
      <w:tr w:rsidR="000B1520" w:rsidRPr="00D227B2" w14:paraId="44B34CF0" w14:textId="77777777" w:rsidTr="000A4157">
        <w:tc>
          <w:tcPr>
            <w:tcW w:w="4393" w:type="dxa"/>
          </w:tcPr>
          <w:p w14:paraId="506951B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lastRenderedPageBreak/>
              <w:t xml:space="preserve">TCI and related syndromes,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123" w:type="dxa"/>
          </w:tcPr>
          <w:p w14:paraId="7370AD3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0.2</w:t>
            </w:r>
          </w:p>
        </w:tc>
      </w:tr>
      <w:tr w:rsidR="000B1520" w:rsidRPr="00D227B2" w14:paraId="501EF7A5" w14:textId="77777777" w:rsidTr="000A4157">
        <w:tc>
          <w:tcPr>
            <w:tcW w:w="4393" w:type="dxa"/>
          </w:tcPr>
          <w:p w14:paraId="2D9B613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Abnormalities of the heartbeat,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3CEC4BA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0.2</w:t>
            </w:r>
          </w:p>
        </w:tc>
      </w:tr>
      <w:tr w:rsidR="000B1520" w:rsidRPr="00D227B2" w14:paraId="6CF5BD44" w14:textId="77777777" w:rsidTr="000A4157">
        <w:tc>
          <w:tcPr>
            <w:tcW w:w="4393" w:type="dxa"/>
          </w:tcPr>
          <w:p w14:paraId="4F0F54B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Headache, discharge diagnosis     </w:t>
            </w:r>
          </w:p>
        </w:tc>
        <w:tc>
          <w:tcPr>
            <w:tcW w:w="2123" w:type="dxa"/>
          </w:tcPr>
          <w:p w14:paraId="1A31361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0.1</w:t>
            </w:r>
          </w:p>
        </w:tc>
      </w:tr>
      <w:tr w:rsidR="000B1520" w:rsidRPr="00D227B2" w14:paraId="77E449A3" w14:textId="77777777" w:rsidTr="000A4157">
        <w:tc>
          <w:tcPr>
            <w:tcW w:w="4393" w:type="dxa"/>
          </w:tcPr>
          <w:p w14:paraId="2A6AC58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Retention of urine, discharge diagnosis             </w:t>
            </w:r>
          </w:p>
        </w:tc>
        <w:tc>
          <w:tcPr>
            <w:tcW w:w="2123" w:type="dxa"/>
          </w:tcPr>
          <w:p w14:paraId="5D288E3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0.1</w:t>
            </w:r>
          </w:p>
        </w:tc>
      </w:tr>
      <w:tr w:rsidR="000B1520" w:rsidRPr="00D227B2" w14:paraId="37FAB179" w14:textId="77777777" w:rsidTr="000A4157">
        <w:tc>
          <w:tcPr>
            <w:tcW w:w="4393" w:type="dxa"/>
          </w:tcPr>
          <w:p w14:paraId="0BE9EFE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Myocardial infarction, comorbidity                         </w:t>
            </w:r>
          </w:p>
        </w:tc>
        <w:tc>
          <w:tcPr>
            <w:tcW w:w="2123" w:type="dxa"/>
          </w:tcPr>
          <w:p w14:paraId="28A4090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0.1</w:t>
            </w:r>
          </w:p>
        </w:tc>
      </w:tr>
      <w:tr w:rsidR="000B1520" w:rsidRPr="00D227B2" w14:paraId="0BBDEA9E" w14:textId="77777777" w:rsidTr="000A4157">
        <w:tc>
          <w:tcPr>
            <w:tcW w:w="4393" w:type="dxa"/>
          </w:tcPr>
          <w:p w14:paraId="277752B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blood and blood-forming organs and certain disorders involved in the immune system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2123" w:type="dxa"/>
          </w:tcPr>
          <w:p w14:paraId="27ABFAB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1BA2A984" w14:textId="77777777" w:rsidTr="000A4157">
        <w:tc>
          <w:tcPr>
            <w:tcW w:w="4393" w:type="dxa"/>
          </w:tcPr>
          <w:p w14:paraId="0FDE625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digestive system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123" w:type="dxa"/>
          </w:tcPr>
          <w:p w14:paraId="616FDDF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784E2A08" w14:textId="77777777" w:rsidTr="000A4157">
        <w:tc>
          <w:tcPr>
            <w:tcW w:w="4393" w:type="dxa"/>
          </w:tcPr>
          <w:p w14:paraId="4A4DF88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eyes, ears, mouth, throat, and skin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123" w:type="dxa"/>
          </w:tcPr>
          <w:p w14:paraId="2C4543F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61AF6A74" w14:textId="77777777" w:rsidTr="000A4157">
        <w:tc>
          <w:tcPr>
            <w:tcW w:w="4393" w:type="dxa"/>
          </w:tcPr>
          <w:p w14:paraId="69AF6F0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genitourinary system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0A43AF7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68BA733E" w14:textId="77777777" w:rsidTr="000A4157">
        <w:trPr>
          <w:trHeight w:val="424"/>
        </w:trPr>
        <w:tc>
          <w:tcPr>
            <w:tcW w:w="4393" w:type="dxa"/>
          </w:tcPr>
          <w:p w14:paraId="2193D88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heart and circulatory system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3FE5AA1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6BA9AF41" w14:textId="77777777" w:rsidTr="000A4157">
        <w:trPr>
          <w:trHeight w:val="579"/>
        </w:trPr>
        <w:tc>
          <w:tcPr>
            <w:tcW w:w="4393" w:type="dxa"/>
          </w:tcPr>
          <w:p w14:paraId="53E3F14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musculoskeletal system and connective tissue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6AAC363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55FCAB95" w14:textId="77777777" w:rsidTr="000A4157">
        <w:trPr>
          <w:trHeight w:val="424"/>
        </w:trPr>
        <w:tc>
          <w:tcPr>
            <w:tcW w:w="4393" w:type="dxa"/>
          </w:tcPr>
          <w:p w14:paraId="67B53C6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nervous system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2EDC56D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20990350" w14:textId="77777777" w:rsidTr="000A4157">
        <w:trPr>
          <w:trHeight w:val="367"/>
        </w:trPr>
        <w:tc>
          <w:tcPr>
            <w:tcW w:w="4393" w:type="dxa"/>
          </w:tcPr>
          <w:p w14:paraId="594F4A6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diseases of the respiratory system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2123" w:type="dxa"/>
          </w:tcPr>
          <w:p w14:paraId="51E6DC2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734773C7" w14:textId="77777777" w:rsidTr="000A4157">
        <w:trPr>
          <w:trHeight w:val="367"/>
        </w:trPr>
        <w:tc>
          <w:tcPr>
            <w:tcW w:w="4393" w:type="dxa"/>
          </w:tcPr>
          <w:p w14:paraId="2920D58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endocrine, nutritional, and metabolic disorders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6BAD529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0FBFC724" w14:textId="77777777" w:rsidTr="000A4157">
        <w:trPr>
          <w:trHeight w:val="466"/>
        </w:trPr>
        <w:tc>
          <w:tcPr>
            <w:tcW w:w="4393" w:type="dxa"/>
          </w:tcPr>
          <w:p w14:paraId="1731873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factors influencing health status and contact with health services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123" w:type="dxa"/>
          </w:tcPr>
          <w:p w14:paraId="621D0E7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5B7B65C6" w14:textId="77777777" w:rsidTr="000A4157">
        <w:trPr>
          <w:trHeight w:val="424"/>
        </w:trPr>
        <w:tc>
          <w:tcPr>
            <w:tcW w:w="4393" w:type="dxa"/>
          </w:tcPr>
          <w:p w14:paraId="4B476B7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infectious diseases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123" w:type="dxa"/>
          </w:tcPr>
          <w:p w14:paraId="0DF3C28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2E6B1B8D" w14:textId="77777777" w:rsidTr="000A4157">
        <w:trPr>
          <w:trHeight w:val="420"/>
        </w:trPr>
        <w:tc>
          <w:tcPr>
            <w:tcW w:w="4393" w:type="dxa"/>
          </w:tcPr>
          <w:p w14:paraId="27FC52D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injury and certain other consequences of external causes, discharge diagnosis</w:t>
            </w:r>
            <w:r w:rsidRPr="00C53C2C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123" w:type="dxa"/>
          </w:tcPr>
          <w:p w14:paraId="1603E4B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66C5574C" w14:textId="77777777" w:rsidTr="000A4157">
        <w:trPr>
          <w:trHeight w:val="494"/>
        </w:trPr>
        <w:tc>
          <w:tcPr>
            <w:tcW w:w="4393" w:type="dxa"/>
          </w:tcPr>
          <w:p w14:paraId="5E0CB17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mental and behavioral disorders , discharge diagnosis</w:t>
            </w:r>
            <w:r w:rsidRPr="00C53C2C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123" w:type="dxa"/>
          </w:tcPr>
          <w:p w14:paraId="2801C3E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77710C80" w14:textId="77777777" w:rsidTr="000A4157">
        <w:trPr>
          <w:trHeight w:val="678"/>
        </w:trPr>
        <w:tc>
          <w:tcPr>
            <w:tcW w:w="4393" w:type="dxa"/>
          </w:tcPr>
          <w:p w14:paraId="3BB2EB6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 xml:space="preserve">Other poisoning, intoxications, substance use, and adverse effects of medications 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59FDC4B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571FCAAB" w14:textId="77777777" w:rsidTr="000A4157">
        <w:trPr>
          <w:trHeight w:val="494"/>
        </w:trPr>
        <w:tc>
          <w:tcPr>
            <w:tcW w:w="4393" w:type="dxa"/>
          </w:tcPr>
          <w:p w14:paraId="46F9912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symptoms and abnormal findings, not elsewhere classified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6F42220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2790DF1F" w14:textId="77777777" w:rsidTr="000A4157">
        <w:trPr>
          <w:trHeight w:val="508"/>
        </w:trPr>
        <w:tc>
          <w:tcPr>
            <w:tcW w:w="4393" w:type="dxa"/>
          </w:tcPr>
          <w:p w14:paraId="79AEEC7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AIDS, comorbidity</w:t>
            </w:r>
          </w:p>
        </w:tc>
        <w:tc>
          <w:tcPr>
            <w:tcW w:w="2123" w:type="dxa"/>
          </w:tcPr>
          <w:p w14:paraId="46B1A19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23745FA5" w14:textId="77777777" w:rsidTr="000A4157">
        <w:trPr>
          <w:trHeight w:val="508"/>
        </w:trPr>
        <w:tc>
          <w:tcPr>
            <w:tcW w:w="4393" w:type="dxa"/>
          </w:tcPr>
          <w:p w14:paraId="7BCC63C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Cholelithiasis,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2123" w:type="dxa"/>
          </w:tcPr>
          <w:p w14:paraId="6B1BC57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0.0</w:t>
            </w:r>
          </w:p>
        </w:tc>
      </w:tr>
      <w:tr w:rsidR="000B1520" w:rsidRPr="00D227B2" w14:paraId="18B26010" w14:textId="77777777" w:rsidTr="000A4157">
        <w:trPr>
          <w:trHeight w:val="508"/>
        </w:trPr>
        <w:tc>
          <w:tcPr>
            <w:tcW w:w="4393" w:type="dxa"/>
          </w:tcPr>
          <w:p w14:paraId="428613E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lastRenderedPageBreak/>
              <w:t xml:space="preserve">Gastroenteritis or </w:t>
            </w:r>
            <w:proofErr w:type="spellStart"/>
            <w:r w:rsidRPr="00C53C2C">
              <w:rPr>
                <w:sz w:val="16"/>
                <w:szCs w:val="16"/>
              </w:rPr>
              <w:t>gastrocolitis</w:t>
            </w:r>
            <w:proofErr w:type="spellEnd"/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2CB78D3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-0.1</w:t>
            </w:r>
          </w:p>
        </w:tc>
      </w:tr>
      <w:tr w:rsidR="000B1520" w:rsidRPr="00D227B2" w14:paraId="70FBFDB7" w14:textId="77777777" w:rsidTr="000A4157">
        <w:trPr>
          <w:trHeight w:val="508"/>
        </w:trPr>
        <w:tc>
          <w:tcPr>
            <w:tcW w:w="4393" w:type="dxa"/>
          </w:tcPr>
          <w:p w14:paraId="0E1C05C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infections of the digestive system, discharge diagnosis</w:t>
            </w:r>
            <w:r w:rsidRPr="00C53C2C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123" w:type="dxa"/>
          </w:tcPr>
          <w:p w14:paraId="641767F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-0.1</w:t>
            </w:r>
          </w:p>
        </w:tc>
      </w:tr>
      <w:tr w:rsidR="000B1520" w:rsidRPr="00D227B2" w14:paraId="6D589BC2" w14:textId="77777777" w:rsidTr="000A4157">
        <w:trPr>
          <w:trHeight w:val="508"/>
        </w:trPr>
        <w:tc>
          <w:tcPr>
            <w:tcW w:w="4393" w:type="dxa"/>
          </w:tcPr>
          <w:p w14:paraId="0E413BE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Length of stay, hours                 </w:t>
            </w:r>
          </w:p>
        </w:tc>
        <w:tc>
          <w:tcPr>
            <w:tcW w:w="2123" w:type="dxa"/>
          </w:tcPr>
          <w:p w14:paraId="77A418C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-0.1</w:t>
            </w:r>
          </w:p>
        </w:tc>
      </w:tr>
      <w:tr w:rsidR="000B1520" w:rsidRPr="00D227B2" w14:paraId="507D6F4C" w14:textId="77777777" w:rsidTr="000A4157">
        <w:trPr>
          <w:trHeight w:val="508"/>
        </w:trPr>
        <w:tc>
          <w:tcPr>
            <w:tcW w:w="4393" w:type="dxa"/>
          </w:tcPr>
          <w:p w14:paraId="7B5C444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Diabetes </w:t>
            </w:r>
            <w:r w:rsidRPr="00C53C2C">
              <w:rPr>
                <w:color w:val="000000"/>
                <w:sz w:val="16"/>
                <w:szCs w:val="16"/>
              </w:rPr>
              <w:t>(type 1, type 2, other, non-specified)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1DB554A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-0.2</w:t>
            </w:r>
          </w:p>
        </w:tc>
      </w:tr>
      <w:tr w:rsidR="000B1520" w:rsidRPr="00D227B2" w14:paraId="2938DF6A" w14:textId="77777777" w:rsidTr="000A4157">
        <w:trPr>
          <w:trHeight w:val="508"/>
        </w:trPr>
        <w:tc>
          <w:tcPr>
            <w:tcW w:w="4393" w:type="dxa"/>
          </w:tcPr>
          <w:p w14:paraId="77238E4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Upper respiratory tract infection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2A16013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-0.2</w:t>
            </w:r>
          </w:p>
        </w:tc>
      </w:tr>
      <w:tr w:rsidR="000B1520" w:rsidRPr="00D227B2" w14:paraId="783DDF62" w14:textId="77777777" w:rsidTr="000A4157">
        <w:trPr>
          <w:trHeight w:val="508"/>
        </w:trPr>
        <w:tc>
          <w:tcPr>
            <w:tcW w:w="4393" w:type="dxa"/>
          </w:tcPr>
          <w:p w14:paraId="05DFAFD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Hernias (not including hiatus hernias)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716985C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-0.3</w:t>
            </w:r>
          </w:p>
        </w:tc>
      </w:tr>
      <w:tr w:rsidR="000B1520" w:rsidRPr="00D227B2" w14:paraId="1763107F" w14:textId="77777777" w:rsidTr="000A4157">
        <w:trPr>
          <w:trHeight w:val="508"/>
        </w:trPr>
        <w:tc>
          <w:tcPr>
            <w:tcW w:w="4393" w:type="dxa"/>
          </w:tcPr>
          <w:p w14:paraId="78AFA68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C53C2C">
              <w:rPr>
                <w:sz w:val="16"/>
                <w:szCs w:val="16"/>
              </w:rPr>
              <w:t>Dorsalgia</w:t>
            </w:r>
            <w:proofErr w:type="spellEnd"/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0593EFC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-0.5</w:t>
            </w:r>
          </w:p>
        </w:tc>
      </w:tr>
      <w:tr w:rsidR="000B1520" w:rsidRPr="00D227B2" w14:paraId="1DC210A2" w14:textId="77777777" w:rsidTr="000A4157">
        <w:trPr>
          <w:trHeight w:val="508"/>
        </w:trPr>
        <w:tc>
          <w:tcPr>
            <w:tcW w:w="4393" w:type="dxa"/>
          </w:tcPr>
          <w:p w14:paraId="4E7C922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Diverticulitis, diverticulosis/diverticulosis w perforation or abscess,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1BFEEC7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-0.5</w:t>
            </w:r>
          </w:p>
        </w:tc>
      </w:tr>
      <w:tr w:rsidR="000B1520" w:rsidRPr="00D227B2" w14:paraId="59A73E36" w14:textId="77777777" w:rsidTr="000A4157">
        <w:trPr>
          <w:trHeight w:val="508"/>
        </w:trPr>
        <w:tc>
          <w:tcPr>
            <w:tcW w:w="4393" w:type="dxa"/>
          </w:tcPr>
          <w:p w14:paraId="3904DF4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skin and subcutaneous infections</w:t>
            </w:r>
            <w:r w:rsidRPr="00C53C2C">
              <w:rPr>
                <w:sz w:val="16"/>
                <w:szCs w:val="16"/>
              </w:rPr>
              <w:t>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0AF7A5F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-0.5</w:t>
            </w:r>
          </w:p>
        </w:tc>
      </w:tr>
      <w:tr w:rsidR="000B1520" w:rsidRPr="00D227B2" w14:paraId="34522293" w14:textId="77777777" w:rsidTr="000A4157">
        <w:trPr>
          <w:trHeight w:val="508"/>
        </w:trPr>
        <w:tc>
          <w:tcPr>
            <w:tcW w:w="4393" w:type="dxa"/>
          </w:tcPr>
          <w:p w14:paraId="000A880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Anemia (not including acute posthemorrhagic anemia),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2F10D89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-0.6</w:t>
            </w:r>
          </w:p>
        </w:tc>
      </w:tr>
      <w:tr w:rsidR="000B1520" w:rsidRPr="00D227B2" w14:paraId="63A382BE" w14:textId="77777777" w:rsidTr="000A4157">
        <w:trPr>
          <w:trHeight w:val="508"/>
        </w:trPr>
        <w:tc>
          <w:tcPr>
            <w:tcW w:w="4393" w:type="dxa"/>
          </w:tcPr>
          <w:p w14:paraId="4E05435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Alcohol related disorders,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3AF4FD3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-0.7</w:t>
            </w:r>
          </w:p>
        </w:tc>
      </w:tr>
      <w:tr w:rsidR="000B1520" w:rsidRPr="00D227B2" w14:paraId="7CFD8F4C" w14:textId="77777777" w:rsidTr="000A4157">
        <w:trPr>
          <w:trHeight w:val="508"/>
        </w:trPr>
        <w:tc>
          <w:tcPr>
            <w:tcW w:w="4393" w:type="dxa"/>
          </w:tcPr>
          <w:p w14:paraId="12DBA9B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Pain in limb,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100A7A2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-0.7</w:t>
            </w:r>
          </w:p>
        </w:tc>
      </w:tr>
      <w:tr w:rsidR="000B1520" w:rsidRPr="00D227B2" w14:paraId="4B132874" w14:textId="77777777" w:rsidTr="000A4157">
        <w:trPr>
          <w:trHeight w:val="508"/>
        </w:trPr>
        <w:tc>
          <w:tcPr>
            <w:tcW w:w="4393" w:type="dxa"/>
          </w:tcPr>
          <w:p w14:paraId="266F41F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Mild liver disease, comorbidity</w:t>
            </w:r>
          </w:p>
        </w:tc>
        <w:tc>
          <w:tcPr>
            <w:tcW w:w="2123" w:type="dxa"/>
          </w:tcPr>
          <w:p w14:paraId="15431F4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-0.7</w:t>
            </w:r>
          </w:p>
        </w:tc>
      </w:tr>
      <w:tr w:rsidR="000B1520" w:rsidRPr="00D227B2" w14:paraId="6F2442F1" w14:textId="77777777" w:rsidTr="000A4157">
        <w:trPr>
          <w:trHeight w:val="508"/>
        </w:trPr>
        <w:tc>
          <w:tcPr>
            <w:tcW w:w="4393" w:type="dxa"/>
          </w:tcPr>
          <w:p w14:paraId="3903BF2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Erysipelas,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5FCA4E2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-0.8</w:t>
            </w:r>
          </w:p>
        </w:tc>
      </w:tr>
      <w:tr w:rsidR="000B1520" w:rsidRPr="00D227B2" w14:paraId="3FCDFE5D" w14:textId="77777777" w:rsidTr="000A4157">
        <w:trPr>
          <w:trHeight w:val="508"/>
        </w:trPr>
        <w:tc>
          <w:tcPr>
            <w:tcW w:w="4393" w:type="dxa"/>
          </w:tcPr>
          <w:p w14:paraId="5D291A8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Hypertensive diseases,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0CEB740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-0.8</w:t>
            </w:r>
          </w:p>
        </w:tc>
      </w:tr>
      <w:tr w:rsidR="000B1520" w:rsidRPr="00D227B2" w14:paraId="66CE5A37" w14:textId="77777777" w:rsidTr="000A4157">
        <w:trPr>
          <w:trHeight w:val="508"/>
        </w:trPr>
        <w:tc>
          <w:tcPr>
            <w:tcW w:w="4393" w:type="dxa"/>
          </w:tcPr>
          <w:p w14:paraId="5CA411D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Phlebitis and thrombophlebitis,</w:t>
            </w:r>
            <w:r w:rsidRPr="00C53C2C">
              <w:rPr>
                <w:color w:val="000000"/>
                <w:sz w:val="16"/>
                <w:szCs w:val="16"/>
              </w:rPr>
              <w:t xml:space="preserve"> discharge diagnosis</w:t>
            </w:r>
            <w:r w:rsidRPr="00C53C2C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2123" w:type="dxa"/>
          </w:tcPr>
          <w:p w14:paraId="1D4E7AE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-0.8</w:t>
            </w:r>
          </w:p>
        </w:tc>
      </w:tr>
      <w:tr w:rsidR="000B1520" w:rsidRPr="00D227B2" w14:paraId="5773C352" w14:textId="77777777" w:rsidTr="000A4157">
        <w:trPr>
          <w:trHeight w:val="508"/>
        </w:trPr>
        <w:tc>
          <w:tcPr>
            <w:tcW w:w="4393" w:type="dxa"/>
          </w:tcPr>
          <w:p w14:paraId="1567EFD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Diabetes w complications, comorbidity</w:t>
            </w:r>
          </w:p>
        </w:tc>
        <w:tc>
          <w:tcPr>
            <w:tcW w:w="2123" w:type="dxa"/>
          </w:tcPr>
          <w:p w14:paraId="4F67AD6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-0.9</w:t>
            </w:r>
          </w:p>
        </w:tc>
      </w:tr>
      <w:tr w:rsidR="000B1520" w:rsidRPr="00D227B2" w14:paraId="47EA85FC" w14:textId="77777777" w:rsidTr="000A4157">
        <w:trPr>
          <w:trHeight w:val="452"/>
        </w:trPr>
        <w:tc>
          <w:tcPr>
            <w:tcW w:w="4393" w:type="dxa"/>
          </w:tcPr>
          <w:p w14:paraId="0F19138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Moderate or severe liver disease, comorbidity</w:t>
            </w:r>
          </w:p>
        </w:tc>
        <w:tc>
          <w:tcPr>
            <w:tcW w:w="2123" w:type="dxa"/>
          </w:tcPr>
          <w:p w14:paraId="500E193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-0.9</w:t>
            </w:r>
          </w:p>
        </w:tc>
      </w:tr>
      <w:tr w:rsidR="000B1520" w:rsidRPr="00D227B2" w14:paraId="4E96FCFE" w14:textId="77777777" w:rsidTr="000A4157">
        <w:trPr>
          <w:trHeight w:val="508"/>
        </w:trPr>
        <w:tc>
          <w:tcPr>
            <w:tcW w:w="4393" w:type="dxa"/>
          </w:tcPr>
          <w:p w14:paraId="0B22EC1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Repeated falls,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55C701A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-1.1</w:t>
            </w:r>
          </w:p>
        </w:tc>
      </w:tr>
      <w:tr w:rsidR="000B1520" w:rsidRPr="00D227B2" w14:paraId="39AB408F" w14:textId="77777777" w:rsidTr="000A4157">
        <w:trPr>
          <w:trHeight w:val="500"/>
        </w:trPr>
        <w:tc>
          <w:tcPr>
            <w:tcW w:w="4393" w:type="dxa"/>
          </w:tcPr>
          <w:p w14:paraId="1174854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Hemiplegia, comorbidity</w:t>
            </w:r>
          </w:p>
        </w:tc>
        <w:tc>
          <w:tcPr>
            <w:tcW w:w="2123" w:type="dxa"/>
          </w:tcPr>
          <w:p w14:paraId="3E28AE1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-1.1</w:t>
            </w:r>
          </w:p>
        </w:tc>
      </w:tr>
      <w:tr w:rsidR="000B1520" w:rsidRPr="00D227B2" w14:paraId="52516507" w14:textId="77777777" w:rsidTr="000A4157">
        <w:trPr>
          <w:trHeight w:val="395"/>
        </w:trPr>
        <w:tc>
          <w:tcPr>
            <w:tcW w:w="4393" w:type="dxa"/>
          </w:tcPr>
          <w:p w14:paraId="79D87B1F" w14:textId="77777777" w:rsidR="000B1520" w:rsidRPr="00C53C2C" w:rsidRDefault="000B1520" w:rsidP="00C2526C">
            <w:pPr>
              <w:rPr>
                <w:color w:val="000000" w:themeColor="text1"/>
                <w:sz w:val="16"/>
                <w:szCs w:val="16"/>
              </w:rPr>
            </w:pPr>
            <w:r w:rsidRPr="00C53C2C">
              <w:rPr>
                <w:rStyle w:val="Fremhv"/>
                <w:color w:val="000000" w:themeColor="text1"/>
                <w:sz w:val="16"/>
                <w:szCs w:val="16"/>
              </w:rPr>
              <w:t>Peripheral vascular disease,</w:t>
            </w:r>
            <w:r w:rsidRPr="00C53C2C">
              <w:rPr>
                <w:sz w:val="16"/>
                <w:szCs w:val="16"/>
              </w:rPr>
              <w:t xml:space="preserve"> comorbidity</w:t>
            </w:r>
          </w:p>
        </w:tc>
        <w:tc>
          <w:tcPr>
            <w:tcW w:w="2123" w:type="dxa"/>
          </w:tcPr>
          <w:p w14:paraId="00F857E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-1.2</w:t>
            </w:r>
          </w:p>
        </w:tc>
      </w:tr>
      <w:tr w:rsidR="000B1520" w:rsidRPr="00D227B2" w14:paraId="7D57F43D" w14:textId="77777777" w:rsidTr="000A4157">
        <w:trPr>
          <w:trHeight w:val="424"/>
        </w:trPr>
        <w:tc>
          <w:tcPr>
            <w:tcW w:w="4393" w:type="dxa"/>
          </w:tcPr>
          <w:p w14:paraId="179DA02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Dizziness and giddiness,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1515B89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-1.3</w:t>
            </w:r>
          </w:p>
        </w:tc>
      </w:tr>
      <w:tr w:rsidR="000B1520" w:rsidRPr="00D227B2" w14:paraId="48EC1DFB" w14:textId="77777777" w:rsidTr="000A4157">
        <w:trPr>
          <w:trHeight w:val="452"/>
        </w:trPr>
        <w:tc>
          <w:tcPr>
            <w:tcW w:w="4393" w:type="dxa"/>
          </w:tcPr>
          <w:p w14:paraId="3241B18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Rheumatic disease, comorbidity</w:t>
            </w:r>
          </w:p>
        </w:tc>
        <w:tc>
          <w:tcPr>
            <w:tcW w:w="2123" w:type="dxa"/>
          </w:tcPr>
          <w:p w14:paraId="1D43B10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-1.3</w:t>
            </w:r>
          </w:p>
        </w:tc>
      </w:tr>
      <w:tr w:rsidR="000B1520" w:rsidRPr="00D227B2" w14:paraId="4B08B760" w14:textId="77777777" w:rsidTr="000A4157">
        <w:trPr>
          <w:trHeight w:val="424"/>
        </w:trPr>
        <w:tc>
          <w:tcPr>
            <w:tcW w:w="4393" w:type="dxa"/>
          </w:tcPr>
          <w:p w14:paraId="2547135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Pain, unspecified,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32BE567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-1.3</w:t>
            </w:r>
          </w:p>
        </w:tc>
      </w:tr>
      <w:tr w:rsidR="000B1520" w:rsidRPr="00D227B2" w14:paraId="053ED06D" w14:textId="77777777" w:rsidTr="000A4157">
        <w:trPr>
          <w:trHeight w:val="466"/>
        </w:trPr>
        <w:tc>
          <w:tcPr>
            <w:tcW w:w="4393" w:type="dxa"/>
          </w:tcPr>
          <w:p w14:paraId="286FC008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lastRenderedPageBreak/>
              <w:t xml:space="preserve">Atrial fibrillation and flutter,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6226CAC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-1.5</w:t>
            </w:r>
          </w:p>
        </w:tc>
      </w:tr>
      <w:tr w:rsidR="000B1520" w:rsidRPr="00D227B2" w14:paraId="116C700A" w14:textId="77777777" w:rsidTr="000A4157">
        <w:trPr>
          <w:trHeight w:val="395"/>
        </w:trPr>
        <w:tc>
          <w:tcPr>
            <w:tcW w:w="4393" w:type="dxa"/>
          </w:tcPr>
          <w:p w14:paraId="55CE90A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IHD,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70914E0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-1.7</w:t>
            </w:r>
          </w:p>
        </w:tc>
      </w:tr>
      <w:tr w:rsidR="000B1520" w:rsidRPr="00D227B2" w14:paraId="257CC3F7" w14:textId="77777777" w:rsidTr="000A4157">
        <w:trPr>
          <w:trHeight w:val="353"/>
        </w:trPr>
        <w:tc>
          <w:tcPr>
            <w:tcW w:w="4393" w:type="dxa"/>
          </w:tcPr>
          <w:p w14:paraId="0812FA5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Pain in throat and chest,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5B1A92C0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-1.7</w:t>
            </w:r>
          </w:p>
        </w:tc>
      </w:tr>
      <w:tr w:rsidR="000B1520" w:rsidRPr="00D227B2" w14:paraId="5A7DCAEC" w14:textId="77777777" w:rsidTr="000A4157">
        <w:trPr>
          <w:trHeight w:val="395"/>
        </w:trPr>
        <w:tc>
          <w:tcPr>
            <w:tcW w:w="4393" w:type="dxa"/>
          </w:tcPr>
          <w:p w14:paraId="3E76AA0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Syncope and collapse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6964C8F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-1.8</w:t>
            </w:r>
          </w:p>
        </w:tc>
      </w:tr>
      <w:tr w:rsidR="000B1520" w:rsidRPr="00D227B2" w14:paraId="4AC57E5C" w14:textId="77777777" w:rsidTr="000A4157">
        <w:trPr>
          <w:trHeight w:val="381"/>
        </w:trPr>
        <w:tc>
          <w:tcPr>
            <w:tcW w:w="4393" w:type="dxa"/>
          </w:tcPr>
          <w:p w14:paraId="26DEA5D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Complications of surgical and medical care, not elsewhere classified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468DD8DD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-1.8</w:t>
            </w:r>
          </w:p>
        </w:tc>
      </w:tr>
      <w:tr w:rsidR="000B1520" w:rsidRPr="00D227B2" w14:paraId="68A4F2C0" w14:textId="77777777" w:rsidTr="000A4157">
        <w:trPr>
          <w:trHeight w:val="424"/>
        </w:trPr>
        <w:tc>
          <w:tcPr>
            <w:tcW w:w="4393" w:type="dxa"/>
          </w:tcPr>
          <w:p w14:paraId="158D74B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Nausea and vomiting,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6EC3CD3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-1.8</w:t>
            </w:r>
          </w:p>
        </w:tc>
      </w:tr>
      <w:tr w:rsidR="000B1520" w:rsidRPr="00D227B2" w14:paraId="5AC86C7F" w14:textId="77777777" w:rsidTr="000A4157">
        <w:trPr>
          <w:trHeight w:val="579"/>
        </w:trPr>
        <w:tc>
          <w:tcPr>
            <w:tcW w:w="4393" w:type="dxa"/>
          </w:tcPr>
          <w:p w14:paraId="1B019116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Other symptoms and signs involving the nervous and musculoskeletal system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2627AA99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-2.2</w:t>
            </w:r>
          </w:p>
        </w:tc>
      </w:tr>
      <w:tr w:rsidR="000B1520" w:rsidRPr="00D227B2" w14:paraId="22675C72" w14:textId="77777777" w:rsidTr="000A4157">
        <w:trPr>
          <w:trHeight w:val="728"/>
        </w:trPr>
        <w:tc>
          <w:tcPr>
            <w:tcW w:w="4393" w:type="dxa"/>
          </w:tcPr>
          <w:p w14:paraId="55F737D3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Perianal/perirectal hemorrhoids, hematomas, and fissures, other diseases of anus and rectum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082584E1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-2.3</w:t>
            </w:r>
          </w:p>
        </w:tc>
      </w:tr>
      <w:tr w:rsidR="000B1520" w:rsidRPr="00D227B2" w14:paraId="58E2782C" w14:textId="77777777" w:rsidTr="000A4157">
        <w:trPr>
          <w:trHeight w:val="438"/>
        </w:trPr>
        <w:tc>
          <w:tcPr>
            <w:tcW w:w="4393" w:type="dxa"/>
          </w:tcPr>
          <w:p w14:paraId="7252376F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Brain bleeding, infarction, or stroke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57259C1A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-2.4</w:t>
            </w:r>
          </w:p>
        </w:tc>
      </w:tr>
      <w:tr w:rsidR="000B1520" w:rsidRPr="00D227B2" w14:paraId="06DB3EE8" w14:textId="77777777" w:rsidTr="000A4157">
        <w:trPr>
          <w:trHeight w:val="438"/>
        </w:trPr>
        <w:tc>
          <w:tcPr>
            <w:tcW w:w="4393" w:type="dxa"/>
          </w:tcPr>
          <w:p w14:paraId="03290AF4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 xml:space="preserve">Confusion, amnesia, other </w:t>
            </w:r>
            <w:proofErr w:type="gramStart"/>
            <w:r w:rsidRPr="00C53C2C">
              <w:rPr>
                <w:color w:val="000000"/>
                <w:sz w:val="16"/>
                <w:szCs w:val="16"/>
              </w:rPr>
              <w:t>symptoms</w:t>
            </w:r>
            <w:proofErr w:type="gramEnd"/>
            <w:r w:rsidRPr="00C53C2C">
              <w:rPr>
                <w:color w:val="000000"/>
                <w:sz w:val="16"/>
                <w:szCs w:val="16"/>
              </w:rPr>
              <w:t xml:space="preserve"> and signs involving cognitive functions and awareness</w:t>
            </w:r>
            <w:r w:rsidRPr="00C53C2C">
              <w:rPr>
                <w:sz w:val="16"/>
                <w:szCs w:val="16"/>
              </w:rPr>
              <w:t xml:space="preserve">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5895D362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-2.4</w:t>
            </w:r>
          </w:p>
        </w:tc>
      </w:tr>
      <w:tr w:rsidR="000B1520" w:rsidRPr="00D227B2" w14:paraId="2A69E960" w14:textId="77777777" w:rsidTr="000A4157">
        <w:trPr>
          <w:trHeight w:val="424"/>
        </w:trPr>
        <w:tc>
          <w:tcPr>
            <w:tcW w:w="4393" w:type="dxa"/>
          </w:tcPr>
          <w:p w14:paraId="24090EC5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Cystitis, </w:t>
            </w:r>
            <w:r w:rsidRPr="00C53C2C">
              <w:rPr>
                <w:color w:val="000000"/>
                <w:sz w:val="16"/>
                <w:szCs w:val="16"/>
              </w:rPr>
              <w:t>discharge diagnosis</w:t>
            </w:r>
            <w:r w:rsidRPr="00C53C2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3" w:type="dxa"/>
          </w:tcPr>
          <w:p w14:paraId="0A884FCC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-2.5</w:t>
            </w:r>
          </w:p>
        </w:tc>
      </w:tr>
      <w:tr w:rsidR="000B1520" w:rsidRPr="00D227B2" w14:paraId="4292AD5E" w14:textId="77777777" w:rsidTr="000A4157">
        <w:trPr>
          <w:trHeight w:val="438"/>
        </w:trPr>
        <w:tc>
          <w:tcPr>
            <w:tcW w:w="4393" w:type="dxa"/>
          </w:tcPr>
          <w:p w14:paraId="3C2ADE6B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 xml:space="preserve">Heart failure, comorbidity </w:t>
            </w:r>
          </w:p>
        </w:tc>
        <w:tc>
          <w:tcPr>
            <w:tcW w:w="2123" w:type="dxa"/>
          </w:tcPr>
          <w:p w14:paraId="53A380D7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-3.7</w:t>
            </w:r>
          </w:p>
        </w:tc>
      </w:tr>
      <w:tr w:rsidR="000B1520" w:rsidRPr="00D227B2" w14:paraId="7E9FCF89" w14:textId="77777777" w:rsidTr="000A4157">
        <w:trPr>
          <w:trHeight w:val="438"/>
        </w:trPr>
        <w:tc>
          <w:tcPr>
            <w:tcW w:w="4393" w:type="dxa"/>
          </w:tcPr>
          <w:p w14:paraId="1011D342" w14:textId="77777777" w:rsidR="000B1520" w:rsidRPr="00C53C2C" w:rsidRDefault="000B1520" w:rsidP="00C2526C">
            <w:pPr>
              <w:widowControl w:val="0"/>
              <w:autoSpaceDE w:val="0"/>
              <w:autoSpaceDN w:val="0"/>
              <w:adjustRightInd w:val="0"/>
              <w:spacing w:before="67" w:after="67"/>
              <w:rPr>
                <w:color w:val="000000"/>
                <w:sz w:val="16"/>
                <w:szCs w:val="16"/>
              </w:rPr>
            </w:pPr>
            <w:r w:rsidRPr="00C53C2C">
              <w:rPr>
                <w:color w:val="000000"/>
                <w:sz w:val="16"/>
                <w:szCs w:val="16"/>
              </w:rPr>
              <w:t>Leukocytes; B (10</w:t>
            </w:r>
            <w:r w:rsidRPr="00C53C2C">
              <w:rPr>
                <w:color w:val="000000"/>
                <w:sz w:val="16"/>
                <w:szCs w:val="16"/>
                <w:vertAlign w:val="superscript"/>
              </w:rPr>
              <w:t>9</w:t>
            </w:r>
            <w:r w:rsidRPr="00C53C2C">
              <w:rPr>
                <w:color w:val="000000"/>
                <w:sz w:val="16"/>
                <w:szCs w:val="16"/>
              </w:rPr>
              <w:t xml:space="preserve">/L) </w:t>
            </w:r>
            <w:r w:rsidRPr="00C53C2C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123" w:type="dxa"/>
          </w:tcPr>
          <w:p w14:paraId="16E231DE" w14:textId="77777777" w:rsidR="000B1520" w:rsidRPr="00C53C2C" w:rsidRDefault="000B1520" w:rsidP="00C2526C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C53C2C">
              <w:rPr>
                <w:sz w:val="16"/>
                <w:szCs w:val="16"/>
              </w:rPr>
              <w:t>-3.9</w:t>
            </w:r>
          </w:p>
        </w:tc>
      </w:tr>
    </w:tbl>
    <w:p w14:paraId="44C96040" w14:textId="25D98B58" w:rsidR="000B1520" w:rsidRDefault="000B1520" w:rsidP="000B1520">
      <w:pPr>
        <w:rPr>
          <w:b/>
          <w:bCs/>
        </w:rPr>
      </w:pPr>
      <w:r>
        <w:rPr>
          <w:b/>
          <w:bCs/>
        </w:rPr>
        <w:br w:type="page"/>
      </w:r>
    </w:p>
    <w:p w14:paraId="594FA078" w14:textId="01581522" w:rsidR="00C3368D" w:rsidRDefault="000B1520" w:rsidP="000B1520">
      <w:pPr>
        <w:rPr>
          <w:szCs w:val="20"/>
        </w:rPr>
      </w:pPr>
      <w:r w:rsidRPr="009C0221">
        <w:rPr>
          <w:b/>
          <w:bCs/>
          <w:i/>
          <w:iCs/>
          <w:sz w:val="28"/>
          <w:szCs w:val="28"/>
        </w:rPr>
        <w:lastRenderedPageBreak/>
        <w:t>Partial dependence plots</w:t>
      </w:r>
      <w:r w:rsidRPr="009C0221">
        <w:rPr>
          <w:b/>
          <w:bCs/>
          <w:i/>
          <w:iCs/>
          <w:sz w:val="28"/>
          <w:szCs w:val="28"/>
        </w:rPr>
        <w:br/>
      </w:r>
      <w:r w:rsidRPr="00D84769">
        <w:rPr>
          <w:szCs w:val="20"/>
        </w:rPr>
        <w:t xml:space="preserve">Calculations </w:t>
      </w:r>
      <w:r>
        <w:rPr>
          <w:szCs w:val="20"/>
        </w:rPr>
        <w:t>do not account for possible variables interactions and assume variable independence</w:t>
      </w:r>
      <w:r w:rsidR="006B6FF1">
        <w:rPr>
          <w:szCs w:val="20"/>
        </w:rPr>
        <w:t xml:space="preserve"> (Figure S2).</w:t>
      </w:r>
      <w:r w:rsidR="00C3368D">
        <w:rPr>
          <w:szCs w:val="20"/>
        </w:rPr>
        <w:br/>
      </w:r>
    </w:p>
    <w:p w14:paraId="3C147D88" w14:textId="77777777" w:rsidR="00C3368D" w:rsidRDefault="00C3368D" w:rsidP="00C3368D">
      <w:pPr>
        <w:widowControl w:val="0"/>
        <w:rPr>
          <w:color w:val="000000" w:themeColor="text1"/>
          <w:szCs w:val="20"/>
        </w:rPr>
      </w:pPr>
      <w:r w:rsidRPr="00D227B2">
        <w:rPr>
          <w:b/>
          <w:bCs/>
          <w:color w:val="000000" w:themeColor="text1"/>
          <w:szCs w:val="20"/>
        </w:rPr>
        <w:t xml:space="preserve">Figure </w:t>
      </w:r>
      <w:r>
        <w:rPr>
          <w:b/>
          <w:bCs/>
          <w:color w:val="000000" w:themeColor="text1"/>
          <w:szCs w:val="20"/>
        </w:rPr>
        <w:t xml:space="preserve">S2 </w:t>
      </w:r>
      <w:r>
        <w:rPr>
          <w:color w:val="000000" w:themeColor="text1"/>
          <w:szCs w:val="20"/>
        </w:rPr>
        <w:t>Partial dependence plots for the 20 variables with greatest variable importance</w:t>
      </w:r>
      <w:r w:rsidRPr="00D227B2">
        <w:rPr>
          <w:color w:val="000000" w:themeColor="text1"/>
          <w:szCs w:val="20"/>
        </w:rPr>
        <w:t>.</w:t>
      </w:r>
      <w:r>
        <w:rPr>
          <w:color w:val="000000" w:themeColor="text1"/>
          <w:szCs w:val="20"/>
        </w:rPr>
        <w:t xml:space="preserve"> Y-axes depict predicted survival (%).</w:t>
      </w:r>
    </w:p>
    <w:p w14:paraId="22943A9F" w14:textId="49616264" w:rsidR="006B6FF1" w:rsidRPr="006B6FF1" w:rsidRDefault="00C3368D" w:rsidP="00721B48">
      <w:pPr>
        <w:widowControl w:val="0"/>
        <w:rPr>
          <w:rFonts w:cs="Arial"/>
          <w:b/>
          <w:bCs/>
          <w:sz w:val="32"/>
          <w:szCs w:val="32"/>
        </w:rPr>
      </w:pPr>
      <w:r>
        <w:rPr>
          <w:noProof/>
          <w:szCs w:val="20"/>
        </w:rPr>
        <w:drawing>
          <wp:inline distT="0" distB="0" distL="0" distR="0" wp14:anchorId="72588CEE" wp14:editId="4A237654">
            <wp:extent cx="4961566" cy="6355976"/>
            <wp:effectExtent l="0" t="0" r="444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060" cy="64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B48" w:rsidRPr="006B6FF1">
        <w:rPr>
          <w:rFonts w:cs="Arial"/>
          <w:b/>
          <w:bCs/>
          <w:sz w:val="32"/>
          <w:szCs w:val="32"/>
        </w:rPr>
        <w:t xml:space="preserve"> </w:t>
      </w:r>
    </w:p>
    <w:sectPr w:rsidR="006B6FF1" w:rsidRPr="006B6FF1" w:rsidSect="00C3368D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3EAD" w14:textId="77777777" w:rsidR="00053A4D" w:rsidRDefault="00053A4D">
      <w:pPr>
        <w:spacing w:line="240" w:lineRule="auto"/>
      </w:pPr>
      <w:r>
        <w:separator/>
      </w:r>
    </w:p>
  </w:endnote>
  <w:endnote w:type="continuationSeparator" w:id="0">
    <w:p w14:paraId="2666535C" w14:textId="77777777" w:rsidR="00053A4D" w:rsidRDefault="00053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5DB0" w14:textId="705D2125" w:rsidR="006C5368" w:rsidRDefault="00AF0CE5" w:rsidP="00FF266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80922">
      <w:rPr>
        <w:rStyle w:val="Sidetal"/>
        <w:noProof/>
      </w:rPr>
      <w:t>22</w:t>
    </w:r>
    <w:r>
      <w:rPr>
        <w:rStyle w:val="Sidetal"/>
      </w:rPr>
      <w:fldChar w:fldCharType="end"/>
    </w:r>
  </w:p>
  <w:p w14:paraId="5B8729BD" w14:textId="77777777" w:rsidR="006C5368" w:rsidRDefault="000000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9D22" w14:textId="77777777" w:rsidR="006C5368" w:rsidRDefault="00053A4D" w:rsidP="00FF2660">
    <w:pPr>
      <w:pStyle w:val="Sidefod"/>
      <w:framePr w:wrap="around" w:vAnchor="text" w:hAnchor="margin" w:xAlign="center" w:y="1"/>
      <w:rPr>
        <w:rStyle w:val="Sidetal"/>
      </w:rPr>
    </w:pPr>
    <w:r>
      <w:rPr>
        <w:noProof/>
      </w:rPr>
      <w:pict w14:anchorId="56E966B8">
        <v:shapetype id="_x0000_t202" coordsize="21600,21600" o:spt="202" path="m,l,21600r21600,l21600,xe">
          <v:stroke joinstyle="miter"/>
          <v:path gradientshapeok="t" o:connecttype="rect"/>
        </v:shapetype>
        <v:shape id="Tekstfelt 2" o:spid="_x0000_s1026" type="#_x0000_t202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" o:allowincell="f" filled="f" stroked="f">
          <o:lock v:ext="edit" aspectratio="t" verticies="t" text="t" shapetype="t"/>
          <v:textbox inset="20pt,0,,0">
            <w:txbxContent>
              <w:p w14:paraId="3E556F43" w14:textId="77777777" w:rsidR="00740F67" w:rsidRPr="00740F67" w:rsidRDefault="00AF0CE5" w:rsidP="00740F67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740F67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 w:rsidR="002D7B9C">
      <w:rPr>
        <w:rStyle w:val="Sidetal"/>
      </w:rPr>
      <w:fldChar w:fldCharType="begin"/>
    </w:r>
    <w:r w:rsidR="002D7B9C">
      <w:rPr>
        <w:rStyle w:val="Sidetal"/>
      </w:rPr>
      <w:instrText xml:space="preserve">PAGE  </w:instrText>
    </w:r>
    <w:r w:rsidR="002D7B9C">
      <w:rPr>
        <w:rStyle w:val="Sidetal"/>
      </w:rPr>
      <w:fldChar w:fldCharType="separate"/>
    </w:r>
    <w:r w:rsidR="002D7B9C">
      <w:rPr>
        <w:rStyle w:val="Sidetal"/>
        <w:noProof/>
      </w:rPr>
      <w:t>5</w:t>
    </w:r>
    <w:r w:rsidR="002D7B9C">
      <w:rPr>
        <w:rStyle w:val="Sidetal"/>
      </w:rPr>
      <w:fldChar w:fldCharType="end"/>
    </w:r>
  </w:p>
  <w:p w14:paraId="594A14F7" w14:textId="77777777" w:rsidR="006C5368" w:rsidRDefault="0000000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3DBD" w14:textId="77777777" w:rsidR="00740F67" w:rsidRDefault="00053A4D">
    <w:pPr>
      <w:pStyle w:val="Sidefod"/>
    </w:pPr>
    <w:r>
      <w:rPr>
        <w:noProof/>
      </w:rPr>
      <w:pict w14:anchorId="320F5B48">
        <v:shapetype id="_x0000_t202" coordsize="21600,21600" o:spt="202" path="m,l,21600r21600,l21600,xe">
          <v:stroke joinstyle="miter"/>
          <v:path gradientshapeok="t" o:connecttype="rect"/>
        </v:shapetype>
        <v:shape id="MSIPCM71df4afb82ef22201046dfa6" o:spid="_x0000_s1025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allowincell="f" filled="f" stroked="f">
          <o:lock v:ext="edit" aspectratio="t" verticies="t" text="t" shapetype="t"/>
          <v:textbox inset="20pt,0,,0">
            <w:txbxContent>
              <w:p w14:paraId="2A837112" w14:textId="77777777" w:rsidR="00740F67" w:rsidRPr="00740F67" w:rsidRDefault="00AF0CE5" w:rsidP="00740F67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740F67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A1B7" w14:textId="77777777" w:rsidR="00053A4D" w:rsidRDefault="00053A4D">
      <w:pPr>
        <w:spacing w:line="240" w:lineRule="auto"/>
      </w:pPr>
      <w:r>
        <w:separator/>
      </w:r>
    </w:p>
  </w:footnote>
  <w:footnote w:type="continuationSeparator" w:id="0">
    <w:p w14:paraId="6670D93D" w14:textId="77777777" w:rsidR="00053A4D" w:rsidRDefault="00053A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38C"/>
    <w:multiLevelType w:val="hybridMultilevel"/>
    <w:tmpl w:val="DB58410A"/>
    <w:lvl w:ilvl="0" w:tplc="0406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37EE8"/>
    <w:multiLevelType w:val="hybridMultilevel"/>
    <w:tmpl w:val="CDD4BD08"/>
    <w:lvl w:ilvl="0" w:tplc="908028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74FFF"/>
    <w:multiLevelType w:val="hybridMultilevel"/>
    <w:tmpl w:val="34842698"/>
    <w:lvl w:ilvl="0" w:tplc="47F843AA">
      <w:start w:val="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1478"/>
    <w:multiLevelType w:val="hybridMultilevel"/>
    <w:tmpl w:val="85ACA93C"/>
    <w:lvl w:ilvl="0" w:tplc="0406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51232"/>
    <w:multiLevelType w:val="hybridMultilevel"/>
    <w:tmpl w:val="A9407F52"/>
    <w:lvl w:ilvl="0" w:tplc="E3D26B7A">
      <w:start w:val="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670">
    <w:abstractNumId w:val="1"/>
  </w:num>
  <w:num w:numId="2" w16cid:durableId="1495874420">
    <w:abstractNumId w:val="4"/>
  </w:num>
  <w:num w:numId="3" w16cid:durableId="560793986">
    <w:abstractNumId w:val="0"/>
  </w:num>
  <w:num w:numId="4" w16cid:durableId="2086368567">
    <w:abstractNumId w:val="5"/>
  </w:num>
  <w:num w:numId="5" w16cid:durableId="1400131895">
    <w:abstractNumId w:val="6"/>
  </w:num>
  <w:num w:numId="6" w16cid:durableId="563376760">
    <w:abstractNumId w:val="3"/>
  </w:num>
  <w:num w:numId="7" w16cid:durableId="115195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40"/>
    <w:rsid w:val="000503DD"/>
    <w:rsid w:val="00053A4D"/>
    <w:rsid w:val="00081AE7"/>
    <w:rsid w:val="000A0FB0"/>
    <w:rsid w:val="000A4157"/>
    <w:rsid w:val="000B1520"/>
    <w:rsid w:val="000D2580"/>
    <w:rsid w:val="000F63AF"/>
    <w:rsid w:val="00121FAA"/>
    <w:rsid w:val="00135D47"/>
    <w:rsid w:val="00142420"/>
    <w:rsid w:val="001822E4"/>
    <w:rsid w:val="00196C90"/>
    <w:rsid w:val="001D3EFA"/>
    <w:rsid w:val="001E328C"/>
    <w:rsid w:val="0020323B"/>
    <w:rsid w:val="00263BA5"/>
    <w:rsid w:val="0027194A"/>
    <w:rsid w:val="002A06DC"/>
    <w:rsid w:val="002A5ADD"/>
    <w:rsid w:val="002B6669"/>
    <w:rsid w:val="002D0E11"/>
    <w:rsid w:val="002D7B9C"/>
    <w:rsid w:val="002F18C5"/>
    <w:rsid w:val="00304712"/>
    <w:rsid w:val="00314C33"/>
    <w:rsid w:val="003561B4"/>
    <w:rsid w:val="00366458"/>
    <w:rsid w:val="00382E29"/>
    <w:rsid w:val="003A2A25"/>
    <w:rsid w:val="003C3B43"/>
    <w:rsid w:val="003D5D47"/>
    <w:rsid w:val="003F0964"/>
    <w:rsid w:val="00443759"/>
    <w:rsid w:val="00480922"/>
    <w:rsid w:val="00496681"/>
    <w:rsid w:val="0049681E"/>
    <w:rsid w:val="004B02D1"/>
    <w:rsid w:val="004B4DB8"/>
    <w:rsid w:val="004E12DF"/>
    <w:rsid w:val="0050723D"/>
    <w:rsid w:val="00537BD9"/>
    <w:rsid w:val="00566D94"/>
    <w:rsid w:val="00572ADC"/>
    <w:rsid w:val="005E1F61"/>
    <w:rsid w:val="005F4ED5"/>
    <w:rsid w:val="00631E89"/>
    <w:rsid w:val="006B6FF1"/>
    <w:rsid w:val="006F4D6C"/>
    <w:rsid w:val="0071127D"/>
    <w:rsid w:val="00711470"/>
    <w:rsid w:val="00721B48"/>
    <w:rsid w:val="0073588A"/>
    <w:rsid w:val="007577D1"/>
    <w:rsid w:val="0076467B"/>
    <w:rsid w:val="00776B13"/>
    <w:rsid w:val="007906A8"/>
    <w:rsid w:val="007B6EE8"/>
    <w:rsid w:val="007C02E4"/>
    <w:rsid w:val="007E5E0D"/>
    <w:rsid w:val="007F4A79"/>
    <w:rsid w:val="0083254E"/>
    <w:rsid w:val="00854973"/>
    <w:rsid w:val="00865715"/>
    <w:rsid w:val="00873848"/>
    <w:rsid w:val="00896465"/>
    <w:rsid w:val="008A1C09"/>
    <w:rsid w:val="008B3C4D"/>
    <w:rsid w:val="008F15C6"/>
    <w:rsid w:val="00931775"/>
    <w:rsid w:val="00946FCA"/>
    <w:rsid w:val="009515E7"/>
    <w:rsid w:val="009516D2"/>
    <w:rsid w:val="00981E19"/>
    <w:rsid w:val="00985B09"/>
    <w:rsid w:val="009924F8"/>
    <w:rsid w:val="009C0221"/>
    <w:rsid w:val="009D265E"/>
    <w:rsid w:val="009D6BE0"/>
    <w:rsid w:val="009E69FC"/>
    <w:rsid w:val="009F01F3"/>
    <w:rsid w:val="00A0381B"/>
    <w:rsid w:val="00A11646"/>
    <w:rsid w:val="00A15570"/>
    <w:rsid w:val="00A16AD1"/>
    <w:rsid w:val="00A35749"/>
    <w:rsid w:val="00A468BA"/>
    <w:rsid w:val="00A640BE"/>
    <w:rsid w:val="00A74074"/>
    <w:rsid w:val="00AA3973"/>
    <w:rsid w:val="00AB5D84"/>
    <w:rsid w:val="00AC0B8A"/>
    <w:rsid w:val="00AE4FE8"/>
    <w:rsid w:val="00AE6F63"/>
    <w:rsid w:val="00AE7FE1"/>
    <w:rsid w:val="00AF0CE5"/>
    <w:rsid w:val="00B05331"/>
    <w:rsid w:val="00B072CA"/>
    <w:rsid w:val="00B073F8"/>
    <w:rsid w:val="00B9588F"/>
    <w:rsid w:val="00BB1D90"/>
    <w:rsid w:val="00BD6741"/>
    <w:rsid w:val="00BE4E66"/>
    <w:rsid w:val="00BE5481"/>
    <w:rsid w:val="00C0047E"/>
    <w:rsid w:val="00C13B6F"/>
    <w:rsid w:val="00C3368D"/>
    <w:rsid w:val="00C555EE"/>
    <w:rsid w:val="00C75D40"/>
    <w:rsid w:val="00C85BC3"/>
    <w:rsid w:val="00D03827"/>
    <w:rsid w:val="00D35C99"/>
    <w:rsid w:val="00D63002"/>
    <w:rsid w:val="00D934F6"/>
    <w:rsid w:val="00DB7307"/>
    <w:rsid w:val="00DD1ECE"/>
    <w:rsid w:val="00E27767"/>
    <w:rsid w:val="00ED5729"/>
    <w:rsid w:val="00ED7D81"/>
    <w:rsid w:val="00EF2572"/>
    <w:rsid w:val="00F24212"/>
    <w:rsid w:val="00F502C8"/>
    <w:rsid w:val="00FB13CD"/>
    <w:rsid w:val="00FC632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72C46"/>
  <w15:chartTrackingRefBased/>
  <w15:docId w15:val="{72E6E5E2-B796-E44A-8673-2E162F64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40"/>
    <w:pPr>
      <w:spacing w:line="480" w:lineRule="auto"/>
    </w:pPr>
    <w:rPr>
      <w:rFonts w:ascii="Arial" w:eastAsia="Times New Roman" w:hAnsi="Arial" w:cs="Times New Roman"/>
      <w:sz w:val="20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C75D4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75D4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75D4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75D4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rsid w:val="00C75D4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Overskrift3Tegn">
    <w:name w:val="Overskrift 3 Tegn"/>
    <w:basedOn w:val="Standardskrifttypeiafsnit"/>
    <w:link w:val="Overskrift3"/>
    <w:rsid w:val="00C75D40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Sidefod">
    <w:name w:val="footer"/>
    <w:basedOn w:val="Normal"/>
    <w:link w:val="SidefodTegn"/>
    <w:uiPriority w:val="99"/>
    <w:rsid w:val="00C75D40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75D40"/>
    <w:rPr>
      <w:rFonts w:ascii="Arial" w:eastAsia="Times New Roman" w:hAnsi="Arial" w:cs="Times New Roman"/>
      <w:sz w:val="20"/>
      <w:lang w:val="en-US"/>
    </w:rPr>
  </w:style>
  <w:style w:type="character" w:styleId="Sidetal">
    <w:name w:val="page number"/>
    <w:basedOn w:val="Standardskrifttypeiafsnit"/>
    <w:uiPriority w:val="99"/>
    <w:rsid w:val="00C75D40"/>
  </w:style>
  <w:style w:type="character" w:styleId="Hyperlink">
    <w:name w:val="Hyperlink"/>
    <w:uiPriority w:val="99"/>
    <w:rsid w:val="00C75D40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C75D40"/>
  </w:style>
  <w:style w:type="paragraph" w:styleId="NormalWeb">
    <w:name w:val="Normal (Web)"/>
    <w:basedOn w:val="Normal"/>
    <w:uiPriority w:val="99"/>
    <w:unhideWhenUsed/>
    <w:rsid w:val="00C75D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a-DK" w:eastAsia="da-DK"/>
    </w:rPr>
  </w:style>
  <w:style w:type="paragraph" w:customStyle="1" w:styleId="EndNoteBibliographyTitle">
    <w:name w:val="EndNote Bibliography Title"/>
    <w:basedOn w:val="Normal"/>
    <w:link w:val="EndNoteBibliographyTitleTegn"/>
    <w:rsid w:val="00C75D40"/>
    <w:pPr>
      <w:spacing w:line="240" w:lineRule="auto"/>
      <w:jc w:val="center"/>
    </w:pPr>
    <w:rPr>
      <w:rFonts w:ascii="Calibri" w:eastAsiaTheme="minorHAnsi" w:hAnsi="Calibri" w:cs="Calibri"/>
      <w:sz w:val="24"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C75D40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C75D40"/>
    <w:pPr>
      <w:spacing w:line="240" w:lineRule="auto"/>
    </w:pPr>
    <w:rPr>
      <w:rFonts w:ascii="Calibri" w:eastAsiaTheme="minorHAnsi" w:hAnsi="Calibri" w:cs="Calibri"/>
      <w:sz w:val="24"/>
    </w:rPr>
  </w:style>
  <w:style w:type="character" w:customStyle="1" w:styleId="EndNoteBibliographyTegn">
    <w:name w:val="EndNote Bibliography Tegn"/>
    <w:basedOn w:val="Standardskrifttypeiafsnit"/>
    <w:link w:val="EndNoteBibliography"/>
    <w:rsid w:val="00C75D40"/>
    <w:rPr>
      <w:rFonts w:ascii="Calibri" w:hAnsi="Calibri" w:cs="Calibri"/>
      <w:lang w:val="en-US"/>
    </w:rPr>
  </w:style>
  <w:style w:type="table" w:styleId="Tabel-Gitter">
    <w:name w:val="Table Grid"/>
    <w:basedOn w:val="Tabel-Normal"/>
    <w:uiPriority w:val="39"/>
    <w:rsid w:val="00C7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C75D4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C75D40"/>
    <w:rPr>
      <w:color w:val="954F72" w:themeColor="followedHyperlink"/>
      <w:u w:val="single"/>
    </w:rPr>
  </w:style>
  <w:style w:type="character" w:styleId="Fremhv">
    <w:name w:val="Emphasis"/>
    <w:basedOn w:val="Standardskrifttypeiafsnit"/>
    <w:uiPriority w:val="20"/>
    <w:qFormat/>
    <w:rsid w:val="00C75D40"/>
    <w:rPr>
      <w:i/>
      <w:iCs/>
    </w:rPr>
  </w:style>
  <w:style w:type="character" w:customStyle="1" w:styleId="apple-converted-space">
    <w:name w:val="apple-converted-space"/>
    <w:basedOn w:val="Standardskrifttypeiafsnit"/>
    <w:rsid w:val="00C75D40"/>
  </w:style>
  <w:style w:type="character" w:styleId="Kommentarhenvisning">
    <w:name w:val="annotation reference"/>
    <w:basedOn w:val="Standardskrifttypeiafsnit"/>
    <w:uiPriority w:val="99"/>
    <w:semiHidden/>
    <w:unhideWhenUsed/>
    <w:rsid w:val="00C75D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5D40"/>
    <w:pPr>
      <w:spacing w:line="240" w:lineRule="auto"/>
    </w:pPr>
    <w:rPr>
      <w:rFonts w:ascii="Times New Roman" w:hAnsi="Times New Roman"/>
      <w:szCs w:val="20"/>
      <w:lang w:val="da-DK"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5D4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5D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5D4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5D40"/>
    <w:pPr>
      <w:spacing w:line="240" w:lineRule="auto"/>
    </w:pPr>
    <w:rPr>
      <w:rFonts w:ascii="Segoe UI" w:hAnsi="Segoe UI" w:cs="Segoe UI"/>
      <w:sz w:val="18"/>
      <w:szCs w:val="18"/>
      <w:lang w:val="da-DK"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5D40"/>
    <w:rPr>
      <w:rFonts w:ascii="Segoe UI" w:eastAsia="Times New Roman" w:hAnsi="Segoe UI" w:cs="Segoe UI"/>
      <w:sz w:val="18"/>
      <w:szCs w:val="18"/>
      <w:lang w:eastAsia="da-DK"/>
    </w:rPr>
  </w:style>
  <w:style w:type="paragraph" w:styleId="Korrektur">
    <w:name w:val="Revision"/>
    <w:hidden/>
    <w:uiPriority w:val="99"/>
    <w:semiHidden/>
    <w:rsid w:val="00C75D40"/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C75D40"/>
    <w:pPr>
      <w:spacing w:line="240" w:lineRule="auto"/>
      <w:ind w:left="720"/>
      <w:contextualSpacing/>
    </w:pPr>
    <w:rPr>
      <w:rFonts w:ascii="Times New Roman" w:hAnsi="Times New Roman"/>
      <w:sz w:val="24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C75D40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lang w:val="da-DK"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C75D40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71A2-0718-4A36-AC01-5C6281EB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3180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Lærke Kjær Heltø</dc:creator>
  <cp:keywords/>
  <dc:description/>
  <cp:lastModifiedBy>Amalia Lærke Kjær Heltø</cp:lastModifiedBy>
  <cp:revision>2</cp:revision>
  <dcterms:created xsi:type="dcterms:W3CDTF">2023-03-31T09:11:00Z</dcterms:created>
  <dcterms:modified xsi:type="dcterms:W3CDTF">2023-03-31T09:11:00Z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2023-03-29T01:37:34Z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1a33375d-8f9a-452e-9ed5-0f387e24e860</vt:lpwstr>
  </property>
  <property fmtid="{D5CDD505-2E9C-101B-9397-08002B2CF9AE}" pid="8" name="MSIP_Label_2bbab825-a111-45e4-86a1-18cee0005896_ContentBits">
    <vt:lpwstr>2</vt:lpwstr>
  </property>
</Properties>
</file>