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39DCE" w14:textId="01EDDC24" w:rsidR="00725C85" w:rsidRDefault="00725C85" w:rsidP="00725C85">
      <w:pPr>
        <w:keepNext/>
        <w:keepLines/>
        <w:pageBreakBefore/>
        <w:spacing w:before="240" w:after="0" w:line="480" w:lineRule="auto"/>
        <w:ind w:left="578" w:hanging="578"/>
        <w:jc w:val="both"/>
        <w:outlineLvl w:val="1"/>
        <w:rPr>
          <w:rFonts w:ascii="Times New Roman" w:eastAsia="Arial Unicode MS" w:hAnsi="Times New Roman" w:cs="Georgia"/>
          <w:b/>
          <w:bCs/>
          <w:i/>
          <w:iCs/>
          <w:sz w:val="24"/>
          <w:szCs w:val="24"/>
          <w:lang w:eastAsia="en-GB"/>
        </w:rPr>
      </w:pPr>
      <w:bookmarkStart w:id="0" w:name="_Toc119418786"/>
      <w:r w:rsidRPr="00725C85">
        <w:rPr>
          <w:rFonts w:ascii="Times New Roman" w:eastAsia="Arial Unicode MS" w:hAnsi="Times New Roman" w:cs="Georgia"/>
          <w:b/>
          <w:bCs/>
          <w:i/>
          <w:iCs/>
          <w:sz w:val="24"/>
          <w:szCs w:val="24"/>
          <w:lang w:eastAsia="en-GB"/>
        </w:rPr>
        <w:t>Supplementary Materials</w:t>
      </w:r>
      <w:bookmarkEnd w:id="0"/>
    </w:p>
    <w:p w14:paraId="617B83E4" w14:textId="77777777" w:rsidR="00CE5ED9" w:rsidRPr="002F5929" w:rsidRDefault="00CE5ED9" w:rsidP="00CE5ED9">
      <w:pPr>
        <w:keepNext/>
        <w:numPr>
          <w:ilvl w:val="2"/>
          <w:numId w:val="0"/>
        </w:numPr>
        <w:suppressAutoHyphens/>
        <w:spacing w:before="240" w:line="480" w:lineRule="auto"/>
        <w:ind w:left="720" w:hanging="720"/>
        <w:jc w:val="both"/>
        <w:outlineLvl w:val="2"/>
        <w:rPr>
          <w:rFonts w:ascii="Times New Roman" w:eastAsia="Helvetica Neue" w:hAnsi="Times New Roman" w:cs="Helvetica Neue"/>
          <w:b/>
          <w:bCs/>
          <w:i/>
          <w:iCs/>
          <w:sz w:val="24"/>
        </w:rPr>
      </w:pPr>
      <w:bookmarkStart w:id="1" w:name="_Toc123"/>
      <w:bookmarkStart w:id="2" w:name="_Toc117594668"/>
      <w:bookmarkStart w:id="3" w:name="_Toc119418736"/>
      <w:r w:rsidRPr="002F5929">
        <w:rPr>
          <w:rFonts w:ascii="Times New Roman" w:eastAsia="Helvetica Neue" w:hAnsi="Times New Roman" w:cs="Helvetica Neue"/>
          <w:b/>
          <w:bCs/>
          <w:i/>
          <w:iCs/>
          <w:sz w:val="24"/>
        </w:rPr>
        <w:t>Effect of independent variables on response variables</w:t>
      </w:r>
      <w:bookmarkEnd w:id="1"/>
      <w:bookmarkEnd w:id="2"/>
      <w:bookmarkEnd w:id="3"/>
    </w:p>
    <w:p w14:paraId="6EBCE72F" w14:textId="46A5E271" w:rsidR="00CE5ED9" w:rsidRPr="002F592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Optimal mixture designs are straight optimisations based on a chosen criterion and the model fit. Table </w:t>
      </w:r>
      <w:r>
        <w:rPr>
          <w:rFonts w:ascii="Times New Roman" w:eastAsia="Helvetica Neue" w:hAnsi="Times New Roman" w:cs="TimesNewRomanPSMT"/>
          <w:sz w:val="24"/>
          <w:szCs w:val="24"/>
        </w:rPr>
        <w:t>2</w:t>
      </w:r>
      <w:r w:rsidRPr="002F5929">
        <w:rPr>
          <w:rFonts w:ascii="Times New Roman" w:eastAsia="Helvetica Neue" w:hAnsi="Times New Roman" w:cs="TimesNewRomanPSMT"/>
          <w:sz w:val="24"/>
          <w:szCs w:val="24"/>
        </w:rPr>
        <w:t xml:space="preserve"> shows that the maximum droplet size was 112.67 nm, where the PDI value was 0.65 (run 1). The actual droplet size values mainly agreed with the predicted values (Figure </w:t>
      </w:r>
      <w:r w:rsidR="00214C24">
        <w:rPr>
          <w:rFonts w:ascii="Times New Roman" w:eastAsia="Helvetica Neue" w:hAnsi="Times New Roman" w:cs="TimesNewRomanPSMT"/>
          <w:sz w:val="24"/>
          <w:szCs w:val="24"/>
        </w:rPr>
        <w:t>S1</w:t>
      </w:r>
      <w:r w:rsidR="000911F9">
        <w:rPr>
          <w:rFonts w:ascii="Times New Roman" w:eastAsia="Helvetica Neue" w:hAnsi="Times New Roman" w:cs="TimesNewRomanPSMT"/>
          <w:sz w:val="24"/>
          <w:szCs w:val="24"/>
        </w:rPr>
        <w:t>-a</w:t>
      </w:r>
      <w:r w:rsidRPr="002F5929">
        <w:rPr>
          <w:rFonts w:ascii="Times New Roman" w:eastAsia="Helvetica Neue" w:hAnsi="Times New Roman" w:cs="TimesNewRomanPSMT"/>
          <w:sz w:val="24"/>
          <w:szCs w:val="24"/>
        </w:rPr>
        <w:t>). The final model determined to predict the droplet size and PDI value of CTNE in terms of the actual factors of mixture components can be expressed by the following quadratic equations:</w:t>
      </w:r>
    </w:p>
    <w:p w14:paraId="5FFDEB7C" w14:textId="77777777" w:rsidR="00CE5ED9" w:rsidRPr="002F5929" w:rsidRDefault="00CE5ED9" w:rsidP="00CE5ED9">
      <w:pPr>
        <w:keepNext/>
        <w:tabs>
          <w:tab w:val="center" w:pos="4536"/>
          <w:tab w:val="right" w:pos="9026"/>
        </w:tabs>
        <w:spacing w:line="240" w:lineRule="auto"/>
        <w:jc w:val="both"/>
        <w:rPr>
          <w:rFonts w:ascii="Cambria Math" w:eastAsia="Times New Roman" w:hAnsi="Cambria Math" w:cs="Helvetica Neue"/>
          <w:sz w:val="24"/>
        </w:rPr>
      </w:pPr>
      <m:oMathPara>
        <m:oMathParaPr>
          <m:jc m:val="center"/>
        </m:oMathParaPr>
        <m:oMath>
          <m:r>
            <w:rPr>
              <w:rFonts w:ascii="Cambria Math" w:eastAsia="Times New Roman" w:hAnsi="Cambria Math" w:cs="Helvetica Neue"/>
              <w:color w:val="000000"/>
              <w:sz w:val="24"/>
            </w:rPr>
            <m:t>Size=+1962.81A+75.65B+78.79C-2700.59AB-2268.16AC-224.00BC+735.86ABC</m:t>
          </m:r>
        </m:oMath>
      </m:oMathPara>
    </w:p>
    <w:p w14:paraId="2B3FE62A" w14:textId="7646C31D" w:rsidR="00CE5ED9" w:rsidRPr="002F5929" w:rsidRDefault="00CE5ED9" w:rsidP="00CE5ED9">
      <w:pPr>
        <w:suppressAutoHyphens/>
        <w:spacing w:after="240" w:line="480" w:lineRule="auto"/>
        <w:ind w:firstLine="7938"/>
        <w:contextualSpacing/>
        <w:jc w:val="both"/>
        <w:rPr>
          <w:rFonts w:ascii="Times New Roman" w:eastAsia="Helvetica Neue" w:hAnsi="Times New Roman" w:cs="TimesNewRomanPSMT"/>
          <w:sz w:val="20"/>
          <w:szCs w:val="20"/>
          <w:u w:color="000000"/>
        </w:rPr>
      </w:pPr>
      <w:r w:rsidRPr="002F5929">
        <w:rPr>
          <w:rFonts w:ascii="Times New Roman" w:eastAsia="Helvetica Neue" w:hAnsi="Times New Roman" w:cs="TimesNewRomanPSMT"/>
          <w:sz w:val="20"/>
          <w:szCs w:val="20"/>
          <w:u w:color="000000"/>
        </w:rPr>
        <w:t xml:space="preserve">Eq. </w:t>
      </w:r>
      <w:r w:rsidR="00C211FB">
        <w:rPr>
          <w:rFonts w:ascii="Times New Roman" w:eastAsia="Helvetica Neue" w:hAnsi="Times New Roman" w:cs="TimesNewRomanPSMT"/>
          <w:sz w:val="20"/>
          <w:szCs w:val="20"/>
          <w:u w:color="000000"/>
        </w:rPr>
        <w:t>S</w:t>
      </w:r>
      <w:r>
        <w:rPr>
          <w:rFonts w:ascii="Times New Roman" w:eastAsia="Helvetica Neue" w:hAnsi="Times New Roman" w:cs="TimesNewRomanPSMT"/>
          <w:sz w:val="20"/>
          <w:szCs w:val="20"/>
          <w:u w:color="000000"/>
        </w:rPr>
        <w:t>1</w:t>
      </w:r>
    </w:p>
    <w:p w14:paraId="4D6DA53C" w14:textId="77777777" w:rsidR="00CE5ED9" w:rsidRPr="002F5929" w:rsidRDefault="00CE5ED9" w:rsidP="00CE5ED9">
      <w:pPr>
        <w:keepNext/>
        <w:tabs>
          <w:tab w:val="center" w:pos="4536"/>
          <w:tab w:val="right" w:pos="9026"/>
        </w:tabs>
        <w:spacing w:line="240" w:lineRule="auto"/>
        <w:jc w:val="both"/>
        <w:rPr>
          <w:rFonts w:ascii="Times New Roman" w:eastAsia="Times New Roman" w:hAnsi="Times New Roman" w:cs="Helvetica Neue"/>
          <w:sz w:val="24"/>
        </w:rPr>
      </w:pPr>
      <m:oMathPara>
        <m:oMathParaPr>
          <m:jc m:val="center"/>
        </m:oMathParaPr>
        <m:oMath>
          <m:r>
            <w:rPr>
              <w:rFonts w:ascii="Cambria Math" w:eastAsia="Times New Roman" w:hAnsi="Cambria Math" w:cs="Helvetica Neue"/>
              <w:color w:val="000000"/>
              <w:sz w:val="24"/>
            </w:rPr>
            <m:t>PDI=+38.69A-0.06B+0.58C-65.50AB-57.56AC+0.08BC+44.24ABC-30.90AB(A-B)-15.33AC(A-C</m:t>
          </m:r>
          <m:r>
            <w:rPr>
              <w:rFonts w:ascii="Cambria Math" w:eastAsia="Times New Roman" w:hAnsi="Cambria Math" w:cs="Helvetica Neue"/>
              <w:sz w:val="24"/>
            </w:rPr>
            <m:t>) +</m:t>
          </m:r>
          <m:r>
            <w:rPr>
              <w:rFonts w:ascii="Cambria Math" w:eastAsia="Times New Roman" w:hAnsi="Cambria Math" w:cs="Helvetica Neue"/>
              <w:color w:val="000000"/>
              <w:sz w:val="24"/>
            </w:rPr>
            <m:t>0.48BC(B-C)</m:t>
          </m:r>
        </m:oMath>
      </m:oMathPara>
    </w:p>
    <w:p w14:paraId="0268CFAF" w14:textId="13B8216E" w:rsidR="00CE5ED9" w:rsidRPr="002F5929" w:rsidRDefault="00CE5ED9" w:rsidP="00CE5ED9">
      <w:pPr>
        <w:suppressAutoHyphens/>
        <w:spacing w:after="240" w:line="480" w:lineRule="auto"/>
        <w:ind w:firstLine="7938"/>
        <w:contextualSpacing/>
        <w:jc w:val="both"/>
        <w:rPr>
          <w:rFonts w:ascii="Times New Roman" w:eastAsia="Helvetica Neue" w:hAnsi="Times New Roman" w:cs="TimesNewRomanPSMT"/>
          <w:sz w:val="20"/>
          <w:szCs w:val="20"/>
          <w:u w:color="000000"/>
        </w:rPr>
      </w:pPr>
      <w:r w:rsidRPr="002F5929">
        <w:rPr>
          <w:rFonts w:ascii="Times New Roman" w:eastAsia="Helvetica Neue" w:hAnsi="Times New Roman" w:cs="TimesNewRomanPSMT"/>
          <w:sz w:val="20"/>
          <w:szCs w:val="20"/>
          <w:u w:color="000000"/>
        </w:rPr>
        <w:t xml:space="preserve">Eq. </w:t>
      </w:r>
      <w:r w:rsidR="00C211FB">
        <w:rPr>
          <w:rFonts w:ascii="Times New Roman" w:eastAsia="Helvetica Neue" w:hAnsi="Times New Roman" w:cs="TimesNewRomanPSMT"/>
          <w:sz w:val="20"/>
          <w:szCs w:val="20"/>
          <w:u w:color="000000"/>
        </w:rPr>
        <w:t>S</w:t>
      </w:r>
      <w:r>
        <w:rPr>
          <w:rFonts w:ascii="Times New Roman" w:eastAsia="Helvetica Neue" w:hAnsi="Times New Roman" w:cs="TimesNewRomanPSMT"/>
          <w:sz w:val="20"/>
          <w:szCs w:val="20"/>
          <w:u w:color="000000"/>
        </w:rPr>
        <w:t>2</w:t>
      </w:r>
    </w:p>
    <w:p w14:paraId="09F41ABC" w14:textId="77777777" w:rsidR="00CE5ED9" w:rsidRPr="002F592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where </w:t>
      </w:r>
      <w:r w:rsidRPr="002F5929">
        <w:rPr>
          <w:rFonts w:ascii="Times New Roman" w:eastAsia="Helvetica Neue" w:hAnsi="Times New Roman" w:cs="TimesNewRomanPSMT"/>
          <w:i/>
          <w:sz w:val="24"/>
          <w:szCs w:val="24"/>
        </w:rPr>
        <w:t>A</w:t>
      </w:r>
      <w:r w:rsidRPr="002F5929">
        <w:rPr>
          <w:rFonts w:ascii="Times New Roman" w:eastAsia="Helvetica Neue" w:hAnsi="Times New Roman" w:cs="TimesNewRomanPSMT"/>
          <w:sz w:val="24"/>
          <w:szCs w:val="24"/>
        </w:rPr>
        <w:t xml:space="preserve">(CSO), </w:t>
      </w:r>
      <w:r w:rsidRPr="002F5929">
        <w:rPr>
          <w:rFonts w:ascii="Times New Roman" w:eastAsia="Helvetica Neue" w:hAnsi="Times New Roman" w:cs="TimesNewRomanPSMT"/>
          <w:i/>
          <w:sz w:val="24"/>
          <w:szCs w:val="24"/>
        </w:rPr>
        <w:t>B</w:t>
      </w:r>
      <w:r w:rsidRPr="002F5929">
        <w:rPr>
          <w:rFonts w:ascii="Times New Roman" w:eastAsia="Helvetica Neue" w:hAnsi="Times New Roman" w:cs="TimesNewRomanPSMT"/>
          <w:sz w:val="24"/>
          <w:szCs w:val="24"/>
        </w:rPr>
        <w:t xml:space="preserve"> (Tween 80), and </w:t>
      </w:r>
      <w:r w:rsidRPr="002F5929">
        <w:rPr>
          <w:rFonts w:ascii="Times New Roman" w:eastAsia="Helvetica Neue" w:hAnsi="Times New Roman" w:cs="TimesNewRomanPSMT"/>
          <w:i/>
          <w:sz w:val="24"/>
          <w:szCs w:val="24"/>
        </w:rPr>
        <w:t>C</w:t>
      </w:r>
      <w:r w:rsidRPr="002F5929">
        <w:rPr>
          <w:rFonts w:ascii="Times New Roman" w:eastAsia="Helvetica Neue" w:hAnsi="Times New Roman" w:cs="TimesNewRomanPSMT"/>
          <w:sz w:val="24"/>
          <w:szCs w:val="24"/>
        </w:rPr>
        <w:t xml:space="preserve"> (TSWE: HPW) </w:t>
      </w:r>
    </w:p>
    <w:p w14:paraId="74B24D93" w14:textId="77777777" w:rsidR="00CE5ED9" w:rsidRPr="002F5929" w:rsidRDefault="00CE5ED9" w:rsidP="00CE5ED9">
      <w:pPr>
        <w:suppressAutoHyphens/>
        <w:spacing w:before="360" w:after="240" w:line="480" w:lineRule="auto"/>
        <w:ind w:firstLine="720"/>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Statistical analysis of the models obtained is summarised in Table </w:t>
      </w:r>
      <w:r>
        <w:rPr>
          <w:rFonts w:ascii="Times New Roman" w:eastAsia="Helvetica Neue" w:hAnsi="Times New Roman" w:cs="TimesNewRomanPSMT"/>
          <w:sz w:val="24"/>
          <w:szCs w:val="24"/>
        </w:rPr>
        <w:t>3</w:t>
      </w:r>
      <w:r w:rsidRPr="002F5929">
        <w:rPr>
          <w:rFonts w:ascii="Times New Roman" w:eastAsia="Helvetica Neue" w:hAnsi="Times New Roman" w:cs="TimesNewRomanPSMT"/>
          <w:sz w:val="24"/>
          <w:szCs w:val="24"/>
        </w:rPr>
        <w:t xml:space="preserve">. </w:t>
      </w:r>
    </w:p>
    <w:p w14:paraId="775708D6" w14:textId="4F54AF86" w:rsidR="00CE5ED9" w:rsidRPr="002F5929" w:rsidRDefault="00CE5ED9" w:rsidP="00CE5ED9">
      <w:pPr>
        <w:keepNext/>
        <w:spacing w:before="360" w:after="120" w:line="360" w:lineRule="auto"/>
        <w:jc w:val="both"/>
        <w:rPr>
          <w:rFonts w:ascii="Times New Roman" w:eastAsia="Times New Roman" w:hAnsi="Times New Roman" w:cs="Helvetica Neue"/>
          <w:bCs/>
          <w:iCs/>
          <w:sz w:val="20"/>
          <w:szCs w:val="18"/>
        </w:rPr>
      </w:pPr>
      <w:bookmarkStart w:id="4" w:name="_Toc124"/>
      <w:bookmarkStart w:id="5" w:name="_Toc117594505"/>
      <w:bookmarkStart w:id="6" w:name="_Toc119418567"/>
      <w:r w:rsidRPr="002F5929">
        <w:rPr>
          <w:rFonts w:ascii="Times New Roman" w:eastAsia="Times New Roman" w:hAnsi="Times New Roman" w:cs="Helvetica Neue"/>
          <w:bCs/>
          <w:iCs/>
          <w:sz w:val="20"/>
          <w:szCs w:val="18"/>
        </w:rPr>
        <w:t xml:space="preserve">Table </w:t>
      </w:r>
      <w:r w:rsidR="00214C24">
        <w:rPr>
          <w:rFonts w:ascii="Times New Roman" w:eastAsia="Times New Roman" w:hAnsi="Times New Roman" w:cs="Helvetica Neue"/>
          <w:bCs/>
          <w:iCs/>
          <w:sz w:val="20"/>
          <w:szCs w:val="18"/>
        </w:rPr>
        <w:t>S1</w:t>
      </w:r>
      <w:r w:rsidRPr="002F5929">
        <w:rPr>
          <w:rFonts w:ascii="Times New Roman" w:eastAsia="Times New Roman" w:hAnsi="Times New Roman" w:cs="Helvetica Neue"/>
          <w:bCs/>
          <w:iCs/>
          <w:sz w:val="20"/>
          <w:szCs w:val="18"/>
        </w:rPr>
        <w:t xml:space="preserve">. </w:t>
      </w:r>
      <w:r w:rsidRPr="002F5929">
        <w:rPr>
          <w:rFonts w:ascii="Times New Roman" w:eastAsia="Times New Roman" w:hAnsi="Times New Roman" w:cs="Helvetica Neue"/>
          <w:bCs/>
          <w:iCs/>
          <w:color w:val="000000"/>
          <w:sz w:val="20"/>
          <w:szCs w:val="18"/>
        </w:rPr>
        <w:t>Analysis of variance (ANOVA) for the D-optimal Mixture design (DMD).</w:t>
      </w:r>
      <w:bookmarkEnd w:id="4"/>
      <w:bookmarkEnd w:id="5"/>
      <w:bookmarkEnd w:id="6"/>
    </w:p>
    <w:tbl>
      <w:tblPr>
        <w:tblW w:w="97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28" w:type="dxa"/>
          <w:bottom w:w="28" w:type="dxa"/>
        </w:tblCellMar>
        <w:tblLook w:val="04A0" w:firstRow="1" w:lastRow="0" w:firstColumn="1" w:lastColumn="0" w:noHBand="0" w:noVBand="1"/>
      </w:tblPr>
      <w:tblGrid>
        <w:gridCol w:w="3251"/>
        <w:gridCol w:w="2773"/>
        <w:gridCol w:w="3728"/>
      </w:tblGrid>
      <w:tr w:rsidR="00CE5ED9" w:rsidRPr="002F5929" w14:paraId="7118B5ED" w14:textId="77777777" w:rsidTr="006E4BBF">
        <w:trPr>
          <w:trHeight w:val="226"/>
          <w:jc w:val="center"/>
        </w:trPr>
        <w:tc>
          <w:tcPr>
            <w:tcW w:w="325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FAE1D1" w14:textId="77777777" w:rsidR="00CE5ED9" w:rsidRPr="002F5929" w:rsidRDefault="00CE5ED9" w:rsidP="006E4BBF">
            <w:pPr>
              <w:spacing w:after="0" w:line="240" w:lineRule="auto"/>
              <w:jc w:val="center"/>
              <w:rPr>
                <w:rFonts w:ascii="Calibri" w:eastAsia="Times New Roman" w:hAnsi="Calibri" w:cs="Helvetica Neue"/>
                <w:b/>
                <w:bCs/>
                <w:spacing w:val="6"/>
                <w:sz w:val="24"/>
                <w:szCs w:val="20"/>
              </w:rPr>
            </w:pPr>
            <w:r w:rsidRPr="002F5929">
              <w:rPr>
                <w:rFonts w:ascii="Calibri" w:eastAsia="Times New Roman" w:hAnsi="Calibri" w:cs="Helvetica Neue"/>
                <w:b/>
                <w:bCs/>
                <w:spacing w:val="6"/>
                <w:sz w:val="20"/>
                <w:szCs w:val="20"/>
              </w:rPr>
              <w:t>Source / Parameters</w:t>
            </w:r>
          </w:p>
        </w:tc>
        <w:tc>
          <w:tcPr>
            <w:tcW w:w="277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3B5F44F" w14:textId="77777777" w:rsidR="00CE5ED9" w:rsidRPr="002F5929" w:rsidRDefault="00CE5ED9" w:rsidP="006E4BBF">
            <w:pPr>
              <w:spacing w:after="0" w:line="240" w:lineRule="auto"/>
              <w:jc w:val="center"/>
              <w:rPr>
                <w:rFonts w:ascii="Calibri" w:eastAsia="Times New Roman" w:hAnsi="Calibri" w:cs="Helvetica Neue"/>
                <w:b/>
                <w:bCs/>
                <w:spacing w:val="6"/>
                <w:sz w:val="24"/>
                <w:szCs w:val="20"/>
              </w:rPr>
            </w:pPr>
            <w:r w:rsidRPr="002F5929">
              <w:rPr>
                <w:rFonts w:ascii="Calibri" w:eastAsia="Times New Roman" w:hAnsi="Calibri" w:cs="Helvetica Neue"/>
                <w:b/>
                <w:bCs/>
                <w:spacing w:val="6"/>
                <w:sz w:val="20"/>
                <w:szCs w:val="20"/>
              </w:rPr>
              <w:t>Size</w:t>
            </w:r>
          </w:p>
        </w:tc>
        <w:tc>
          <w:tcPr>
            <w:tcW w:w="372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66A24F5" w14:textId="77777777" w:rsidR="00CE5ED9" w:rsidRPr="002F5929" w:rsidRDefault="00CE5ED9" w:rsidP="006E4BBF">
            <w:pPr>
              <w:spacing w:after="0" w:line="240" w:lineRule="auto"/>
              <w:jc w:val="center"/>
              <w:rPr>
                <w:rFonts w:ascii="Calibri" w:eastAsia="Times New Roman" w:hAnsi="Calibri" w:cs="Helvetica Neue"/>
                <w:b/>
                <w:bCs/>
                <w:spacing w:val="6"/>
                <w:sz w:val="24"/>
                <w:szCs w:val="20"/>
              </w:rPr>
            </w:pPr>
            <w:r w:rsidRPr="002F5929">
              <w:rPr>
                <w:rFonts w:ascii="Calibri" w:eastAsia="Times New Roman" w:hAnsi="Calibri" w:cs="Helvetica Neue"/>
                <w:b/>
                <w:bCs/>
                <w:spacing w:val="6"/>
                <w:sz w:val="20"/>
                <w:szCs w:val="20"/>
              </w:rPr>
              <w:t>Polydispersity Index</w:t>
            </w:r>
          </w:p>
        </w:tc>
      </w:tr>
      <w:tr w:rsidR="00CE5ED9" w:rsidRPr="002F5929" w14:paraId="6A926EF4" w14:textId="77777777" w:rsidTr="006E4BBF">
        <w:trPr>
          <w:trHeight w:val="228"/>
          <w:jc w:val="center"/>
        </w:trPr>
        <w:tc>
          <w:tcPr>
            <w:tcW w:w="3251" w:type="dxa"/>
            <w:tcBorders>
              <w:top w:val="single"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5C0826A7"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R</w:t>
            </w:r>
            <w:r w:rsidRPr="002F5929">
              <w:rPr>
                <w:rFonts w:ascii="Calibri" w:eastAsia="Times New Roman" w:hAnsi="Calibri" w:cs="Helvetica Neue"/>
                <w:bCs/>
                <w:spacing w:val="6"/>
                <w:sz w:val="20"/>
                <w:szCs w:val="20"/>
                <w:vertAlign w:val="superscript"/>
              </w:rPr>
              <w:t>2</w:t>
            </w:r>
          </w:p>
        </w:tc>
        <w:tc>
          <w:tcPr>
            <w:tcW w:w="2773" w:type="dxa"/>
            <w:tcBorders>
              <w:top w:val="single"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3FBFC1B0"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0.9971</w:t>
            </w:r>
          </w:p>
        </w:tc>
        <w:tc>
          <w:tcPr>
            <w:tcW w:w="3728" w:type="dxa"/>
            <w:tcBorders>
              <w:top w:val="single"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3A7661CB"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0.9513</w:t>
            </w:r>
          </w:p>
        </w:tc>
      </w:tr>
      <w:tr w:rsidR="00CE5ED9" w:rsidRPr="002F5929" w14:paraId="799EDA7B" w14:textId="77777777" w:rsidTr="006E4BBF">
        <w:trPr>
          <w:trHeight w:val="226"/>
          <w:jc w:val="center"/>
        </w:trPr>
        <w:tc>
          <w:tcPr>
            <w:tcW w:w="3251"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0EB7680D"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Adjusted R</w:t>
            </w:r>
            <w:r w:rsidRPr="002F5929">
              <w:rPr>
                <w:rFonts w:ascii="Calibri" w:eastAsia="Times New Roman" w:hAnsi="Calibri" w:cs="Helvetica Neue"/>
                <w:bCs/>
                <w:spacing w:val="6"/>
                <w:sz w:val="20"/>
                <w:szCs w:val="20"/>
                <w:vertAlign w:val="superscript"/>
              </w:rPr>
              <w:t>2</w:t>
            </w:r>
          </w:p>
        </w:tc>
        <w:tc>
          <w:tcPr>
            <w:tcW w:w="2773"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2D1F734C"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0.9946</w:t>
            </w:r>
          </w:p>
        </w:tc>
        <w:tc>
          <w:tcPr>
            <w:tcW w:w="3728"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2A96E368"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0.9208</w:t>
            </w:r>
          </w:p>
        </w:tc>
      </w:tr>
      <w:tr w:rsidR="00CE5ED9" w:rsidRPr="002F5929" w14:paraId="337045BB" w14:textId="77777777" w:rsidTr="006E4BBF">
        <w:trPr>
          <w:trHeight w:val="226"/>
          <w:jc w:val="center"/>
        </w:trPr>
        <w:tc>
          <w:tcPr>
            <w:tcW w:w="3251"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5E308862"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Predicted R</w:t>
            </w:r>
            <w:r w:rsidRPr="002F5929">
              <w:rPr>
                <w:rFonts w:ascii="Calibri" w:eastAsia="Times New Roman" w:hAnsi="Calibri" w:cs="Helvetica Neue"/>
                <w:bCs/>
                <w:spacing w:val="6"/>
                <w:sz w:val="20"/>
                <w:szCs w:val="20"/>
                <w:vertAlign w:val="superscript"/>
              </w:rPr>
              <w:t>2</w:t>
            </w:r>
          </w:p>
        </w:tc>
        <w:tc>
          <w:tcPr>
            <w:tcW w:w="2773"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06ED006E"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0.9231</w:t>
            </w:r>
          </w:p>
        </w:tc>
        <w:tc>
          <w:tcPr>
            <w:tcW w:w="3728"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4D3633DB"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0.7278</w:t>
            </w:r>
          </w:p>
        </w:tc>
      </w:tr>
      <w:tr w:rsidR="00CE5ED9" w:rsidRPr="002F5929" w14:paraId="01106B0C" w14:textId="77777777" w:rsidTr="006E4BBF">
        <w:trPr>
          <w:trHeight w:val="226"/>
          <w:jc w:val="center"/>
        </w:trPr>
        <w:tc>
          <w:tcPr>
            <w:tcW w:w="3251" w:type="dxa"/>
            <w:tcBorders>
              <w:top w:val="dotted" w:sz="4" w:space="0" w:color="000000"/>
              <w:left w:val="nil"/>
              <w:bottom w:val="dotted" w:sz="4" w:space="0" w:color="000000"/>
              <w:right w:val="nil"/>
            </w:tcBorders>
            <w:shd w:val="clear" w:color="auto" w:fill="FFFFFF"/>
            <w:tcMar>
              <w:top w:w="80" w:type="dxa"/>
              <w:left w:w="80" w:type="dxa"/>
              <w:bottom w:w="80" w:type="dxa"/>
              <w:right w:w="80" w:type="dxa"/>
            </w:tcMar>
            <w:vAlign w:val="center"/>
          </w:tcPr>
          <w:p w14:paraId="752FE35C"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Lack of fit, p-value</w:t>
            </w:r>
          </w:p>
        </w:tc>
        <w:tc>
          <w:tcPr>
            <w:tcW w:w="2773"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493224C0"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0.0875, Not significant,</w:t>
            </w:r>
          </w:p>
        </w:tc>
        <w:tc>
          <w:tcPr>
            <w:tcW w:w="3728" w:type="dxa"/>
            <w:tcBorders>
              <w:top w:val="dotted" w:sz="4" w:space="0" w:color="000000"/>
              <w:left w:val="nil"/>
              <w:bottom w:val="dotted" w:sz="4" w:space="0" w:color="000000"/>
              <w:right w:val="nil"/>
            </w:tcBorders>
            <w:shd w:val="clear" w:color="auto" w:fill="auto"/>
            <w:tcMar>
              <w:top w:w="80" w:type="dxa"/>
              <w:left w:w="80" w:type="dxa"/>
              <w:bottom w:w="80" w:type="dxa"/>
              <w:right w:w="80" w:type="dxa"/>
            </w:tcMar>
            <w:vAlign w:val="center"/>
          </w:tcPr>
          <w:p w14:paraId="23B8BBFC"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0.2015, Not significant</w:t>
            </w:r>
          </w:p>
        </w:tc>
      </w:tr>
      <w:tr w:rsidR="00CE5ED9" w:rsidRPr="002F5929" w14:paraId="29570D68" w14:textId="77777777" w:rsidTr="006E4BBF">
        <w:trPr>
          <w:trHeight w:val="226"/>
          <w:jc w:val="center"/>
        </w:trPr>
        <w:tc>
          <w:tcPr>
            <w:tcW w:w="3251" w:type="dxa"/>
            <w:tcBorders>
              <w:top w:val="dotted"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E75D2F"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Model, p-value</w:t>
            </w:r>
          </w:p>
        </w:tc>
        <w:tc>
          <w:tcPr>
            <w:tcW w:w="2773" w:type="dxa"/>
            <w:tcBorders>
              <w:top w:val="dotted"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FEECC42"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0.0001, Significant</w:t>
            </w:r>
          </w:p>
        </w:tc>
        <w:tc>
          <w:tcPr>
            <w:tcW w:w="3728" w:type="dxa"/>
            <w:tcBorders>
              <w:top w:val="dotted"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71EF2D7" w14:textId="77777777" w:rsidR="00CE5ED9" w:rsidRPr="002F5929" w:rsidRDefault="00CE5ED9" w:rsidP="006E4BBF">
            <w:pPr>
              <w:spacing w:after="0" w:line="240" w:lineRule="auto"/>
              <w:jc w:val="center"/>
              <w:rPr>
                <w:rFonts w:ascii="Calibri" w:eastAsia="Times New Roman" w:hAnsi="Calibri" w:cs="Helvetica Neue"/>
                <w:bCs/>
                <w:spacing w:val="6"/>
                <w:sz w:val="24"/>
                <w:szCs w:val="20"/>
              </w:rPr>
            </w:pPr>
            <w:r w:rsidRPr="002F5929">
              <w:rPr>
                <w:rFonts w:ascii="Calibri" w:eastAsia="Times New Roman" w:hAnsi="Calibri" w:cs="Helvetica Neue"/>
                <w:bCs/>
                <w:spacing w:val="6"/>
                <w:sz w:val="20"/>
                <w:szCs w:val="20"/>
              </w:rPr>
              <w:t>0.0001, Significant</w:t>
            </w:r>
          </w:p>
        </w:tc>
      </w:tr>
    </w:tbl>
    <w:p w14:paraId="5242CFA6" w14:textId="52843CA1" w:rsidR="001B6FE6" w:rsidRPr="00A56895" w:rsidRDefault="00750F7C" w:rsidP="00A56895">
      <w:pPr>
        <w:spacing w:before="120" w:after="360" w:line="360" w:lineRule="auto"/>
        <w:jc w:val="both"/>
        <w:rPr>
          <w:rFonts w:ascii="Calibri Light" w:eastAsia="Helvetica Neue" w:hAnsi="Calibri Light" w:cs="Helvetica Neue"/>
          <w:iCs/>
          <w:color w:val="000000"/>
          <w:sz w:val="24"/>
          <w:szCs w:val="18"/>
        </w:rPr>
      </w:pPr>
      <w:bookmarkStart w:id="7" w:name="_Toc117594535"/>
      <w:bookmarkStart w:id="8" w:name="_Toc119418598"/>
      <w:bookmarkStart w:id="9" w:name="_Toc129"/>
      <w:bookmarkStart w:id="10" w:name="_Toc125"/>
      <w:bookmarkStart w:id="11" w:name="_Toc117594669"/>
      <w:bookmarkStart w:id="12" w:name="_Toc119418737"/>
      <w:r>
        <w:rPr>
          <w:rFonts w:ascii="Times New Roman" w:eastAsia="Helvetica Neue" w:hAnsi="Times New Roman" w:cs="Helvetica Neue"/>
          <w:iCs/>
          <w:noProof/>
          <w:color w:val="000000"/>
          <w:sz w:val="20"/>
          <w:szCs w:val="18"/>
        </w:rPr>
        <w:lastRenderedPageBreak/>
        <w:drawing>
          <wp:inline distT="0" distB="0" distL="0" distR="0" wp14:anchorId="3616C08F" wp14:editId="6996DA8E">
            <wp:extent cx="5731510" cy="2395855"/>
            <wp:effectExtent l="0" t="0" r="2540" b="4445"/>
            <wp:docPr id="3" name="Picture 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scatte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395855"/>
                    </a:xfrm>
                    <a:prstGeom prst="rect">
                      <a:avLst/>
                    </a:prstGeom>
                  </pic:spPr>
                </pic:pic>
              </a:graphicData>
            </a:graphic>
          </wp:inline>
        </w:drawing>
      </w:r>
      <w:r w:rsidR="00A56895" w:rsidRPr="00A56895">
        <w:rPr>
          <w:rFonts w:ascii="Times New Roman" w:eastAsia="Helvetica Neue" w:hAnsi="Times New Roman" w:cs="Helvetica Neue"/>
          <w:iCs/>
          <w:color w:val="000000"/>
          <w:sz w:val="20"/>
          <w:szCs w:val="18"/>
        </w:rPr>
        <w:t xml:space="preserve"> </w:t>
      </w:r>
      <w:r w:rsidR="00A56895" w:rsidRPr="002F5929">
        <w:rPr>
          <w:rFonts w:ascii="Times New Roman" w:eastAsia="Helvetica Neue" w:hAnsi="Times New Roman" w:cs="Helvetica Neue"/>
          <w:iCs/>
          <w:color w:val="000000"/>
          <w:sz w:val="20"/>
          <w:szCs w:val="18"/>
        </w:rPr>
        <w:t xml:space="preserve">Figure </w:t>
      </w:r>
      <w:r w:rsidR="00D2571F">
        <w:rPr>
          <w:rFonts w:ascii="Times New Roman" w:eastAsia="Helvetica Neue" w:hAnsi="Times New Roman" w:cs="Helvetica Neue"/>
          <w:iCs/>
          <w:color w:val="000000"/>
          <w:sz w:val="20"/>
          <w:szCs w:val="18"/>
        </w:rPr>
        <w:t>S1</w:t>
      </w:r>
      <w:r w:rsidR="00A56895" w:rsidRPr="002F5929">
        <w:rPr>
          <w:rFonts w:ascii="Times New Roman" w:eastAsia="Helvetica Neue" w:hAnsi="Times New Roman" w:cs="Helvetica Neue"/>
          <w:iCs/>
          <w:color w:val="000000"/>
          <w:sz w:val="20"/>
          <w:szCs w:val="18"/>
        </w:rPr>
        <w:t xml:space="preserve">. Predicted vs Actual value of </w:t>
      </w:r>
      <w:r w:rsidR="00D2571F">
        <w:rPr>
          <w:rFonts w:ascii="Times New Roman" w:eastAsia="Helvetica Neue" w:hAnsi="Times New Roman" w:cs="Helvetica Neue"/>
          <w:iCs/>
          <w:color w:val="000000"/>
          <w:sz w:val="20"/>
          <w:szCs w:val="18"/>
        </w:rPr>
        <w:t>a:</w:t>
      </w:r>
      <w:r w:rsidR="00D2571F" w:rsidRPr="002F5929">
        <w:rPr>
          <w:rFonts w:ascii="Times New Roman" w:eastAsia="Helvetica Neue" w:hAnsi="Times New Roman" w:cs="Helvetica Neue"/>
          <w:iCs/>
          <w:color w:val="000000"/>
          <w:sz w:val="20"/>
          <w:szCs w:val="18"/>
        </w:rPr>
        <w:t xml:space="preserve"> Droplet</w:t>
      </w:r>
      <w:r w:rsidR="00A56895" w:rsidRPr="002F5929">
        <w:rPr>
          <w:rFonts w:ascii="Times New Roman" w:eastAsia="Helvetica Neue" w:hAnsi="Times New Roman" w:cs="Helvetica Neue"/>
          <w:iCs/>
          <w:color w:val="000000"/>
          <w:sz w:val="20"/>
          <w:szCs w:val="18"/>
        </w:rPr>
        <w:t xml:space="preserve"> size (nm)</w:t>
      </w:r>
      <w:r w:rsidR="00A56895">
        <w:rPr>
          <w:rFonts w:ascii="Times New Roman" w:eastAsia="Helvetica Neue" w:hAnsi="Times New Roman" w:cs="Helvetica Neue"/>
          <w:iCs/>
          <w:color w:val="000000"/>
          <w:sz w:val="20"/>
          <w:szCs w:val="18"/>
        </w:rPr>
        <w:t xml:space="preserve"> and b:</w:t>
      </w:r>
      <w:r w:rsidR="00D2571F">
        <w:rPr>
          <w:rFonts w:ascii="Times New Roman" w:eastAsia="Helvetica Neue" w:hAnsi="Times New Roman" w:cs="Helvetica Neue"/>
          <w:iCs/>
          <w:color w:val="000000"/>
          <w:sz w:val="20"/>
          <w:szCs w:val="18"/>
        </w:rPr>
        <w:t xml:space="preserve"> Polydispersity index</w:t>
      </w:r>
      <w:r w:rsidR="00A56895" w:rsidRPr="002F5929">
        <w:rPr>
          <w:rFonts w:ascii="Times New Roman" w:eastAsia="Helvetica Neue" w:hAnsi="Times New Roman" w:cs="Helvetica Neue"/>
          <w:iCs/>
          <w:color w:val="000000"/>
          <w:sz w:val="20"/>
          <w:szCs w:val="18"/>
        </w:rPr>
        <w:t>.</w:t>
      </w:r>
      <w:bookmarkEnd w:id="7"/>
      <w:bookmarkEnd w:id="8"/>
      <w:r w:rsidR="00A56895" w:rsidRPr="002F5929">
        <w:rPr>
          <w:rFonts w:ascii="Calibri Light" w:eastAsia="Helvetica Neue" w:hAnsi="Calibri Light" w:cs="Helvetica Neue"/>
          <w:iCs/>
          <w:sz w:val="24"/>
          <w:szCs w:val="18"/>
        </w:rPr>
        <w:t xml:space="preserve"> </w:t>
      </w:r>
      <w:bookmarkEnd w:id="9"/>
    </w:p>
    <w:p w14:paraId="0BAA0675" w14:textId="31562E81" w:rsidR="00CE5ED9" w:rsidRPr="002F5929" w:rsidRDefault="00CE5ED9" w:rsidP="00CE5ED9">
      <w:pPr>
        <w:keepNext/>
        <w:numPr>
          <w:ilvl w:val="2"/>
          <w:numId w:val="0"/>
        </w:numPr>
        <w:suppressAutoHyphens/>
        <w:spacing w:before="360" w:line="480" w:lineRule="auto"/>
        <w:ind w:left="720" w:hanging="720"/>
        <w:jc w:val="both"/>
        <w:outlineLvl w:val="2"/>
        <w:rPr>
          <w:rFonts w:ascii="Times New Roman" w:eastAsia="Helvetica Neue" w:hAnsi="Times New Roman" w:cs="Helvetica Neue"/>
          <w:b/>
          <w:bCs/>
          <w:i/>
          <w:iCs/>
          <w:sz w:val="24"/>
        </w:rPr>
      </w:pPr>
      <w:r w:rsidRPr="002F5929">
        <w:rPr>
          <w:rFonts w:ascii="Times New Roman" w:eastAsia="Helvetica Neue" w:hAnsi="Times New Roman" w:cs="Helvetica Neue"/>
          <w:b/>
          <w:bCs/>
          <w:i/>
          <w:iCs/>
          <w:sz w:val="24"/>
        </w:rPr>
        <w:t>Droplet size</w:t>
      </w:r>
      <w:bookmarkEnd w:id="10"/>
      <w:bookmarkEnd w:id="11"/>
      <w:bookmarkEnd w:id="12"/>
    </w:p>
    <w:p w14:paraId="14C66869" w14:textId="5C892931" w:rsidR="00CE5ED9" w:rsidRPr="002F592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Analysis of variance (ANOVA) for the droplet size (Table </w:t>
      </w:r>
      <w:r w:rsidR="00F72F31">
        <w:rPr>
          <w:rFonts w:ascii="Times New Roman" w:eastAsia="Helvetica Neue" w:hAnsi="Times New Roman" w:cs="TimesNewRomanPSMT"/>
          <w:sz w:val="24"/>
          <w:szCs w:val="24"/>
        </w:rPr>
        <w:t>S1</w:t>
      </w:r>
      <w:r w:rsidRPr="002F5929">
        <w:rPr>
          <w:rFonts w:ascii="Times New Roman" w:eastAsia="Helvetica Neue" w:hAnsi="Times New Roman" w:cs="TimesNewRomanPSMT"/>
          <w:sz w:val="24"/>
          <w:szCs w:val="24"/>
        </w:rPr>
        <w:t xml:space="preserve">) determined that the resultant special cubic patterns described the experimental data well with the coefficients of various determinations, with an R² of 0.9971. The special cubic model showed the predicted R² of 0.9231, which is in reasonable agreement with the adjusted R² of 0.9946 (Equation </w:t>
      </w:r>
      <w:r w:rsidR="004D0A1B">
        <w:rPr>
          <w:rFonts w:ascii="Times New Roman" w:eastAsia="Helvetica Neue" w:hAnsi="Times New Roman" w:cs="TimesNewRomanPSMT"/>
          <w:sz w:val="24"/>
          <w:szCs w:val="24"/>
        </w:rPr>
        <w:t>S</w:t>
      </w:r>
      <w:r>
        <w:rPr>
          <w:rFonts w:ascii="Times New Roman" w:eastAsia="Helvetica Neue" w:hAnsi="Times New Roman" w:cs="TimesNewRomanPSMT"/>
          <w:sz w:val="24"/>
          <w:szCs w:val="24"/>
        </w:rPr>
        <w:t>1</w:t>
      </w:r>
      <w:r w:rsidRPr="002F5929">
        <w:rPr>
          <w:rFonts w:ascii="Times New Roman" w:eastAsia="Helvetica Neue" w:hAnsi="Times New Roman" w:cs="TimesNewRomanPSMT"/>
          <w:sz w:val="24"/>
          <w:szCs w:val="24"/>
        </w:rPr>
        <w:t>). Furthermore, the special cubic term size significantly affected nanoemulsion droplet size (P &lt; 0.05).</w:t>
      </w:r>
    </w:p>
    <w:p w14:paraId="1AA03693" w14:textId="28DB2F2E" w:rsidR="00CE5ED9" w:rsidRPr="002F592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The droplet size of CTNE is dependent on Tween 80, CSO and HPW: TSWE at the special cubic model (p &lt; 0.0001). The smallest droplet size was achieved when the Tween 80 to CSO ratio was greater than 2.5. For example, if the concentration of Tween 80 was 18% w/w and CSO approximately 6.7%, the average nanoemulsion size was 63.02 nm. The droplet size also depended on the water phase's ratio to the oil phase. For instance, when the water phase was 73.2% and the total oil phase was 26.8%, the largest droplet size of 112.67 nm was obtained. The smallest size of 20.11 nm was observed when the water phase was 69.6% and the oil phase was 30.3% (Figure </w:t>
      </w:r>
      <w:r w:rsidR="000911F9">
        <w:rPr>
          <w:rFonts w:ascii="Times New Roman" w:eastAsia="Helvetica Neue" w:hAnsi="Times New Roman" w:cs="TimesNewRomanPSMT"/>
          <w:sz w:val="24"/>
          <w:szCs w:val="24"/>
        </w:rPr>
        <w:t>S1-a</w:t>
      </w:r>
      <w:r w:rsidR="00277616">
        <w:rPr>
          <w:rFonts w:ascii="Times New Roman" w:eastAsia="Helvetica Neue" w:hAnsi="Times New Roman" w:cs="TimesNewRomanPSMT"/>
          <w:sz w:val="24"/>
          <w:szCs w:val="24"/>
        </w:rPr>
        <w:t xml:space="preserve"> and</w:t>
      </w:r>
      <w:r w:rsidRPr="002F5929">
        <w:rPr>
          <w:rFonts w:ascii="Times New Roman" w:eastAsia="Helvetica Neue" w:hAnsi="Times New Roman" w:cs="TimesNewRomanPSMT"/>
          <w:sz w:val="24"/>
          <w:szCs w:val="24"/>
        </w:rPr>
        <w:t xml:space="preserve"> Table </w:t>
      </w:r>
      <w:r>
        <w:rPr>
          <w:rFonts w:ascii="Times New Roman" w:eastAsia="Helvetica Neue" w:hAnsi="Times New Roman" w:cs="TimesNewRomanPSMT"/>
          <w:sz w:val="24"/>
          <w:szCs w:val="24"/>
        </w:rPr>
        <w:t>2</w:t>
      </w:r>
      <w:r w:rsidRPr="002F5929">
        <w:rPr>
          <w:rFonts w:ascii="Times New Roman" w:eastAsia="Helvetica Neue" w:hAnsi="Times New Roman" w:cs="TimesNewRomanPSMT"/>
          <w:sz w:val="24"/>
          <w:szCs w:val="24"/>
        </w:rPr>
        <w:t>).</w:t>
      </w:r>
    </w:p>
    <w:p w14:paraId="0F5A623F" w14:textId="77777777" w:rsidR="00CE5ED9" w:rsidRPr="002F5929" w:rsidRDefault="00CE5ED9" w:rsidP="00CE5ED9">
      <w:pPr>
        <w:keepNext/>
        <w:numPr>
          <w:ilvl w:val="2"/>
          <w:numId w:val="0"/>
        </w:numPr>
        <w:suppressAutoHyphens/>
        <w:spacing w:before="240" w:line="480" w:lineRule="auto"/>
        <w:ind w:left="720" w:hanging="720"/>
        <w:jc w:val="both"/>
        <w:outlineLvl w:val="2"/>
        <w:rPr>
          <w:rFonts w:ascii="Times New Roman" w:eastAsia="Helvetica Neue" w:hAnsi="Times New Roman" w:cs="Helvetica Neue"/>
          <w:b/>
          <w:bCs/>
          <w:i/>
          <w:iCs/>
          <w:sz w:val="24"/>
        </w:rPr>
      </w:pPr>
      <w:bookmarkStart w:id="13" w:name="_Toc126"/>
      <w:bookmarkStart w:id="14" w:name="_Toc117594670"/>
      <w:bookmarkStart w:id="15" w:name="_Toc119418738"/>
      <w:r w:rsidRPr="002F5929">
        <w:rPr>
          <w:rFonts w:ascii="Times New Roman" w:eastAsia="Helvetica Neue" w:hAnsi="Times New Roman" w:cs="Helvetica Neue"/>
          <w:b/>
          <w:bCs/>
          <w:i/>
          <w:iCs/>
          <w:sz w:val="24"/>
        </w:rPr>
        <w:lastRenderedPageBreak/>
        <w:t>Polydispersity index</w:t>
      </w:r>
      <w:bookmarkEnd w:id="13"/>
      <w:bookmarkEnd w:id="14"/>
      <w:bookmarkEnd w:id="15"/>
    </w:p>
    <w:p w14:paraId="1977D13F" w14:textId="28F3F676" w:rsidR="00CE5ED9" w:rsidRPr="002F592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The ANOVA of the PDI value indicated that the resultant quadratic model (Equation </w:t>
      </w:r>
      <w:r w:rsidR="00277616">
        <w:rPr>
          <w:rFonts w:ascii="Times New Roman" w:eastAsia="Helvetica Neue" w:hAnsi="Times New Roman" w:cs="TimesNewRomanPSMT"/>
          <w:sz w:val="24"/>
          <w:szCs w:val="24"/>
        </w:rPr>
        <w:t>S</w:t>
      </w:r>
      <w:r>
        <w:rPr>
          <w:rFonts w:ascii="Times New Roman" w:eastAsia="Helvetica Neue" w:hAnsi="Times New Roman" w:cs="TimesNewRomanPSMT"/>
          <w:sz w:val="24"/>
          <w:szCs w:val="24"/>
        </w:rPr>
        <w:t>2</w:t>
      </w:r>
      <w:r w:rsidRPr="002F5929">
        <w:rPr>
          <w:rFonts w:ascii="Times New Roman" w:eastAsia="Helvetica Neue" w:hAnsi="Times New Roman" w:cs="TimesNewRomanPSMT"/>
          <w:sz w:val="24"/>
          <w:szCs w:val="24"/>
        </w:rPr>
        <w:t xml:space="preserve">) adequately described the experimental data with the coefficients of multiple determinations (R²) of 0.9513 (Table </w:t>
      </w:r>
      <w:r w:rsidR="00277616">
        <w:rPr>
          <w:rFonts w:ascii="Times New Roman" w:eastAsia="Helvetica Neue" w:hAnsi="Times New Roman" w:cs="TimesNewRomanPSMT"/>
          <w:sz w:val="24"/>
          <w:szCs w:val="24"/>
        </w:rPr>
        <w:t>S1</w:t>
      </w:r>
      <w:r w:rsidRPr="002F5929">
        <w:rPr>
          <w:rFonts w:ascii="Times New Roman" w:eastAsia="Helvetica Neue" w:hAnsi="Times New Roman" w:cs="TimesNewRomanPSMT"/>
          <w:sz w:val="24"/>
          <w:szCs w:val="24"/>
        </w:rPr>
        <w:t xml:space="preserve">). In addition, the lack of fit was non-significant (P ≤ 0.05) </w:t>
      </w:r>
      <w:r w:rsidR="00277616">
        <w:rPr>
          <w:rFonts w:ascii="Times New Roman" w:eastAsia="Helvetica Neue" w:hAnsi="Times New Roman" w:cs="TimesNewRomanPSMT"/>
          <w:sz w:val="24"/>
          <w:szCs w:val="24"/>
        </w:rPr>
        <w:t xml:space="preserve">and </w:t>
      </w:r>
      <w:r w:rsidRPr="002F5929">
        <w:rPr>
          <w:rFonts w:ascii="Times New Roman" w:eastAsia="Helvetica Neue" w:hAnsi="Times New Roman" w:cs="TimesNewRomanPSMT"/>
          <w:sz w:val="24"/>
          <w:szCs w:val="24"/>
        </w:rPr>
        <w:t>related to net error for all variables, which expressed that the model was statistically precise for PDI value. The predicted R</w:t>
      </w:r>
      <w:r w:rsidRPr="002F5929">
        <w:rPr>
          <w:rFonts w:ascii="Times New Roman" w:eastAsia="Helvetica Neue" w:hAnsi="Times New Roman" w:cs="TimesNewRomanPSMT"/>
          <w:sz w:val="24"/>
          <w:szCs w:val="24"/>
          <w:vertAlign w:val="superscript"/>
        </w:rPr>
        <w:t xml:space="preserve">2 </w:t>
      </w:r>
      <w:r w:rsidRPr="002F5929">
        <w:rPr>
          <w:rFonts w:ascii="Times New Roman" w:eastAsia="Helvetica Neue" w:hAnsi="Times New Roman" w:cs="TimesNewRomanPSMT"/>
          <w:sz w:val="24"/>
          <w:szCs w:val="24"/>
        </w:rPr>
        <w:t>was 0.7278, and the adjusted R</w:t>
      </w:r>
      <w:r w:rsidRPr="002F5929">
        <w:rPr>
          <w:rFonts w:ascii="Times New Roman" w:eastAsia="Helvetica Neue" w:hAnsi="Times New Roman" w:cs="TimesNewRomanPSMT"/>
          <w:sz w:val="24"/>
          <w:szCs w:val="24"/>
          <w:vertAlign w:val="superscript"/>
        </w:rPr>
        <w:t>2</w:t>
      </w:r>
      <w:r w:rsidRPr="002F5929">
        <w:rPr>
          <w:rFonts w:ascii="Times New Roman" w:eastAsia="Helvetica Neue" w:hAnsi="Times New Roman" w:cs="TimesNewRomanPSMT"/>
          <w:sz w:val="24"/>
          <w:szCs w:val="24"/>
        </w:rPr>
        <w:t xml:space="preserve"> </w:t>
      </w:r>
      <w:r w:rsidR="00277616">
        <w:rPr>
          <w:rFonts w:ascii="Times New Roman" w:eastAsia="Helvetica Neue" w:hAnsi="Times New Roman" w:cs="TimesNewRomanPSMT"/>
          <w:sz w:val="24"/>
          <w:szCs w:val="24"/>
        </w:rPr>
        <w:t xml:space="preserve">was </w:t>
      </w:r>
      <w:r w:rsidRPr="002F5929">
        <w:rPr>
          <w:rFonts w:ascii="Times New Roman" w:eastAsia="Helvetica Neue" w:hAnsi="Times New Roman" w:cs="TimesNewRomanPSMT"/>
          <w:sz w:val="24"/>
          <w:szCs w:val="24"/>
        </w:rPr>
        <w:t xml:space="preserve">0.9208, and these values were in reasonable agreement as they were not close to each other. The </w:t>
      </w:r>
      <w:r w:rsidR="00D44B0F" w:rsidRPr="00D44B0F">
        <w:rPr>
          <w:rFonts w:ascii="Times New Roman" w:eastAsia="Helvetica Neue" w:hAnsi="Times New Roman" w:cs="TimesNewRomanPSMT"/>
          <w:sz w:val="24"/>
          <w:szCs w:val="24"/>
        </w:rPr>
        <w:t>R2 and adjusted R2 were close to 1, which indicates</w:t>
      </w:r>
      <w:r w:rsidRPr="002F5929">
        <w:rPr>
          <w:rFonts w:ascii="Times New Roman" w:eastAsia="Helvetica Neue" w:hAnsi="Times New Roman" w:cs="TimesNewRomanPSMT"/>
          <w:sz w:val="24"/>
          <w:szCs w:val="24"/>
        </w:rPr>
        <w:t xml:space="preserve"> a high correlation between the predicted and observed values. The higher values of predicted R</w:t>
      </w:r>
      <w:r w:rsidRPr="002F5929">
        <w:rPr>
          <w:rFonts w:ascii="Times New Roman" w:eastAsia="Helvetica Neue" w:hAnsi="Times New Roman" w:cs="TimesNewRomanPSMT"/>
          <w:sz w:val="24"/>
          <w:szCs w:val="24"/>
          <w:vertAlign w:val="superscript"/>
        </w:rPr>
        <w:t>2</w:t>
      </w:r>
      <w:r w:rsidRPr="002F5929">
        <w:rPr>
          <w:rFonts w:ascii="Times New Roman" w:eastAsia="Helvetica Neue" w:hAnsi="Times New Roman" w:cs="TimesNewRomanPSMT"/>
          <w:sz w:val="24"/>
          <w:szCs w:val="24"/>
        </w:rPr>
        <w:t xml:space="preserve"> also support a model that is highly significant.</w:t>
      </w:r>
    </w:p>
    <w:p w14:paraId="24A326DE" w14:textId="2FBBFBB6" w:rsidR="00CE5ED9" w:rsidRDefault="00CE5ED9" w:rsidP="00CE5ED9">
      <w:pPr>
        <w:suppressAutoHyphens/>
        <w:spacing w:after="240" w:line="480" w:lineRule="auto"/>
        <w:ind w:firstLine="720"/>
        <w:contextualSpacing/>
        <w:jc w:val="both"/>
        <w:rPr>
          <w:rFonts w:ascii="Times New Roman" w:eastAsia="Helvetica Neue" w:hAnsi="Times New Roman" w:cs="TimesNewRomanPSMT"/>
          <w:sz w:val="24"/>
          <w:szCs w:val="24"/>
        </w:rPr>
      </w:pPr>
      <w:r w:rsidRPr="00FA0B7E">
        <w:rPr>
          <w:rFonts w:ascii="Times New Roman" w:eastAsia="Helvetica Neue" w:hAnsi="Times New Roman" w:cs="TimesNewRomanPSMT"/>
          <w:sz w:val="24"/>
          <w:szCs w:val="24"/>
        </w:rPr>
        <w:t>The PDI value of CTNE was dependent on all three component factor ratios due to the significant effect on droplet size at linear term (p &lt; 0.0001). The results indicate that the PDI of the NE systems increased with increasing the mean droplet size.</w:t>
      </w:r>
      <w:r w:rsidRPr="002F5929">
        <w:rPr>
          <w:rFonts w:ascii="Times New Roman" w:eastAsia="Helvetica Neue" w:hAnsi="Times New Roman" w:cs="TimesNewRomanPSMT"/>
          <w:sz w:val="24"/>
          <w:szCs w:val="24"/>
        </w:rPr>
        <w:t xml:space="preserve"> The NE system has the smallest size, while the most uniform and homogeneous systems with a lower PDI were achieved. The increase in the Tween 80 concentration showed lower PDI values (p &lt; 0.05). The PDI value decreased when the Tween 80: CSO ratio was greater than 2.5. For example, the lowest PDI value was observed when the amount of Tween 80 was 24% and CSO was 6.3%. Lower Tween 80: CSO ratios produced </w:t>
      </w:r>
      <w:proofErr w:type="spellStart"/>
      <w:r w:rsidRPr="002F5929">
        <w:rPr>
          <w:rFonts w:ascii="Times New Roman" w:eastAsia="Helvetica Neue" w:hAnsi="Times New Roman" w:cs="TimesNewRomanPSMT"/>
          <w:sz w:val="24"/>
          <w:szCs w:val="24"/>
        </w:rPr>
        <w:t>polydispersed</w:t>
      </w:r>
      <w:proofErr w:type="spellEnd"/>
      <w:r w:rsidRPr="002F5929">
        <w:rPr>
          <w:rFonts w:ascii="Times New Roman" w:eastAsia="Helvetica Neue" w:hAnsi="Times New Roman" w:cs="TimesNewRomanPSMT"/>
          <w:sz w:val="24"/>
          <w:szCs w:val="24"/>
        </w:rPr>
        <w:t xml:space="preserve"> nanoemulsions with PDI values of 0.65. The PDI value also correlated to the oil and water phase ratio. Once the water phase (TSWE: HPW) was lower than 70% and the total oil phase was 30%, the nanoemulsion was monodispersed with a PDI value of 0.19.</w:t>
      </w:r>
    </w:p>
    <w:p w14:paraId="162186B6" w14:textId="77777777" w:rsidR="002125E3" w:rsidRPr="002F5929" w:rsidRDefault="002125E3" w:rsidP="002125E3">
      <w:pPr>
        <w:keepNext/>
        <w:numPr>
          <w:ilvl w:val="2"/>
          <w:numId w:val="0"/>
        </w:numPr>
        <w:suppressAutoHyphens/>
        <w:spacing w:before="240" w:line="480" w:lineRule="auto"/>
        <w:ind w:left="720" w:hanging="720"/>
        <w:jc w:val="both"/>
        <w:outlineLvl w:val="2"/>
        <w:rPr>
          <w:rFonts w:ascii="Times New Roman" w:eastAsia="Helvetica Neue" w:hAnsi="Times New Roman" w:cs="Helvetica Neue"/>
          <w:b/>
          <w:bCs/>
          <w:i/>
          <w:iCs/>
          <w:sz w:val="24"/>
        </w:rPr>
      </w:pPr>
      <w:bookmarkStart w:id="16" w:name="_Toc131"/>
      <w:bookmarkStart w:id="17" w:name="_Toc117594671"/>
      <w:bookmarkStart w:id="18" w:name="_Toc119418739"/>
      <w:r w:rsidRPr="002F5929">
        <w:rPr>
          <w:rFonts w:ascii="Times New Roman" w:eastAsia="Helvetica Neue" w:hAnsi="Times New Roman" w:cs="Helvetica Neue"/>
          <w:b/>
          <w:bCs/>
          <w:i/>
          <w:iCs/>
          <w:sz w:val="24"/>
        </w:rPr>
        <w:t>Verification of the CTNE optimisation results</w:t>
      </w:r>
      <w:bookmarkEnd w:id="16"/>
      <w:bookmarkEnd w:id="17"/>
      <w:bookmarkEnd w:id="18"/>
    </w:p>
    <w:p w14:paraId="1F39AECA" w14:textId="74871281" w:rsidR="002125E3" w:rsidRDefault="002125E3" w:rsidP="002125E3">
      <w:pPr>
        <w:suppressAutoHyphens/>
        <w:spacing w:after="240" w:line="480" w:lineRule="auto"/>
        <w:ind w:firstLine="720"/>
        <w:contextualSpacing/>
        <w:jc w:val="both"/>
        <w:rPr>
          <w:rFonts w:ascii="Times New Roman" w:eastAsia="Helvetica Neue" w:hAnsi="Times New Roman" w:cs="TimesNewRomanPSMT"/>
          <w:sz w:val="24"/>
          <w:szCs w:val="24"/>
        </w:rPr>
      </w:pPr>
      <w:r w:rsidRPr="002F5929">
        <w:rPr>
          <w:rFonts w:ascii="Times New Roman" w:eastAsia="Helvetica Neue" w:hAnsi="Times New Roman" w:cs="TimesNewRomanPSMT"/>
          <w:sz w:val="24"/>
          <w:szCs w:val="24"/>
        </w:rPr>
        <w:t xml:space="preserve">The final model was verified in terms of a validation set to study the adequacy of the predicted response value. Random formulations with different conditions were considered to validate the model. The optimum parameters for prepared CTNE were 7% of CSO, 21% of Tween 80 and 72% of TSWE: HPW. The experimental results for CTNE gave a particle size </w:t>
      </w:r>
      <w:r w:rsidRPr="002F5929">
        <w:rPr>
          <w:rFonts w:ascii="Times New Roman" w:eastAsia="Helvetica Neue" w:hAnsi="Times New Roman" w:cs="TimesNewRomanPSMT"/>
          <w:sz w:val="24"/>
          <w:szCs w:val="24"/>
        </w:rPr>
        <w:lastRenderedPageBreak/>
        <w:t xml:space="preserve">of 21.87 nm and a PDI value of 0.19. These results confirmed the reliability of the experimental models, and the experimental values were determined to be close to the predicted value of 23 nm particle size and 0.19 PDI value of CTNE with 0.8 </w:t>
      </w:r>
      <w:proofErr w:type="spellStart"/>
      <w:r w:rsidRPr="002F5929">
        <w:rPr>
          <w:rFonts w:ascii="Times New Roman" w:eastAsia="Helvetica Neue" w:hAnsi="Times New Roman" w:cs="TimesNewRomanPSMT"/>
          <w:sz w:val="24"/>
          <w:szCs w:val="24"/>
        </w:rPr>
        <w:t>desirabilities</w:t>
      </w:r>
      <w:proofErr w:type="spellEnd"/>
      <w:r w:rsidRPr="002F5929">
        <w:rPr>
          <w:rFonts w:ascii="Times New Roman" w:eastAsia="Helvetica Neue" w:hAnsi="Times New Roman" w:cs="TimesNewRomanPSMT"/>
          <w:sz w:val="24"/>
          <w:szCs w:val="24"/>
        </w:rPr>
        <w:t xml:space="preserve">. </w:t>
      </w:r>
    </w:p>
    <w:p w14:paraId="6E44FFE3" w14:textId="77777777" w:rsidR="000D69F2" w:rsidRPr="002F5929" w:rsidRDefault="000D69F2" w:rsidP="000D69F2">
      <w:pPr>
        <w:suppressAutoHyphens/>
        <w:spacing w:after="240" w:line="480" w:lineRule="auto"/>
        <w:contextualSpacing/>
        <w:jc w:val="both"/>
        <w:rPr>
          <w:rFonts w:ascii="Times New Roman" w:eastAsia="Helvetica Neue" w:hAnsi="Times New Roman" w:cs="TimesNewRomanPSMT"/>
          <w:sz w:val="24"/>
          <w:szCs w:val="24"/>
        </w:rPr>
      </w:pPr>
    </w:p>
    <w:p w14:paraId="5AD9976A" w14:textId="77777777" w:rsidR="00725C85" w:rsidRPr="00725C85" w:rsidRDefault="00725C85" w:rsidP="00725C85">
      <w:pPr>
        <w:keepNext/>
        <w:spacing w:before="360" w:after="0" w:line="240" w:lineRule="auto"/>
        <w:jc w:val="center"/>
        <w:rPr>
          <w:rFonts w:ascii="Times New Roman" w:eastAsia="Times New Roman" w:hAnsi="Times New Roman" w:cs="Helvetica Neue"/>
          <w:lang w:eastAsia="en-AU"/>
        </w:rPr>
      </w:pPr>
      <w:r w:rsidRPr="00725C85">
        <w:rPr>
          <w:rFonts w:ascii="Times New Roman" w:eastAsia="Times New Roman" w:hAnsi="Times New Roman" w:cs="Helvetica Neue"/>
          <w:noProof/>
          <w:lang w:eastAsia="en-AU"/>
        </w:rPr>
        <w:drawing>
          <wp:inline distT="0" distB="0" distL="0" distR="0" wp14:anchorId="5CA78BE8" wp14:editId="22AF2A89">
            <wp:extent cx="5399405" cy="2574235"/>
            <wp:effectExtent l="0" t="0" r="0" b="0"/>
            <wp:docPr id="1073741892"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92" name="A picture containing textDescription automatically generated" descr="A picture containing textDescription automatically generated"/>
                    <pic:cNvPicPr>
                      <a:picLocks noChangeAspect="1"/>
                    </pic:cNvPicPr>
                  </pic:nvPicPr>
                  <pic:blipFill>
                    <a:blip r:embed="rId5"/>
                    <a:srcRect b="7715"/>
                    <a:stretch>
                      <a:fillRect/>
                    </a:stretch>
                  </pic:blipFill>
                  <pic:spPr>
                    <a:xfrm>
                      <a:off x="0" y="0"/>
                      <a:ext cx="5399405" cy="2574235"/>
                    </a:xfrm>
                    <a:prstGeom prst="rect">
                      <a:avLst/>
                    </a:prstGeom>
                    <a:ln w="12700" cap="flat">
                      <a:noFill/>
                      <a:miter lim="400000"/>
                    </a:ln>
                    <a:effectLst/>
                  </pic:spPr>
                </pic:pic>
              </a:graphicData>
            </a:graphic>
          </wp:inline>
        </w:drawing>
      </w:r>
    </w:p>
    <w:p w14:paraId="5CBC0C5F" w14:textId="15159989" w:rsidR="00725C85" w:rsidRPr="001B6FE6" w:rsidRDefault="00725C85" w:rsidP="00725C85">
      <w:pPr>
        <w:spacing w:before="120" w:after="360" w:line="360" w:lineRule="auto"/>
        <w:jc w:val="both"/>
        <w:rPr>
          <w:rFonts w:ascii="Times New Roman" w:eastAsia="Helvetica Neue" w:hAnsi="Times New Roman" w:cs="Helvetica Neue"/>
          <w:iCs/>
          <w:vanish/>
          <w:color w:val="000000"/>
          <w:sz w:val="20"/>
          <w:szCs w:val="18"/>
        </w:rPr>
      </w:pPr>
      <w:bookmarkStart w:id="19" w:name="_Toc119418626"/>
      <w:bookmarkStart w:id="20" w:name="_Toc117594563"/>
      <w:bookmarkStart w:id="21" w:name="_Toc202"/>
      <w:r w:rsidRPr="00725C85">
        <w:rPr>
          <w:rFonts w:ascii="Times New Roman" w:eastAsia="Helvetica Neue" w:hAnsi="Times New Roman" w:cs="Helvetica Neue"/>
          <w:iCs/>
          <w:sz w:val="20"/>
          <w:szCs w:val="18"/>
        </w:rPr>
        <w:t xml:space="preserve">Figure </w:t>
      </w:r>
      <w:r>
        <w:rPr>
          <w:rFonts w:ascii="Times New Roman" w:eastAsia="Helvetica Neue" w:hAnsi="Times New Roman" w:cs="Helvetica Neue"/>
          <w:iCs/>
          <w:sz w:val="20"/>
          <w:szCs w:val="18"/>
        </w:rPr>
        <w:t>S</w:t>
      </w:r>
      <w:r w:rsidR="001B6FE6">
        <w:rPr>
          <w:rFonts w:ascii="Times New Roman" w:eastAsia="Helvetica Neue" w:hAnsi="Times New Roman" w:cs="Helvetica Neue"/>
          <w:iCs/>
          <w:sz w:val="20"/>
          <w:szCs w:val="18"/>
        </w:rPr>
        <w:t>2</w:t>
      </w:r>
      <w:r w:rsidRPr="00725C85">
        <w:rPr>
          <w:rFonts w:ascii="Times New Roman" w:eastAsia="Helvetica Neue" w:hAnsi="Times New Roman" w:cs="Helvetica Neue"/>
          <w:iCs/>
          <w:sz w:val="20"/>
          <w:szCs w:val="18"/>
        </w:rPr>
        <w:t xml:space="preserve">. </w:t>
      </w:r>
      <w:r w:rsidRPr="00725C85">
        <w:rPr>
          <w:rFonts w:ascii="Times New Roman" w:eastAsia="Helvetica Neue" w:hAnsi="Times New Roman" w:cs="Helvetica Neue"/>
          <w:iCs/>
          <w:color w:val="000000"/>
          <w:sz w:val="20"/>
          <w:szCs w:val="18"/>
        </w:rPr>
        <w:t xml:space="preserve">Transmission electron microscopy of droplets in the A: </w:t>
      </w:r>
      <w:r w:rsidRPr="00725C85">
        <w:rPr>
          <w:rFonts w:ascii="Times New Roman" w:eastAsia="Helvetica Neue" w:hAnsi="Times New Roman" w:cs="Helvetica Neue"/>
          <w:i/>
          <w:iCs/>
          <w:color w:val="000000"/>
          <w:sz w:val="20"/>
          <w:szCs w:val="18"/>
        </w:rPr>
        <w:t>Calophyllum inophyllum</w:t>
      </w:r>
      <w:r w:rsidRPr="00725C85">
        <w:rPr>
          <w:rFonts w:ascii="Times New Roman" w:eastAsia="Helvetica Neue" w:hAnsi="Times New Roman" w:cs="Helvetica Neue"/>
          <w:iCs/>
          <w:color w:val="000000"/>
          <w:sz w:val="20"/>
          <w:szCs w:val="18"/>
        </w:rPr>
        <w:t xml:space="preserve"> seed oil nanoemulsion (CSONE) and B: </w:t>
      </w:r>
      <w:proofErr w:type="spellStart"/>
      <w:r w:rsidRPr="00725C85">
        <w:rPr>
          <w:rFonts w:ascii="Times New Roman" w:eastAsia="Helvetica Neue" w:hAnsi="Times New Roman" w:cs="Helvetica Neue"/>
          <w:i/>
          <w:iCs/>
          <w:color w:val="000000"/>
          <w:sz w:val="20"/>
          <w:szCs w:val="18"/>
        </w:rPr>
        <w:t>Tinospora</w:t>
      </w:r>
      <w:proofErr w:type="spellEnd"/>
      <w:r w:rsidRPr="00725C85">
        <w:rPr>
          <w:rFonts w:ascii="Times New Roman" w:eastAsia="Helvetica Neue" w:hAnsi="Times New Roman" w:cs="Helvetica Neue"/>
          <w:i/>
          <w:iCs/>
          <w:color w:val="000000"/>
          <w:sz w:val="20"/>
          <w:szCs w:val="18"/>
        </w:rPr>
        <w:t xml:space="preserve"> </w:t>
      </w:r>
      <w:proofErr w:type="spellStart"/>
      <w:r w:rsidRPr="00725C85">
        <w:rPr>
          <w:rFonts w:ascii="Times New Roman" w:eastAsia="Helvetica Neue" w:hAnsi="Times New Roman" w:cs="Helvetica Neue"/>
          <w:i/>
          <w:iCs/>
          <w:color w:val="000000"/>
          <w:sz w:val="20"/>
          <w:szCs w:val="18"/>
        </w:rPr>
        <w:t>smilacina</w:t>
      </w:r>
      <w:proofErr w:type="spellEnd"/>
      <w:r w:rsidRPr="00725C85">
        <w:rPr>
          <w:rFonts w:ascii="Times New Roman" w:eastAsia="Helvetica Neue" w:hAnsi="Times New Roman" w:cs="Helvetica Neue"/>
          <w:iCs/>
          <w:color w:val="000000"/>
          <w:sz w:val="20"/>
          <w:szCs w:val="18"/>
        </w:rPr>
        <w:t xml:space="preserve"> water extract (TSWE) and CSO nanoemulsion (CTNE)</w:t>
      </w:r>
      <w:bookmarkEnd w:id="19"/>
      <w:r w:rsidR="001B6FE6">
        <w:rPr>
          <w:rFonts w:ascii="Times New Roman" w:eastAsia="Helvetica Neue" w:hAnsi="Times New Roman" w:cs="Helvetica Neue"/>
          <w:iCs/>
          <w:color w:val="000000"/>
          <w:sz w:val="20"/>
          <w:szCs w:val="18"/>
        </w:rPr>
        <w:t xml:space="preserve">. </w:t>
      </w:r>
      <w:r w:rsidRPr="00725C85">
        <w:rPr>
          <w:rFonts w:ascii="Times New Roman" w:eastAsia="Helvetica Neue" w:hAnsi="Times New Roman" w:cs="Helvetica Neue"/>
          <w:iCs/>
          <w:sz w:val="20"/>
          <w:szCs w:val="18"/>
        </w:rPr>
        <w:t>Scale bar 200 nm.</w:t>
      </w:r>
      <w:bookmarkEnd w:id="20"/>
      <w:r w:rsidRPr="00725C85">
        <w:rPr>
          <w:rFonts w:ascii="Times New Roman" w:eastAsia="Helvetica Neue" w:hAnsi="Times New Roman" w:cs="Helvetica Neue"/>
          <w:iCs/>
          <w:sz w:val="20"/>
          <w:szCs w:val="18"/>
        </w:rPr>
        <w:t xml:space="preserve"> </w:t>
      </w:r>
      <w:bookmarkEnd w:id="21"/>
    </w:p>
    <w:p w14:paraId="3533799F" w14:textId="77777777" w:rsidR="00725C85" w:rsidRPr="00725C85" w:rsidRDefault="00725C85" w:rsidP="00725C85">
      <w:pPr>
        <w:keepNext/>
        <w:spacing w:before="360" w:after="0" w:line="240" w:lineRule="auto"/>
        <w:jc w:val="center"/>
        <w:rPr>
          <w:rFonts w:ascii="Times New Roman" w:eastAsia="Times New Roman" w:hAnsi="Times New Roman" w:cs="Helvetica Neue"/>
          <w:lang w:eastAsia="en-AU"/>
        </w:rPr>
      </w:pPr>
      <w:r w:rsidRPr="00725C85">
        <w:rPr>
          <w:rFonts w:ascii="Times New Roman" w:eastAsia="Times New Roman" w:hAnsi="Times New Roman" w:cs="Helvetica Neue"/>
          <w:noProof/>
          <w:lang w:eastAsia="en-AU"/>
        </w:rPr>
        <w:drawing>
          <wp:inline distT="0" distB="0" distL="0" distR="0" wp14:anchorId="34FF88C9" wp14:editId="4A2F57A4">
            <wp:extent cx="4911853" cy="2709673"/>
            <wp:effectExtent l="0" t="0" r="0" b="0"/>
            <wp:docPr id="1073741893" name="officeArt object"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93" name="Chart, line chartDescription automatically generated" descr="Chart, line chartDescription automatically generated"/>
                    <pic:cNvPicPr>
                      <a:picLocks noChangeAspect="1"/>
                    </pic:cNvPicPr>
                  </pic:nvPicPr>
                  <pic:blipFill>
                    <a:blip r:embed="rId6"/>
                    <a:stretch>
                      <a:fillRect/>
                    </a:stretch>
                  </pic:blipFill>
                  <pic:spPr>
                    <a:xfrm>
                      <a:off x="0" y="0"/>
                      <a:ext cx="4911853" cy="2709673"/>
                    </a:xfrm>
                    <a:prstGeom prst="rect">
                      <a:avLst/>
                    </a:prstGeom>
                    <a:ln w="12700" cap="flat">
                      <a:noFill/>
                      <a:miter lim="400000"/>
                    </a:ln>
                    <a:effectLst/>
                  </pic:spPr>
                </pic:pic>
              </a:graphicData>
            </a:graphic>
          </wp:inline>
        </w:drawing>
      </w:r>
    </w:p>
    <w:p w14:paraId="7279E6EE" w14:textId="7ED24ABC" w:rsidR="00725C85" w:rsidRDefault="00725C85" w:rsidP="00725C85">
      <w:pPr>
        <w:spacing w:before="120" w:after="360" w:line="360" w:lineRule="auto"/>
        <w:jc w:val="both"/>
        <w:rPr>
          <w:rFonts w:ascii="Times New Roman" w:eastAsia="Helvetica Neue" w:hAnsi="Times New Roman" w:cs="Helvetica Neue"/>
          <w:iCs/>
          <w:sz w:val="20"/>
          <w:szCs w:val="18"/>
        </w:rPr>
      </w:pPr>
      <w:bookmarkStart w:id="22" w:name="_Toc119418627"/>
      <w:bookmarkStart w:id="23" w:name="_Toc203"/>
      <w:bookmarkStart w:id="24" w:name="_Toc117594564"/>
      <w:r w:rsidRPr="00725C85">
        <w:rPr>
          <w:rFonts w:ascii="Times New Roman" w:eastAsia="Helvetica Neue" w:hAnsi="Times New Roman" w:cs="Helvetica Neue"/>
          <w:iCs/>
          <w:sz w:val="20"/>
          <w:szCs w:val="18"/>
        </w:rPr>
        <w:t>Figure</w:t>
      </w:r>
      <w:r>
        <w:rPr>
          <w:rFonts w:ascii="Times New Roman" w:eastAsia="Helvetica Neue" w:hAnsi="Times New Roman" w:cs="Helvetica Neue"/>
          <w:iCs/>
          <w:sz w:val="20"/>
          <w:szCs w:val="18"/>
        </w:rPr>
        <w:t xml:space="preserve"> S</w:t>
      </w:r>
      <w:r w:rsidR="001B6FE6">
        <w:rPr>
          <w:rFonts w:ascii="Times New Roman" w:eastAsia="Helvetica Neue" w:hAnsi="Times New Roman" w:cs="Helvetica Neue"/>
          <w:iCs/>
          <w:sz w:val="20"/>
          <w:szCs w:val="18"/>
        </w:rPr>
        <w:t>3</w:t>
      </w:r>
      <w:r w:rsidRPr="00725C85">
        <w:rPr>
          <w:rFonts w:ascii="Times New Roman" w:eastAsia="Helvetica Neue" w:hAnsi="Times New Roman" w:cs="Helvetica Neue"/>
          <w:iCs/>
          <w:sz w:val="20"/>
          <w:szCs w:val="18"/>
        </w:rPr>
        <w:t xml:space="preserve">. </w:t>
      </w:r>
      <w:r w:rsidRPr="00725C85">
        <w:rPr>
          <w:rFonts w:ascii="Times New Roman" w:eastAsia="Helvetica Neue" w:hAnsi="Times New Roman" w:cs="Helvetica Neue"/>
          <w:iCs/>
          <w:color w:val="000000"/>
          <w:sz w:val="20"/>
          <w:szCs w:val="18"/>
        </w:rPr>
        <w:t xml:space="preserve">DPPH radical scavenging of </w:t>
      </w:r>
      <w:r w:rsidRPr="00725C85">
        <w:rPr>
          <w:rFonts w:ascii="Times New Roman" w:eastAsia="Helvetica Neue" w:hAnsi="Times New Roman" w:cs="Helvetica Neue"/>
          <w:i/>
          <w:iCs/>
          <w:color w:val="000000"/>
          <w:sz w:val="20"/>
          <w:szCs w:val="18"/>
        </w:rPr>
        <w:t>Calophyllum inophyllum</w:t>
      </w:r>
      <w:r w:rsidRPr="00725C85">
        <w:rPr>
          <w:rFonts w:ascii="Times New Roman" w:eastAsia="Helvetica Neue" w:hAnsi="Times New Roman" w:cs="Helvetica Neue"/>
          <w:iCs/>
          <w:color w:val="000000"/>
          <w:sz w:val="20"/>
          <w:szCs w:val="18"/>
        </w:rPr>
        <w:t xml:space="preserve"> seed oil (CSO), </w:t>
      </w:r>
      <w:r w:rsidRPr="00725C85">
        <w:rPr>
          <w:rFonts w:ascii="Times New Roman" w:eastAsia="Helvetica Neue" w:hAnsi="Times New Roman" w:cs="Helvetica Neue"/>
          <w:i/>
          <w:iCs/>
          <w:color w:val="000000"/>
          <w:sz w:val="20"/>
          <w:szCs w:val="18"/>
        </w:rPr>
        <w:t>Calophyllum inophyllum</w:t>
      </w:r>
      <w:r w:rsidRPr="00725C85">
        <w:rPr>
          <w:rFonts w:ascii="Times New Roman" w:eastAsia="Helvetica Neue" w:hAnsi="Times New Roman" w:cs="Helvetica Neue"/>
          <w:iCs/>
          <w:color w:val="000000"/>
          <w:sz w:val="20"/>
          <w:szCs w:val="18"/>
        </w:rPr>
        <w:t xml:space="preserve"> seed oil nanoemulsion (CSONE), </w:t>
      </w:r>
      <w:proofErr w:type="spellStart"/>
      <w:r w:rsidRPr="00725C85">
        <w:rPr>
          <w:rFonts w:ascii="Times New Roman" w:eastAsia="Helvetica Neue" w:hAnsi="Times New Roman" w:cs="Helvetica Neue"/>
          <w:i/>
          <w:iCs/>
          <w:color w:val="000000"/>
          <w:sz w:val="20"/>
          <w:szCs w:val="18"/>
        </w:rPr>
        <w:t>Tinospora</w:t>
      </w:r>
      <w:proofErr w:type="spellEnd"/>
      <w:r w:rsidRPr="00725C85">
        <w:rPr>
          <w:rFonts w:ascii="Times New Roman" w:eastAsia="Helvetica Neue" w:hAnsi="Times New Roman" w:cs="Helvetica Neue"/>
          <w:i/>
          <w:iCs/>
          <w:color w:val="000000"/>
          <w:sz w:val="20"/>
          <w:szCs w:val="18"/>
        </w:rPr>
        <w:t xml:space="preserve"> </w:t>
      </w:r>
      <w:proofErr w:type="spellStart"/>
      <w:r w:rsidRPr="00725C85">
        <w:rPr>
          <w:rFonts w:ascii="Times New Roman" w:eastAsia="Helvetica Neue" w:hAnsi="Times New Roman" w:cs="Helvetica Neue"/>
          <w:i/>
          <w:iCs/>
          <w:color w:val="000000"/>
          <w:sz w:val="20"/>
          <w:szCs w:val="18"/>
        </w:rPr>
        <w:t>smilacina</w:t>
      </w:r>
      <w:proofErr w:type="spellEnd"/>
      <w:r w:rsidRPr="00725C85">
        <w:rPr>
          <w:rFonts w:ascii="Times New Roman" w:eastAsia="Helvetica Neue" w:hAnsi="Times New Roman" w:cs="Helvetica Neue"/>
          <w:iCs/>
          <w:color w:val="000000"/>
          <w:sz w:val="20"/>
          <w:szCs w:val="18"/>
        </w:rPr>
        <w:t xml:space="preserve"> water extract (TSWE) and CSO nanoemulsion (CTNE) and TSWE.</w:t>
      </w:r>
      <w:bookmarkEnd w:id="22"/>
      <w:r w:rsidR="001B6FE6">
        <w:rPr>
          <w:rFonts w:ascii="Times New Roman" w:eastAsia="Helvetica Neue" w:hAnsi="Times New Roman" w:cs="Helvetica Neue"/>
          <w:iCs/>
          <w:vanish/>
          <w:color w:val="000000"/>
          <w:sz w:val="20"/>
          <w:szCs w:val="18"/>
        </w:rPr>
        <w:t xml:space="preserve"> </w:t>
      </w:r>
      <w:r w:rsidRPr="00725C85">
        <w:rPr>
          <w:rFonts w:ascii="Times New Roman" w:eastAsia="Helvetica Neue" w:hAnsi="Times New Roman" w:cs="Helvetica Neue"/>
          <w:iCs/>
          <w:sz w:val="20"/>
          <w:szCs w:val="18"/>
        </w:rPr>
        <w:t>The DPPH results are the mean of three independent experiments with error bars ±2SD. The x-axis indicates the NE concentration matched with the equivalent TSWE and CSO concentrations available in NE.</w:t>
      </w:r>
      <w:bookmarkEnd w:id="23"/>
      <w:bookmarkEnd w:id="24"/>
    </w:p>
    <w:p w14:paraId="648A04E8" w14:textId="77777777" w:rsidR="00817E7C" w:rsidRPr="001B6FE6" w:rsidRDefault="00817E7C" w:rsidP="00725C85">
      <w:pPr>
        <w:spacing w:before="120" w:after="360" w:line="360" w:lineRule="auto"/>
        <w:jc w:val="both"/>
        <w:rPr>
          <w:rFonts w:ascii="Times New Roman" w:eastAsia="Helvetica Neue" w:hAnsi="Times New Roman" w:cs="Helvetica Neue"/>
          <w:iCs/>
          <w:vanish/>
          <w:color w:val="000000"/>
          <w:sz w:val="20"/>
          <w:szCs w:val="18"/>
        </w:rPr>
      </w:pPr>
    </w:p>
    <w:p w14:paraId="499D2B07" w14:textId="77777777" w:rsidR="00725C85" w:rsidRPr="00725C85" w:rsidRDefault="00725C85" w:rsidP="00725C85">
      <w:pPr>
        <w:keepNext/>
        <w:spacing w:before="360" w:after="0" w:line="240" w:lineRule="auto"/>
        <w:jc w:val="center"/>
        <w:rPr>
          <w:rFonts w:ascii="Calibri Light" w:eastAsia="Calibri Light" w:hAnsi="Calibri Light" w:cs="Calibri Light"/>
          <w:lang w:eastAsia="en-AU"/>
        </w:rPr>
      </w:pPr>
      <w:r w:rsidRPr="00725C85">
        <w:rPr>
          <w:rFonts w:ascii="Times New Roman" w:eastAsia="Times New Roman" w:hAnsi="Times New Roman" w:cs="Helvetica Neue"/>
          <w:noProof/>
          <w:lang w:eastAsia="en-AU"/>
        </w:rPr>
        <w:drawing>
          <wp:inline distT="0" distB="0" distL="0" distR="0" wp14:anchorId="15421981" wp14:editId="23D9250F">
            <wp:extent cx="5400000" cy="4028431"/>
            <wp:effectExtent l="0" t="0" r="0" b="0"/>
            <wp:docPr id="1073741894" name="officeArt object" descr="Picture 22"/>
            <wp:cNvGraphicFramePr/>
            <a:graphic xmlns:a="http://schemas.openxmlformats.org/drawingml/2006/main">
              <a:graphicData uri="http://schemas.openxmlformats.org/drawingml/2006/picture">
                <pic:pic xmlns:pic="http://schemas.openxmlformats.org/drawingml/2006/picture">
                  <pic:nvPicPr>
                    <pic:cNvPr id="1073741894" name="Picture 22" descr="Picture 22"/>
                    <pic:cNvPicPr>
                      <a:picLocks noChangeAspect="1"/>
                    </pic:cNvPicPr>
                  </pic:nvPicPr>
                  <pic:blipFill>
                    <a:blip r:embed="rId7"/>
                    <a:srcRect l="1936" t="597" r="9383" b="50554"/>
                    <a:stretch>
                      <a:fillRect/>
                    </a:stretch>
                  </pic:blipFill>
                  <pic:spPr>
                    <a:xfrm>
                      <a:off x="0" y="0"/>
                      <a:ext cx="5400000" cy="4028431"/>
                    </a:xfrm>
                    <a:prstGeom prst="rect">
                      <a:avLst/>
                    </a:prstGeom>
                    <a:ln w="12700" cap="flat">
                      <a:noFill/>
                      <a:miter lim="400000"/>
                    </a:ln>
                    <a:effectLst/>
                  </pic:spPr>
                </pic:pic>
              </a:graphicData>
            </a:graphic>
          </wp:inline>
        </w:drawing>
      </w:r>
    </w:p>
    <w:p w14:paraId="67E5241E" w14:textId="0980E823" w:rsidR="00725C85" w:rsidRPr="001B6FE6" w:rsidRDefault="00725C85" w:rsidP="00725C85">
      <w:pPr>
        <w:spacing w:before="120" w:after="360" w:line="360" w:lineRule="auto"/>
        <w:jc w:val="both"/>
        <w:rPr>
          <w:rFonts w:ascii="Times New Roman" w:eastAsia="Helvetica Neue" w:hAnsi="Times New Roman" w:cs="Helvetica Neue"/>
          <w:iCs/>
          <w:vanish/>
          <w:sz w:val="20"/>
          <w:szCs w:val="18"/>
        </w:rPr>
      </w:pPr>
      <w:bookmarkStart w:id="25" w:name="_Toc119418628"/>
      <w:bookmarkStart w:id="26" w:name="_Toc204"/>
      <w:bookmarkStart w:id="27" w:name="_Toc117594565"/>
      <w:r w:rsidRPr="00725C85">
        <w:rPr>
          <w:rFonts w:ascii="Times New Roman" w:eastAsia="Helvetica Neue" w:hAnsi="Times New Roman" w:cs="Helvetica Neue"/>
          <w:iCs/>
          <w:sz w:val="20"/>
          <w:szCs w:val="18"/>
        </w:rPr>
        <w:t xml:space="preserve">Figure </w:t>
      </w:r>
      <w:r>
        <w:rPr>
          <w:rFonts w:ascii="Times New Roman" w:eastAsia="Helvetica Neue" w:hAnsi="Times New Roman" w:cs="Helvetica Neue"/>
          <w:iCs/>
          <w:sz w:val="20"/>
          <w:szCs w:val="18"/>
        </w:rPr>
        <w:t>S</w:t>
      </w:r>
      <w:r w:rsidR="001B6FE6">
        <w:rPr>
          <w:rFonts w:ascii="Times New Roman" w:eastAsia="Helvetica Neue" w:hAnsi="Times New Roman" w:cs="Helvetica Neue"/>
          <w:iCs/>
          <w:sz w:val="20"/>
          <w:szCs w:val="18"/>
        </w:rPr>
        <w:t>4</w:t>
      </w:r>
      <w:r w:rsidRPr="00725C85">
        <w:rPr>
          <w:rFonts w:ascii="Times New Roman" w:eastAsia="Helvetica Neue" w:hAnsi="Times New Roman" w:cs="Helvetica Neue"/>
          <w:iCs/>
          <w:sz w:val="20"/>
          <w:szCs w:val="18"/>
        </w:rPr>
        <w:t xml:space="preserve">. Wound closure photomicrograph of </w:t>
      </w:r>
      <w:r w:rsidRPr="00725C85">
        <w:rPr>
          <w:rFonts w:ascii="Times New Roman" w:eastAsia="Helvetica Neue" w:hAnsi="Times New Roman" w:cs="Helvetica Neue"/>
          <w:i/>
          <w:iCs/>
          <w:color w:val="000000"/>
          <w:sz w:val="20"/>
          <w:szCs w:val="18"/>
        </w:rPr>
        <w:t>Calophyllum inophyllum</w:t>
      </w:r>
      <w:r w:rsidRPr="00725C85">
        <w:rPr>
          <w:rFonts w:ascii="Times New Roman" w:eastAsia="Helvetica Neue" w:hAnsi="Times New Roman" w:cs="Helvetica Neue"/>
          <w:iCs/>
          <w:color w:val="000000"/>
          <w:sz w:val="20"/>
          <w:szCs w:val="18"/>
        </w:rPr>
        <w:t xml:space="preserve"> seed oil (CSO) nanoemulsion (CSONE), </w:t>
      </w:r>
      <w:proofErr w:type="spellStart"/>
      <w:r w:rsidRPr="00725C85">
        <w:rPr>
          <w:rFonts w:ascii="Times New Roman" w:eastAsia="Helvetica Neue" w:hAnsi="Times New Roman" w:cs="Helvetica Neue"/>
          <w:i/>
          <w:iCs/>
          <w:color w:val="000000"/>
          <w:sz w:val="20"/>
          <w:szCs w:val="18"/>
        </w:rPr>
        <w:t>Tinospora</w:t>
      </w:r>
      <w:proofErr w:type="spellEnd"/>
      <w:r w:rsidRPr="00725C85">
        <w:rPr>
          <w:rFonts w:ascii="Times New Roman" w:eastAsia="Helvetica Neue" w:hAnsi="Times New Roman" w:cs="Helvetica Neue"/>
          <w:i/>
          <w:iCs/>
          <w:color w:val="000000"/>
          <w:sz w:val="20"/>
          <w:szCs w:val="18"/>
        </w:rPr>
        <w:t xml:space="preserve"> </w:t>
      </w:r>
      <w:proofErr w:type="spellStart"/>
      <w:r w:rsidRPr="00725C85">
        <w:rPr>
          <w:rFonts w:ascii="Times New Roman" w:eastAsia="Helvetica Neue" w:hAnsi="Times New Roman" w:cs="Helvetica Neue"/>
          <w:i/>
          <w:iCs/>
          <w:color w:val="000000"/>
          <w:sz w:val="20"/>
          <w:szCs w:val="18"/>
        </w:rPr>
        <w:t>smilacina</w:t>
      </w:r>
      <w:proofErr w:type="spellEnd"/>
      <w:r w:rsidRPr="00725C85">
        <w:rPr>
          <w:rFonts w:ascii="Times New Roman" w:eastAsia="Helvetica Neue" w:hAnsi="Times New Roman" w:cs="Helvetica Neue"/>
          <w:iCs/>
          <w:color w:val="000000"/>
          <w:sz w:val="20"/>
          <w:szCs w:val="18"/>
        </w:rPr>
        <w:t xml:space="preserve"> water extract (TSWE) and CSO nanoemulsion (CTNE) </w:t>
      </w:r>
      <w:r w:rsidRPr="00725C85">
        <w:rPr>
          <w:rFonts w:ascii="Times New Roman" w:eastAsia="Helvetica Neue" w:hAnsi="Times New Roman" w:cs="Helvetica Neue"/>
          <w:iCs/>
          <w:sz w:val="20"/>
          <w:szCs w:val="18"/>
        </w:rPr>
        <w:t>and FGF (control) at 24 h and 48 h in BSR cells.</w:t>
      </w:r>
      <w:bookmarkEnd w:id="25"/>
      <w:r w:rsidR="001B6FE6">
        <w:rPr>
          <w:rFonts w:ascii="Times New Roman" w:eastAsia="Helvetica Neue" w:hAnsi="Times New Roman" w:cs="Helvetica Neue"/>
          <w:iCs/>
          <w:vanish/>
          <w:sz w:val="20"/>
          <w:szCs w:val="18"/>
        </w:rPr>
        <w:t xml:space="preserve"> </w:t>
      </w:r>
      <w:r w:rsidRPr="00725C85">
        <w:rPr>
          <w:rFonts w:ascii="Times New Roman" w:eastAsia="Helvetica Neue" w:hAnsi="Times New Roman" w:cs="Helvetica Neue"/>
          <w:iCs/>
          <w:sz w:val="20"/>
          <w:szCs w:val="18"/>
        </w:rPr>
        <w:t xml:space="preserve">(A) Untreated control. (B) CTNE:62.5 </w:t>
      </w:r>
      <w:r w:rsidRPr="00725C85">
        <w:rPr>
          <w:rFonts w:ascii="Times New Roman" w:eastAsia="Helvetica Neue" w:hAnsi="Times New Roman" w:cs="Helvetica Neue"/>
          <w:i/>
          <w:iCs/>
          <w:sz w:val="20"/>
          <w:szCs w:val="18"/>
        </w:rPr>
        <w:t>µ</w:t>
      </w:r>
      <w:r w:rsidRPr="00725C85">
        <w:rPr>
          <w:rFonts w:ascii="Times New Roman" w:eastAsia="Helvetica Neue" w:hAnsi="Times New Roman" w:cs="Helvetica Neue"/>
          <w:iCs/>
          <w:sz w:val="20"/>
          <w:szCs w:val="18"/>
        </w:rPr>
        <w:t>g/</w:t>
      </w:r>
      <w:proofErr w:type="spellStart"/>
      <w:r w:rsidRPr="00725C85">
        <w:rPr>
          <w:rFonts w:ascii="Times New Roman" w:eastAsia="Helvetica Neue" w:hAnsi="Times New Roman" w:cs="Helvetica Neue"/>
          <w:iCs/>
          <w:sz w:val="20"/>
          <w:szCs w:val="18"/>
        </w:rPr>
        <w:t>mL.</w:t>
      </w:r>
      <w:proofErr w:type="spellEnd"/>
      <w:r w:rsidRPr="00725C85">
        <w:rPr>
          <w:rFonts w:ascii="Times New Roman" w:eastAsia="Helvetica Neue" w:hAnsi="Times New Roman" w:cs="Helvetica Neue"/>
          <w:iCs/>
          <w:sz w:val="20"/>
          <w:szCs w:val="18"/>
        </w:rPr>
        <w:t xml:space="preserve"> (C) CSONE: 62.5 </w:t>
      </w:r>
      <w:r w:rsidRPr="00725C85">
        <w:rPr>
          <w:rFonts w:ascii="Times New Roman" w:eastAsia="Helvetica Neue" w:hAnsi="Times New Roman" w:cs="Helvetica Neue"/>
          <w:i/>
          <w:iCs/>
          <w:sz w:val="20"/>
          <w:szCs w:val="18"/>
        </w:rPr>
        <w:t>µ</w:t>
      </w:r>
      <w:r w:rsidRPr="00725C85">
        <w:rPr>
          <w:rFonts w:ascii="Times New Roman" w:eastAsia="Helvetica Neue" w:hAnsi="Times New Roman" w:cs="Helvetica Neue"/>
          <w:iCs/>
          <w:sz w:val="20"/>
          <w:szCs w:val="18"/>
        </w:rPr>
        <w:t>g/</w:t>
      </w:r>
      <w:proofErr w:type="spellStart"/>
      <w:r w:rsidRPr="00725C85">
        <w:rPr>
          <w:rFonts w:ascii="Times New Roman" w:eastAsia="Helvetica Neue" w:hAnsi="Times New Roman" w:cs="Helvetica Neue"/>
          <w:iCs/>
          <w:sz w:val="20"/>
          <w:szCs w:val="18"/>
        </w:rPr>
        <w:t>mL.</w:t>
      </w:r>
      <w:proofErr w:type="spellEnd"/>
      <w:r w:rsidRPr="00725C85">
        <w:rPr>
          <w:rFonts w:ascii="Times New Roman" w:eastAsia="Helvetica Neue" w:hAnsi="Times New Roman" w:cs="Helvetica Neue"/>
          <w:iCs/>
          <w:sz w:val="20"/>
          <w:szCs w:val="18"/>
        </w:rPr>
        <w:t xml:space="preserve"> Black solid lines represent the wound size (</w:t>
      </w:r>
      <w:proofErr w:type="spellStart"/>
      <w:r w:rsidRPr="00725C85">
        <w:rPr>
          <w:rFonts w:ascii="Times New Roman" w:eastAsia="Helvetica Neue" w:hAnsi="Times New Roman" w:cs="Helvetica Neue"/>
          <w:iCs/>
          <w:sz w:val="20"/>
          <w:szCs w:val="18"/>
        </w:rPr>
        <w:t>μm</w:t>
      </w:r>
      <w:proofErr w:type="spellEnd"/>
      <w:r w:rsidRPr="00725C85">
        <w:rPr>
          <w:rFonts w:ascii="Times New Roman" w:eastAsia="Helvetica Neue" w:hAnsi="Times New Roman" w:cs="Helvetica Neue"/>
          <w:iCs/>
          <w:sz w:val="20"/>
          <w:szCs w:val="18"/>
        </w:rPr>
        <w:t>) of the BSR cell line monolayer.</w:t>
      </w:r>
      <w:bookmarkEnd w:id="26"/>
      <w:bookmarkEnd w:id="27"/>
      <w:r w:rsidRPr="00725C85">
        <w:rPr>
          <w:rFonts w:ascii="Times New Roman" w:eastAsia="Helvetica Neue" w:hAnsi="Times New Roman" w:cs="Helvetica Neue"/>
          <w:i/>
          <w:iCs/>
          <w:color w:val="000000"/>
          <w:sz w:val="20"/>
          <w:szCs w:val="18"/>
        </w:rPr>
        <w:t xml:space="preserve"> </w:t>
      </w:r>
      <w:r w:rsidRPr="00725C85">
        <w:rPr>
          <w:rFonts w:ascii="Times New Roman" w:eastAsia="Helvetica Neue" w:hAnsi="Times New Roman" w:cs="Helvetica Neue"/>
          <w:color w:val="000000"/>
          <w:sz w:val="20"/>
          <w:szCs w:val="18"/>
        </w:rPr>
        <w:t>FGF:</w:t>
      </w:r>
      <w:r w:rsidRPr="00725C85">
        <w:rPr>
          <w:rFonts w:ascii="Times New Roman" w:eastAsia="Helvetica Neue" w:hAnsi="Times New Roman" w:cs="Helvetica Neue"/>
          <w:i/>
          <w:iCs/>
          <w:color w:val="000000"/>
          <w:sz w:val="20"/>
          <w:szCs w:val="18"/>
        </w:rPr>
        <w:t xml:space="preserve"> </w:t>
      </w:r>
      <w:r w:rsidRPr="00725C85">
        <w:rPr>
          <w:rFonts w:ascii="Times New Roman" w:eastAsia="Helvetica Neue" w:hAnsi="Times New Roman" w:cs="Helvetica Neue"/>
          <w:iCs/>
          <w:sz w:val="20"/>
          <w:szCs w:val="18"/>
        </w:rPr>
        <w:t>Fibroblast Growth Factor</w:t>
      </w:r>
    </w:p>
    <w:p w14:paraId="716E0432" w14:textId="77777777" w:rsidR="00B45E95" w:rsidRDefault="00B45E95"/>
    <w:sectPr w:rsidR="00B45E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NTQzMTUxMjA1MLJU0lEKTi0uzszPAykwrgUATdZdfSwAAAA="/>
  </w:docVars>
  <w:rsids>
    <w:rsidRoot w:val="00725C85"/>
    <w:rsid w:val="00015593"/>
    <w:rsid w:val="000911F9"/>
    <w:rsid w:val="000D69F2"/>
    <w:rsid w:val="001B6FE6"/>
    <w:rsid w:val="001D3AF9"/>
    <w:rsid w:val="002125E3"/>
    <w:rsid w:val="00214C24"/>
    <w:rsid w:val="00277616"/>
    <w:rsid w:val="004875E6"/>
    <w:rsid w:val="004D0A1B"/>
    <w:rsid w:val="005F3240"/>
    <w:rsid w:val="00725C85"/>
    <w:rsid w:val="00750F7C"/>
    <w:rsid w:val="00817E7C"/>
    <w:rsid w:val="00A56895"/>
    <w:rsid w:val="00B45E95"/>
    <w:rsid w:val="00BA4AE7"/>
    <w:rsid w:val="00C211FB"/>
    <w:rsid w:val="00CE5ED9"/>
    <w:rsid w:val="00D2571F"/>
    <w:rsid w:val="00D44B0F"/>
    <w:rsid w:val="00E87106"/>
    <w:rsid w:val="00F46128"/>
    <w:rsid w:val="00F72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9C13B"/>
  <w15:chartTrackingRefBased/>
  <w15:docId w15:val="{D928FC49-5C29-4470-AB80-242B2671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865</Words>
  <Characters>4934</Characters>
  <Application>Microsoft Office Word</Application>
  <DocSecurity>0</DocSecurity>
  <Lines>41</Lines>
  <Paragraphs>11</Paragraphs>
  <ScaleCrop>false</ScaleCrop>
  <Company>Charles Darwin University</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Elnaz Saki</dc:creator>
  <cp:keywords/>
  <dc:description/>
  <cp:lastModifiedBy>Elnaz Saki</cp:lastModifiedBy>
  <cp:revision>21</cp:revision>
  <dcterms:created xsi:type="dcterms:W3CDTF">2022-12-07T01:54:00Z</dcterms:created>
  <dcterms:modified xsi:type="dcterms:W3CDTF">2023-01-19T03:52:00Z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52bedff0-238f-410d-80b4-b4f5ec49af96</vt:lpwstr>
  </property>
</Properties>
</file>