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DEE42" w14:textId="3EC51463" w:rsidR="00CA09FB" w:rsidRPr="00B80C94" w:rsidRDefault="00730568" w:rsidP="00730568">
      <w:pPr>
        <w:pStyle w:val="TOCHeading"/>
      </w:pPr>
      <w:r>
        <w:t>S</w:t>
      </w:r>
      <w:r w:rsidRPr="00730568">
        <w:t xml:space="preserve">upplementary </w:t>
      </w:r>
      <w:r>
        <w:t>I</w:t>
      </w:r>
      <w:r w:rsidRPr="00730568">
        <w:t>nformation</w:t>
      </w:r>
    </w:p>
    <w:sdt>
      <w:sdtPr>
        <w:rPr>
          <w:rFonts w:ascii="Arial" w:eastAsia="Times New Roman" w:hAnsi="Arial" w:cs="Times New Roman"/>
          <w:color w:val="auto"/>
          <w:sz w:val="24"/>
          <w:szCs w:val="24"/>
        </w:rPr>
        <w:id w:val="1579322239"/>
        <w:docPartObj>
          <w:docPartGallery w:val="Table of Contents"/>
          <w:docPartUnique/>
        </w:docPartObj>
      </w:sdtPr>
      <w:sdtEndPr>
        <w:rPr>
          <w:b/>
          <w:bCs/>
          <w:noProof/>
        </w:rPr>
      </w:sdtEndPr>
      <w:sdtContent>
        <w:p w14:paraId="68618E8F" w14:textId="5D7D6825" w:rsidR="00854D87" w:rsidRDefault="00854D87">
          <w:pPr>
            <w:pStyle w:val="TOCHeading"/>
          </w:pPr>
          <w:r>
            <w:t>Contents</w:t>
          </w:r>
        </w:p>
        <w:p w14:paraId="56F0182D" w14:textId="3B624655" w:rsidR="00854D87" w:rsidRDefault="00854D87">
          <w:pPr>
            <w:pStyle w:val="TOC2"/>
            <w:tabs>
              <w:tab w:val="right" w:leader="dot" w:pos="9350"/>
            </w:tabs>
            <w:rPr>
              <w:noProof/>
            </w:rPr>
          </w:pPr>
          <w:r>
            <w:fldChar w:fldCharType="begin"/>
          </w:r>
          <w:r>
            <w:instrText xml:space="preserve"> TOC \o "1-3" \h \z \u </w:instrText>
          </w:r>
          <w:r>
            <w:fldChar w:fldCharType="separate"/>
          </w:r>
          <w:hyperlink w:anchor="_Toc102815471" w:history="1">
            <w:r w:rsidRPr="0002623F">
              <w:rPr>
                <w:rStyle w:val="Hyperlink"/>
                <w:rFonts w:eastAsia="Calibri"/>
                <w:noProof/>
              </w:rPr>
              <w:t>1.1 Comparison of ICD-9-CM and ICD-10-CM/PCS Terminologies</w:t>
            </w:r>
            <w:r>
              <w:rPr>
                <w:noProof/>
                <w:webHidden/>
              </w:rPr>
              <w:tab/>
            </w:r>
            <w:r>
              <w:rPr>
                <w:noProof/>
                <w:webHidden/>
              </w:rPr>
              <w:fldChar w:fldCharType="begin"/>
            </w:r>
            <w:r>
              <w:rPr>
                <w:noProof/>
                <w:webHidden/>
              </w:rPr>
              <w:instrText xml:space="preserve"> PAGEREF _Toc102815471 \h </w:instrText>
            </w:r>
            <w:r>
              <w:rPr>
                <w:noProof/>
                <w:webHidden/>
              </w:rPr>
            </w:r>
            <w:r>
              <w:rPr>
                <w:noProof/>
                <w:webHidden/>
              </w:rPr>
              <w:fldChar w:fldCharType="separate"/>
            </w:r>
            <w:r>
              <w:rPr>
                <w:noProof/>
                <w:webHidden/>
              </w:rPr>
              <w:t>2</w:t>
            </w:r>
            <w:r>
              <w:rPr>
                <w:noProof/>
                <w:webHidden/>
              </w:rPr>
              <w:fldChar w:fldCharType="end"/>
            </w:r>
          </w:hyperlink>
        </w:p>
        <w:p w14:paraId="53DC4BFD" w14:textId="26B9852F" w:rsidR="00854D87" w:rsidRDefault="00EF1E2E">
          <w:pPr>
            <w:pStyle w:val="TOC2"/>
            <w:tabs>
              <w:tab w:val="right" w:leader="dot" w:pos="9350"/>
            </w:tabs>
            <w:rPr>
              <w:noProof/>
            </w:rPr>
          </w:pPr>
          <w:hyperlink w:anchor="_Toc102815472" w:history="1">
            <w:r w:rsidR="00854D87" w:rsidRPr="0002623F">
              <w:rPr>
                <w:rStyle w:val="Hyperlink"/>
                <w:rFonts w:eastAsia="Calibri"/>
                <w:noProof/>
              </w:rPr>
              <w:t>1.2 Definition of Gastrointestinal Bleeding</w:t>
            </w:r>
            <w:r w:rsidR="00854D87">
              <w:rPr>
                <w:noProof/>
                <w:webHidden/>
              </w:rPr>
              <w:tab/>
            </w:r>
            <w:r w:rsidR="00854D87">
              <w:rPr>
                <w:noProof/>
                <w:webHidden/>
              </w:rPr>
              <w:fldChar w:fldCharType="begin"/>
            </w:r>
            <w:r w:rsidR="00854D87">
              <w:rPr>
                <w:noProof/>
                <w:webHidden/>
              </w:rPr>
              <w:instrText xml:space="preserve"> PAGEREF _Toc102815472 \h </w:instrText>
            </w:r>
            <w:r w:rsidR="00854D87">
              <w:rPr>
                <w:noProof/>
                <w:webHidden/>
              </w:rPr>
            </w:r>
            <w:r w:rsidR="00854D87">
              <w:rPr>
                <w:noProof/>
                <w:webHidden/>
              </w:rPr>
              <w:fldChar w:fldCharType="separate"/>
            </w:r>
            <w:r w:rsidR="00854D87">
              <w:rPr>
                <w:noProof/>
                <w:webHidden/>
              </w:rPr>
              <w:t>3</w:t>
            </w:r>
            <w:r w:rsidR="00854D87">
              <w:rPr>
                <w:noProof/>
                <w:webHidden/>
              </w:rPr>
              <w:fldChar w:fldCharType="end"/>
            </w:r>
          </w:hyperlink>
        </w:p>
        <w:p w14:paraId="455C1A5A" w14:textId="1AA26358" w:rsidR="00854D87" w:rsidRDefault="00EF1E2E">
          <w:pPr>
            <w:pStyle w:val="TOC2"/>
            <w:tabs>
              <w:tab w:val="right" w:leader="dot" w:pos="9350"/>
            </w:tabs>
            <w:rPr>
              <w:noProof/>
            </w:rPr>
          </w:pPr>
          <w:hyperlink w:anchor="_Toc102815473" w:history="1">
            <w:r w:rsidR="00854D87" w:rsidRPr="0002623F">
              <w:rPr>
                <w:rStyle w:val="Hyperlink"/>
                <w:rFonts w:eastAsia="Calibri"/>
                <w:noProof/>
              </w:rPr>
              <w:t>1.3 Density and Histogram Plots for Propensity Scores After Trimming in Various Data scenarios (B, C1, C2, C4)</w:t>
            </w:r>
            <w:r w:rsidR="00854D87">
              <w:rPr>
                <w:noProof/>
                <w:webHidden/>
              </w:rPr>
              <w:tab/>
            </w:r>
            <w:r w:rsidR="00854D87">
              <w:rPr>
                <w:noProof/>
                <w:webHidden/>
              </w:rPr>
              <w:fldChar w:fldCharType="begin"/>
            </w:r>
            <w:r w:rsidR="00854D87">
              <w:rPr>
                <w:noProof/>
                <w:webHidden/>
              </w:rPr>
              <w:instrText xml:space="preserve"> PAGEREF _Toc102815473 \h </w:instrText>
            </w:r>
            <w:r w:rsidR="00854D87">
              <w:rPr>
                <w:noProof/>
                <w:webHidden/>
              </w:rPr>
            </w:r>
            <w:r w:rsidR="00854D87">
              <w:rPr>
                <w:noProof/>
                <w:webHidden/>
              </w:rPr>
              <w:fldChar w:fldCharType="separate"/>
            </w:r>
            <w:r w:rsidR="00854D87">
              <w:rPr>
                <w:noProof/>
                <w:webHidden/>
              </w:rPr>
              <w:t>4</w:t>
            </w:r>
            <w:r w:rsidR="00854D87">
              <w:rPr>
                <w:noProof/>
                <w:webHidden/>
              </w:rPr>
              <w:fldChar w:fldCharType="end"/>
            </w:r>
          </w:hyperlink>
        </w:p>
        <w:p w14:paraId="796BC8AE" w14:textId="2957171C" w:rsidR="00854D87" w:rsidRDefault="00EF1E2E">
          <w:pPr>
            <w:pStyle w:val="TOC2"/>
            <w:tabs>
              <w:tab w:val="right" w:leader="dot" w:pos="9350"/>
            </w:tabs>
            <w:rPr>
              <w:noProof/>
            </w:rPr>
          </w:pPr>
          <w:hyperlink w:anchor="_Toc102815474" w:history="1">
            <w:r w:rsidR="00854D87" w:rsidRPr="0002623F">
              <w:rPr>
                <w:rStyle w:val="Hyperlink"/>
                <w:rFonts w:eastAsia="Calibri"/>
                <w:noProof/>
              </w:rPr>
              <w:t>1.4 Role of Prevalence Filter in High-Dimensional Propensity Score Procedure</w:t>
            </w:r>
            <w:r w:rsidR="00854D87">
              <w:rPr>
                <w:noProof/>
                <w:webHidden/>
              </w:rPr>
              <w:tab/>
            </w:r>
            <w:r w:rsidR="00854D87">
              <w:rPr>
                <w:noProof/>
                <w:webHidden/>
              </w:rPr>
              <w:fldChar w:fldCharType="begin"/>
            </w:r>
            <w:r w:rsidR="00854D87">
              <w:rPr>
                <w:noProof/>
                <w:webHidden/>
              </w:rPr>
              <w:instrText xml:space="preserve"> PAGEREF _Toc102815474 \h </w:instrText>
            </w:r>
            <w:r w:rsidR="00854D87">
              <w:rPr>
                <w:noProof/>
                <w:webHidden/>
              </w:rPr>
            </w:r>
            <w:r w:rsidR="00854D87">
              <w:rPr>
                <w:noProof/>
                <w:webHidden/>
              </w:rPr>
              <w:fldChar w:fldCharType="separate"/>
            </w:r>
            <w:r w:rsidR="00854D87">
              <w:rPr>
                <w:noProof/>
                <w:webHidden/>
              </w:rPr>
              <w:t>8</w:t>
            </w:r>
            <w:r w:rsidR="00854D87">
              <w:rPr>
                <w:noProof/>
                <w:webHidden/>
              </w:rPr>
              <w:fldChar w:fldCharType="end"/>
            </w:r>
          </w:hyperlink>
        </w:p>
        <w:p w14:paraId="01A6F40C" w14:textId="0D1E4658" w:rsidR="00854D87" w:rsidRDefault="00854D87">
          <w:r>
            <w:rPr>
              <w:b/>
              <w:bCs/>
              <w:noProof/>
            </w:rPr>
            <w:fldChar w:fldCharType="end"/>
          </w:r>
        </w:p>
      </w:sdtContent>
    </w:sdt>
    <w:p w14:paraId="4A89052A" w14:textId="05980157" w:rsidR="000C68BC" w:rsidRDefault="000C68BC">
      <w:pPr>
        <w:spacing w:after="160" w:line="259" w:lineRule="auto"/>
        <w:rPr>
          <w:rFonts w:eastAsia="Calibri"/>
        </w:rPr>
      </w:pPr>
      <w:r>
        <w:rPr>
          <w:rFonts w:eastAsia="Calibri"/>
        </w:rPr>
        <w:br w:type="page"/>
      </w:r>
    </w:p>
    <w:p w14:paraId="33781B5B" w14:textId="77777777" w:rsidR="000C68BC" w:rsidRPr="003F71E3" w:rsidRDefault="000C68BC" w:rsidP="00CA09FB">
      <w:pPr>
        <w:rPr>
          <w:rFonts w:eastAsia="Calibri"/>
        </w:rPr>
      </w:pPr>
    </w:p>
    <w:p w14:paraId="3E0A39CF" w14:textId="4D67294A" w:rsidR="00CA09FB" w:rsidRPr="007E0CDD" w:rsidRDefault="00615D0C" w:rsidP="000C68BC">
      <w:pPr>
        <w:pStyle w:val="003First-LevelSubheadingBOLD"/>
        <w:jc w:val="left"/>
        <w:rPr>
          <w:rFonts w:eastAsia="Calibri"/>
        </w:rPr>
      </w:pPr>
      <w:bookmarkStart w:id="0" w:name="_Toc100265144"/>
      <w:bookmarkStart w:id="1" w:name="_Toc102815471"/>
      <w:r>
        <w:rPr>
          <w:rFonts w:eastAsia="Calibri"/>
        </w:rPr>
        <w:t xml:space="preserve">1.1 </w:t>
      </w:r>
      <w:r w:rsidR="00CA09FB" w:rsidRPr="007E0CDD">
        <w:rPr>
          <w:rFonts w:eastAsia="Calibri"/>
        </w:rPr>
        <w:t xml:space="preserve">Comparison of ICD-9-CM and ICD-10-CM/PCS </w:t>
      </w:r>
      <w:r w:rsidR="00CA09FB">
        <w:rPr>
          <w:rFonts w:eastAsia="Calibri"/>
        </w:rPr>
        <w:t>T</w:t>
      </w:r>
      <w:r w:rsidR="00CA09FB" w:rsidRPr="007E0CDD">
        <w:rPr>
          <w:rFonts w:eastAsia="Calibri"/>
        </w:rPr>
        <w:t>erminologies</w:t>
      </w:r>
      <w:bookmarkEnd w:id="0"/>
      <w:bookmarkEnd w:id="1"/>
    </w:p>
    <w:p w14:paraId="2958A041" w14:textId="77777777" w:rsidR="00CA09FB" w:rsidRPr="007E0CDD" w:rsidRDefault="00CA09FB" w:rsidP="00CA09FB">
      <w:pPr>
        <w:pStyle w:val="006BodyText"/>
      </w:pPr>
      <w:r w:rsidRPr="007E0CDD">
        <w:t xml:space="preserve">The Centers for Medicaid and Medicare Services and the Center for Disease Control and Prevention developed a U.S. version of the ICD-10 terminology. This new terminology went into effect in October 2015 in the U.S. healthcare system. The following table provides a contrast between this terminology and its predecessor (ICD-9-CM). </w:t>
      </w:r>
    </w:p>
    <w:tbl>
      <w:tblPr>
        <w:tblStyle w:val="TableGrid2"/>
        <w:tblW w:w="9397" w:type="dxa"/>
        <w:tblLook w:val="04A0" w:firstRow="1" w:lastRow="0" w:firstColumn="1" w:lastColumn="0" w:noHBand="0" w:noVBand="1"/>
      </w:tblPr>
      <w:tblGrid>
        <w:gridCol w:w="1773"/>
        <w:gridCol w:w="3812"/>
        <w:gridCol w:w="3812"/>
      </w:tblGrid>
      <w:tr w:rsidR="00CA09FB" w:rsidRPr="00827E08" w14:paraId="0DF796E8" w14:textId="77777777" w:rsidTr="00E46A94">
        <w:trPr>
          <w:trHeight w:val="536"/>
        </w:trPr>
        <w:tc>
          <w:tcPr>
            <w:tcW w:w="9397" w:type="dxa"/>
            <w:gridSpan w:val="3"/>
            <w:vAlign w:val="center"/>
          </w:tcPr>
          <w:p w14:paraId="4808A039"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Differences between ICD-9-CM and ICD-10 Code Sets</w:t>
            </w:r>
          </w:p>
        </w:tc>
      </w:tr>
      <w:tr w:rsidR="00CA09FB" w:rsidRPr="00827E08" w14:paraId="6D2FB623" w14:textId="77777777" w:rsidTr="00E46A94">
        <w:trPr>
          <w:trHeight w:val="445"/>
        </w:trPr>
        <w:tc>
          <w:tcPr>
            <w:tcW w:w="1773" w:type="dxa"/>
            <w:vAlign w:val="center"/>
          </w:tcPr>
          <w:p w14:paraId="6E6500D8" w14:textId="77777777" w:rsidR="00CA09FB" w:rsidRPr="00827E08" w:rsidRDefault="00CA09FB" w:rsidP="00E46A94">
            <w:pPr>
              <w:jc w:val="center"/>
              <w:rPr>
                <w:rFonts w:asciiTheme="minorBidi" w:hAnsiTheme="minorBidi" w:cstheme="minorBidi"/>
                <w:sz w:val="22"/>
                <w:szCs w:val="22"/>
              </w:rPr>
            </w:pPr>
          </w:p>
        </w:tc>
        <w:tc>
          <w:tcPr>
            <w:tcW w:w="3812" w:type="dxa"/>
            <w:vAlign w:val="center"/>
          </w:tcPr>
          <w:p w14:paraId="33DE5202"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ICD-9-CM</w:t>
            </w:r>
          </w:p>
        </w:tc>
        <w:tc>
          <w:tcPr>
            <w:tcW w:w="3812" w:type="dxa"/>
            <w:vAlign w:val="center"/>
          </w:tcPr>
          <w:p w14:paraId="72FCF429"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ICD-10-CM/PCS</w:t>
            </w:r>
          </w:p>
        </w:tc>
      </w:tr>
      <w:tr w:rsidR="00CA09FB" w:rsidRPr="00827E08" w14:paraId="6DCABD0C" w14:textId="77777777" w:rsidTr="00E46A94">
        <w:trPr>
          <w:trHeight w:val="536"/>
        </w:trPr>
        <w:tc>
          <w:tcPr>
            <w:tcW w:w="1773" w:type="dxa"/>
            <w:vAlign w:val="center"/>
          </w:tcPr>
          <w:p w14:paraId="5A6B569F"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Diagnosis</w:t>
            </w:r>
          </w:p>
        </w:tc>
        <w:tc>
          <w:tcPr>
            <w:tcW w:w="3812" w:type="dxa"/>
            <w:vAlign w:val="center"/>
          </w:tcPr>
          <w:p w14:paraId="62E6FFFB"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14,025 codes</w:t>
            </w:r>
          </w:p>
        </w:tc>
        <w:tc>
          <w:tcPr>
            <w:tcW w:w="3812" w:type="dxa"/>
            <w:vAlign w:val="center"/>
          </w:tcPr>
          <w:p w14:paraId="52F72171"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69,823 codes</w:t>
            </w:r>
          </w:p>
        </w:tc>
      </w:tr>
      <w:tr w:rsidR="00CA09FB" w:rsidRPr="00827E08" w14:paraId="58DB544C" w14:textId="77777777" w:rsidTr="00E46A94">
        <w:trPr>
          <w:trHeight w:val="536"/>
        </w:trPr>
        <w:tc>
          <w:tcPr>
            <w:tcW w:w="1773" w:type="dxa"/>
            <w:vAlign w:val="center"/>
          </w:tcPr>
          <w:p w14:paraId="15C35CC3"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Procedure</w:t>
            </w:r>
          </w:p>
        </w:tc>
        <w:tc>
          <w:tcPr>
            <w:tcW w:w="3812" w:type="dxa"/>
            <w:vAlign w:val="center"/>
          </w:tcPr>
          <w:p w14:paraId="02CA71CC"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3,824 codes</w:t>
            </w:r>
          </w:p>
        </w:tc>
        <w:tc>
          <w:tcPr>
            <w:tcW w:w="3812" w:type="dxa"/>
            <w:vAlign w:val="center"/>
          </w:tcPr>
          <w:p w14:paraId="2B7C4121"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71,927 codes</w:t>
            </w:r>
          </w:p>
        </w:tc>
      </w:tr>
      <w:tr w:rsidR="00CA09FB" w:rsidRPr="00827E08" w14:paraId="6CBF8194" w14:textId="77777777" w:rsidTr="00E46A94">
        <w:trPr>
          <w:trHeight w:val="436"/>
        </w:trPr>
        <w:tc>
          <w:tcPr>
            <w:tcW w:w="9397" w:type="dxa"/>
            <w:gridSpan w:val="3"/>
            <w:vAlign w:val="center"/>
          </w:tcPr>
          <w:p w14:paraId="713DD920"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Structure Changes (selected details)</w:t>
            </w:r>
          </w:p>
        </w:tc>
      </w:tr>
      <w:tr w:rsidR="00CA09FB" w:rsidRPr="00827E08" w14:paraId="0FDC2134" w14:textId="77777777" w:rsidTr="00E46A94">
        <w:trPr>
          <w:trHeight w:val="527"/>
        </w:trPr>
        <w:tc>
          <w:tcPr>
            <w:tcW w:w="1773" w:type="dxa"/>
            <w:vAlign w:val="center"/>
          </w:tcPr>
          <w:p w14:paraId="09DB0CC5" w14:textId="77777777" w:rsidR="00CA09FB" w:rsidRPr="00827E08" w:rsidRDefault="00CA09FB" w:rsidP="00E46A94">
            <w:pPr>
              <w:jc w:val="center"/>
              <w:rPr>
                <w:rFonts w:asciiTheme="minorBidi" w:hAnsiTheme="minorBidi" w:cstheme="minorBidi"/>
                <w:sz w:val="22"/>
                <w:szCs w:val="22"/>
              </w:rPr>
            </w:pPr>
          </w:p>
        </w:tc>
        <w:tc>
          <w:tcPr>
            <w:tcW w:w="3812" w:type="dxa"/>
            <w:vAlign w:val="center"/>
          </w:tcPr>
          <w:p w14:paraId="33859ABD"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ICD-9-CM</w:t>
            </w:r>
          </w:p>
        </w:tc>
        <w:tc>
          <w:tcPr>
            <w:tcW w:w="3812" w:type="dxa"/>
            <w:vAlign w:val="center"/>
          </w:tcPr>
          <w:p w14:paraId="278E0ED7" w14:textId="77777777" w:rsidR="00CA09FB" w:rsidRPr="00827E08" w:rsidRDefault="00CA09FB" w:rsidP="00E46A94">
            <w:pPr>
              <w:jc w:val="center"/>
              <w:rPr>
                <w:rFonts w:asciiTheme="minorBidi" w:hAnsiTheme="minorBidi" w:cstheme="minorBidi"/>
                <w:sz w:val="22"/>
                <w:szCs w:val="22"/>
              </w:rPr>
            </w:pPr>
            <w:r w:rsidRPr="00827E08">
              <w:rPr>
                <w:rFonts w:asciiTheme="minorBidi" w:hAnsiTheme="minorBidi" w:cstheme="minorBidi"/>
                <w:sz w:val="22"/>
                <w:szCs w:val="22"/>
              </w:rPr>
              <w:t>ICD-10-CM/PCS</w:t>
            </w:r>
          </w:p>
        </w:tc>
      </w:tr>
      <w:tr w:rsidR="00CA09FB" w:rsidRPr="00827E08" w14:paraId="17FB62DF" w14:textId="77777777" w:rsidTr="00E46A94">
        <w:trPr>
          <w:trHeight w:val="1609"/>
        </w:trPr>
        <w:tc>
          <w:tcPr>
            <w:tcW w:w="1773" w:type="dxa"/>
            <w:vAlign w:val="center"/>
          </w:tcPr>
          <w:p w14:paraId="0AF28C3B"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Diagnosis</w:t>
            </w:r>
          </w:p>
        </w:tc>
        <w:tc>
          <w:tcPr>
            <w:tcW w:w="3812" w:type="dxa"/>
            <w:vAlign w:val="center"/>
          </w:tcPr>
          <w:p w14:paraId="15FA59BA"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3-5 characters</w:t>
            </w:r>
          </w:p>
          <w:p w14:paraId="4050E114"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1</w:t>
            </w:r>
            <w:r w:rsidRPr="00827E08">
              <w:rPr>
                <w:rFonts w:asciiTheme="minorBidi" w:hAnsiTheme="minorBidi" w:cstheme="minorBidi"/>
                <w:sz w:val="22"/>
                <w:szCs w:val="22"/>
                <w:vertAlign w:val="superscript"/>
              </w:rPr>
              <w:t>st</w:t>
            </w:r>
            <w:r w:rsidRPr="00827E08">
              <w:rPr>
                <w:rFonts w:asciiTheme="minorBidi" w:hAnsiTheme="minorBidi" w:cstheme="minorBidi"/>
                <w:sz w:val="22"/>
                <w:szCs w:val="22"/>
              </w:rPr>
              <w:t xml:space="preserve"> character is numeric or alpha</w:t>
            </w:r>
          </w:p>
          <w:p w14:paraId="79D7920E"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Character 2-5 are numeric</w:t>
            </w:r>
          </w:p>
        </w:tc>
        <w:tc>
          <w:tcPr>
            <w:tcW w:w="3812" w:type="dxa"/>
            <w:vAlign w:val="center"/>
          </w:tcPr>
          <w:p w14:paraId="5E0B2276"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3-7 characters</w:t>
            </w:r>
          </w:p>
          <w:p w14:paraId="6C3600FA"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1</w:t>
            </w:r>
            <w:r w:rsidRPr="00827E08">
              <w:rPr>
                <w:rFonts w:asciiTheme="minorBidi" w:hAnsiTheme="minorBidi" w:cstheme="minorBidi"/>
                <w:sz w:val="22"/>
                <w:szCs w:val="22"/>
                <w:vertAlign w:val="superscript"/>
              </w:rPr>
              <w:t>st</w:t>
            </w:r>
            <w:r w:rsidRPr="00827E08">
              <w:rPr>
                <w:rFonts w:asciiTheme="minorBidi" w:hAnsiTheme="minorBidi" w:cstheme="minorBidi"/>
                <w:sz w:val="22"/>
                <w:szCs w:val="22"/>
              </w:rPr>
              <w:t xml:space="preserve"> character is alpha</w:t>
            </w:r>
          </w:p>
          <w:p w14:paraId="6ED0572D"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2</w:t>
            </w:r>
            <w:r w:rsidRPr="00827E08">
              <w:rPr>
                <w:rFonts w:asciiTheme="minorBidi" w:hAnsiTheme="minorBidi" w:cstheme="minorBidi"/>
                <w:sz w:val="22"/>
                <w:szCs w:val="22"/>
                <w:vertAlign w:val="superscript"/>
              </w:rPr>
              <w:t>nd</w:t>
            </w:r>
            <w:r w:rsidRPr="00827E08">
              <w:rPr>
                <w:rFonts w:asciiTheme="minorBidi" w:hAnsiTheme="minorBidi" w:cstheme="minorBidi"/>
                <w:sz w:val="22"/>
                <w:szCs w:val="22"/>
              </w:rPr>
              <w:t xml:space="preserve"> character is numeric</w:t>
            </w:r>
          </w:p>
          <w:p w14:paraId="49AD49F7"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3</w:t>
            </w:r>
            <w:r w:rsidRPr="00827E08">
              <w:rPr>
                <w:rFonts w:asciiTheme="minorBidi" w:hAnsiTheme="minorBidi" w:cstheme="minorBidi"/>
                <w:sz w:val="22"/>
                <w:szCs w:val="22"/>
                <w:vertAlign w:val="superscript"/>
              </w:rPr>
              <w:t>rd</w:t>
            </w:r>
            <w:r w:rsidRPr="00827E08">
              <w:rPr>
                <w:rFonts w:asciiTheme="minorBidi" w:hAnsiTheme="minorBidi" w:cstheme="minorBidi"/>
                <w:sz w:val="22"/>
                <w:szCs w:val="22"/>
              </w:rPr>
              <w:t xml:space="preserve"> – 7</w:t>
            </w:r>
            <w:r w:rsidRPr="00827E08">
              <w:rPr>
                <w:rFonts w:asciiTheme="minorBidi" w:hAnsiTheme="minorBidi" w:cstheme="minorBidi"/>
                <w:sz w:val="22"/>
                <w:szCs w:val="22"/>
                <w:vertAlign w:val="superscript"/>
              </w:rPr>
              <w:t>th</w:t>
            </w:r>
            <w:r w:rsidRPr="00827E08">
              <w:rPr>
                <w:rFonts w:asciiTheme="minorBidi" w:hAnsiTheme="minorBidi" w:cstheme="minorBidi"/>
                <w:sz w:val="22"/>
                <w:szCs w:val="22"/>
              </w:rPr>
              <w:t xml:space="preserve"> positions can be alpha or numeric</w:t>
            </w:r>
          </w:p>
        </w:tc>
      </w:tr>
      <w:tr w:rsidR="00CA09FB" w:rsidRPr="00827E08" w14:paraId="7284896F" w14:textId="77777777" w:rsidTr="00E46A94">
        <w:trPr>
          <w:trHeight w:val="1609"/>
        </w:trPr>
        <w:tc>
          <w:tcPr>
            <w:tcW w:w="1773" w:type="dxa"/>
            <w:vAlign w:val="center"/>
          </w:tcPr>
          <w:p w14:paraId="220CCC32" w14:textId="77777777" w:rsidR="00CA09FB" w:rsidRPr="00827E08" w:rsidRDefault="00CA09FB" w:rsidP="00E46A94">
            <w:pPr>
              <w:jc w:val="center"/>
              <w:rPr>
                <w:rFonts w:asciiTheme="minorBidi" w:hAnsiTheme="minorBidi" w:cstheme="minorBidi"/>
                <w:b/>
                <w:bCs/>
                <w:sz w:val="22"/>
                <w:szCs w:val="22"/>
              </w:rPr>
            </w:pPr>
            <w:r w:rsidRPr="00827E08">
              <w:rPr>
                <w:rFonts w:asciiTheme="minorBidi" w:hAnsiTheme="minorBidi" w:cstheme="minorBidi"/>
                <w:b/>
                <w:bCs/>
                <w:sz w:val="22"/>
                <w:szCs w:val="22"/>
              </w:rPr>
              <w:t>Procedure</w:t>
            </w:r>
          </w:p>
        </w:tc>
        <w:tc>
          <w:tcPr>
            <w:tcW w:w="3812" w:type="dxa"/>
            <w:vAlign w:val="center"/>
          </w:tcPr>
          <w:p w14:paraId="60026311"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3-4 characters</w:t>
            </w:r>
          </w:p>
          <w:p w14:paraId="569F7943"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All characters are numeric</w:t>
            </w:r>
          </w:p>
          <w:p w14:paraId="3EFBE35F"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All codes have at least 3 characters</w:t>
            </w:r>
          </w:p>
        </w:tc>
        <w:tc>
          <w:tcPr>
            <w:tcW w:w="3812" w:type="dxa"/>
            <w:vAlign w:val="center"/>
          </w:tcPr>
          <w:p w14:paraId="604E79CB"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7 characters</w:t>
            </w:r>
          </w:p>
          <w:p w14:paraId="3DA3491F"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Each can be alpha or numeric</w:t>
            </w:r>
          </w:p>
          <w:p w14:paraId="3C390513" w14:textId="77777777" w:rsidR="00CA09FB" w:rsidRPr="00827E08" w:rsidRDefault="00CA09FB" w:rsidP="00CA09FB">
            <w:pPr>
              <w:numPr>
                <w:ilvl w:val="0"/>
                <w:numId w:val="1"/>
              </w:numPr>
              <w:contextualSpacing/>
              <w:rPr>
                <w:rFonts w:asciiTheme="minorBidi" w:hAnsiTheme="minorBidi" w:cstheme="minorBidi"/>
                <w:sz w:val="22"/>
                <w:szCs w:val="22"/>
              </w:rPr>
            </w:pPr>
            <w:r w:rsidRPr="00827E08">
              <w:rPr>
                <w:rFonts w:asciiTheme="minorBidi" w:hAnsiTheme="minorBidi" w:cstheme="minorBidi"/>
                <w:sz w:val="22"/>
                <w:szCs w:val="22"/>
              </w:rPr>
              <w:t>Numbers 0-9; letters A-H, J-N, P-Z</w:t>
            </w:r>
          </w:p>
        </w:tc>
      </w:tr>
    </w:tbl>
    <w:p w14:paraId="619957DD" w14:textId="09A7C83D" w:rsidR="00CA09FB" w:rsidRDefault="00CA09FB" w:rsidP="00CA09FB">
      <w:pPr>
        <w:spacing w:after="160" w:line="259" w:lineRule="auto"/>
        <w:rPr>
          <w:rFonts w:eastAsia="Calibri" w:cs="Arial"/>
        </w:rPr>
      </w:pPr>
      <w:r w:rsidRPr="007E0CDD">
        <w:rPr>
          <w:rFonts w:eastAsia="Calibri" w:cs="Arial"/>
        </w:rPr>
        <w:t xml:space="preserve">Adapted from “The ICD-10 Transition and Public Health Surveillance - What You Need to Know” available at </w:t>
      </w:r>
      <w:hyperlink r:id="rId8" w:history="1">
        <w:r w:rsidRPr="007E0CDD">
          <w:rPr>
            <w:rFonts w:eastAsia="Calibri" w:cs="Arial"/>
            <w:color w:val="0563C1"/>
            <w:u w:val="single"/>
          </w:rPr>
          <w:t>https://www.cdc.gov/nchs/icd/icd10cm_pcs_background.htm</w:t>
        </w:r>
      </w:hyperlink>
      <w:r w:rsidRPr="007E0CDD">
        <w:rPr>
          <w:rFonts w:eastAsia="Calibri" w:cs="Arial"/>
        </w:rPr>
        <w:t xml:space="preserve"> (Accessed 31/03/2021)</w:t>
      </w:r>
    </w:p>
    <w:p w14:paraId="04B98329" w14:textId="5BE97BCF" w:rsidR="00615D0C" w:rsidRDefault="00615D0C">
      <w:pPr>
        <w:spacing w:after="160" w:line="259" w:lineRule="auto"/>
        <w:rPr>
          <w:rFonts w:eastAsia="Calibri" w:cs="Arial"/>
        </w:rPr>
      </w:pPr>
      <w:r>
        <w:rPr>
          <w:rFonts w:eastAsia="Calibri" w:cs="Arial"/>
        </w:rPr>
        <w:br w:type="page"/>
      </w:r>
    </w:p>
    <w:p w14:paraId="52CCB2E5" w14:textId="6115B4FB" w:rsidR="00CA09FB" w:rsidRPr="007E0CDD" w:rsidRDefault="00615D0C" w:rsidP="00615D0C">
      <w:pPr>
        <w:pStyle w:val="003First-LevelSubheadingBOLD"/>
        <w:jc w:val="both"/>
        <w:rPr>
          <w:rFonts w:eastAsia="Calibri"/>
        </w:rPr>
      </w:pPr>
      <w:bookmarkStart w:id="2" w:name="_Toc100265145"/>
      <w:bookmarkStart w:id="3" w:name="_Toc102815472"/>
      <w:r>
        <w:rPr>
          <w:rFonts w:eastAsia="Calibri"/>
        </w:rPr>
        <w:lastRenderedPageBreak/>
        <w:t xml:space="preserve">1.2 </w:t>
      </w:r>
      <w:r w:rsidR="00CA09FB">
        <w:rPr>
          <w:rFonts w:eastAsia="Calibri"/>
        </w:rPr>
        <w:t>Definition of</w:t>
      </w:r>
      <w:r w:rsidR="00CA09FB" w:rsidRPr="007E0CDD">
        <w:rPr>
          <w:rFonts w:eastAsia="Calibri"/>
        </w:rPr>
        <w:t xml:space="preserve"> </w:t>
      </w:r>
      <w:r w:rsidR="00CA09FB">
        <w:rPr>
          <w:rFonts w:eastAsia="Calibri"/>
        </w:rPr>
        <w:t>G</w:t>
      </w:r>
      <w:r w:rsidR="00CA09FB" w:rsidRPr="007E0CDD">
        <w:rPr>
          <w:rFonts w:eastAsia="Calibri"/>
        </w:rPr>
        <w:t xml:space="preserve">astrointestinal </w:t>
      </w:r>
      <w:r w:rsidR="00CA09FB">
        <w:rPr>
          <w:rFonts w:eastAsia="Calibri"/>
        </w:rPr>
        <w:t>B</w:t>
      </w:r>
      <w:r w:rsidR="00CA09FB" w:rsidRPr="007E0CDD">
        <w:rPr>
          <w:rFonts w:eastAsia="Calibri"/>
        </w:rPr>
        <w:t>leeding</w:t>
      </w:r>
      <w:bookmarkEnd w:id="2"/>
      <w:bookmarkEnd w:id="3"/>
    </w:p>
    <w:p w14:paraId="11F7CD77" w14:textId="4AA2EC32" w:rsidR="00CA09FB" w:rsidRPr="007E0CDD" w:rsidRDefault="00CA09FB" w:rsidP="00CA09FB">
      <w:pPr>
        <w:pStyle w:val="006BodyText"/>
      </w:pPr>
      <w:r w:rsidRPr="007E0CDD">
        <w:t>This code algorithm was defined by the Food and Drug Administration (Sentinel Initiative) in a study to evaluate the safety of anticoagulant drugs.</w:t>
      </w:r>
      <w:r w:rsidRPr="007E0CDD">
        <w:fldChar w:fldCharType="begin" w:fldLock="1"/>
      </w:r>
      <w:r w:rsidR="000F420C">
        <w:instrText>ADDIN CSL_CITATION {"citationItems":[{"id":"ITEM-1","itemData":{"author":[{"dropping-particle":"","family":"U.S. Food and Drug Administration - Sentinel Initiative","given":"","non-dropping-particle":"","parse-names":false,"suffix":""}],"id":"ITEM-1","issued":{"date-parts":[["2020"]]},"title":"Gastrointestinal Bleeding Algorithm Defined in \"Thromboembolic Stroke, Intracranial Hemorrhage, Gastrointestinal Bleeding, and Major Extracranial Bleeding following Dabigatran, Rivaroxaban, and Apixaban Use in Patients with Atrial Fibrillation: A Propensi","type":"article-journal"},"uris":["http://www.mendeley.com/documents/?uuid=79c1c6c9-3538-4841-9e71-d994fea4386a"]}],"mendeley":{"formattedCitation":"&lt;sup&gt;1&lt;/sup&gt;","plainTextFormattedCitation":"1","previouslyFormattedCitation":"&lt;sup&gt;64&lt;/sup&gt;"},"properties":{"noteIndex":0},"schema":"https://github.com/citation-style-language/schema/raw/master/csl-citation.json"}</w:instrText>
      </w:r>
      <w:r w:rsidRPr="007E0CDD">
        <w:fldChar w:fldCharType="separate"/>
      </w:r>
      <w:r w:rsidR="000F420C" w:rsidRPr="000F420C">
        <w:rPr>
          <w:noProof/>
          <w:vertAlign w:val="superscript"/>
        </w:rPr>
        <w:t>1</w:t>
      </w:r>
      <w:r w:rsidRPr="007E0CDD">
        <w:fldChar w:fldCharType="end"/>
      </w:r>
    </w:p>
    <w:p w14:paraId="6A9212A3" w14:textId="77777777" w:rsidR="00CA09FB" w:rsidRPr="007E0CDD" w:rsidRDefault="00CA09FB" w:rsidP="00CA09FB">
      <w:pPr>
        <w:rPr>
          <w:rFonts w:eastAsia="Calibri" w:cs="Arial"/>
        </w:rPr>
      </w:pPr>
    </w:p>
    <w:tbl>
      <w:tblPr>
        <w:tblStyle w:val="TableGrid2"/>
        <w:tblW w:w="0" w:type="auto"/>
        <w:tblLook w:val="04A0" w:firstRow="1" w:lastRow="0" w:firstColumn="1" w:lastColumn="0" w:noHBand="0" w:noVBand="1"/>
      </w:tblPr>
      <w:tblGrid>
        <w:gridCol w:w="2875"/>
        <w:gridCol w:w="6475"/>
      </w:tblGrid>
      <w:tr w:rsidR="00CA09FB" w:rsidRPr="00827E08" w14:paraId="49EA79F6" w14:textId="77777777" w:rsidTr="00E46A94">
        <w:trPr>
          <w:trHeight w:val="440"/>
        </w:trPr>
        <w:tc>
          <w:tcPr>
            <w:tcW w:w="2875" w:type="dxa"/>
            <w:vAlign w:val="center"/>
          </w:tcPr>
          <w:p w14:paraId="00E1F134" w14:textId="77777777" w:rsidR="00CA09FB" w:rsidRPr="00827E08" w:rsidRDefault="00CA09FB" w:rsidP="00E46A94">
            <w:pPr>
              <w:rPr>
                <w:rFonts w:asciiTheme="minorBidi" w:hAnsiTheme="minorBidi" w:cstheme="minorBidi"/>
                <w:sz w:val="22"/>
                <w:szCs w:val="22"/>
              </w:rPr>
            </w:pPr>
            <w:r w:rsidRPr="00827E08">
              <w:rPr>
                <w:rFonts w:asciiTheme="minorBidi" w:hAnsiTheme="minorBidi" w:cstheme="minorBidi"/>
                <w:b/>
                <w:bCs/>
                <w:sz w:val="22"/>
                <w:szCs w:val="22"/>
              </w:rPr>
              <w:t>ICD era</w:t>
            </w:r>
          </w:p>
        </w:tc>
        <w:tc>
          <w:tcPr>
            <w:tcW w:w="6475" w:type="dxa"/>
            <w:vAlign w:val="center"/>
          </w:tcPr>
          <w:p w14:paraId="76EF0046" w14:textId="77777777" w:rsidR="00CA09FB" w:rsidRPr="00827E08" w:rsidRDefault="00CA09FB" w:rsidP="00E46A94">
            <w:pPr>
              <w:rPr>
                <w:rFonts w:asciiTheme="minorBidi" w:hAnsiTheme="minorBidi" w:cstheme="minorBidi"/>
                <w:b/>
                <w:bCs/>
                <w:sz w:val="22"/>
                <w:szCs w:val="22"/>
              </w:rPr>
            </w:pPr>
            <w:r w:rsidRPr="00827E08">
              <w:rPr>
                <w:rFonts w:asciiTheme="minorBidi" w:hAnsiTheme="minorBidi" w:cstheme="minorBidi"/>
                <w:b/>
                <w:bCs/>
                <w:sz w:val="22"/>
                <w:szCs w:val="22"/>
              </w:rPr>
              <w:t>Code Set</w:t>
            </w:r>
          </w:p>
        </w:tc>
      </w:tr>
      <w:tr w:rsidR="00CA09FB" w:rsidRPr="00827E08" w14:paraId="3DB0141A" w14:textId="77777777" w:rsidTr="00E46A94">
        <w:tc>
          <w:tcPr>
            <w:tcW w:w="2875" w:type="dxa"/>
            <w:vAlign w:val="center"/>
          </w:tcPr>
          <w:p w14:paraId="4355B366" w14:textId="77777777" w:rsidR="00CA09FB" w:rsidRPr="00827E08" w:rsidRDefault="00CA09FB" w:rsidP="00E46A94">
            <w:pPr>
              <w:rPr>
                <w:rFonts w:asciiTheme="minorBidi" w:hAnsiTheme="minorBidi" w:cstheme="minorBidi"/>
                <w:b/>
                <w:bCs/>
                <w:sz w:val="22"/>
                <w:szCs w:val="22"/>
              </w:rPr>
            </w:pPr>
            <w:r w:rsidRPr="00827E08">
              <w:rPr>
                <w:rFonts w:asciiTheme="minorBidi" w:hAnsiTheme="minorBidi" w:cstheme="minorBidi"/>
                <w:b/>
                <w:bCs/>
                <w:sz w:val="22"/>
                <w:szCs w:val="22"/>
              </w:rPr>
              <w:t>ICD-9-CM</w:t>
            </w:r>
          </w:p>
        </w:tc>
        <w:tc>
          <w:tcPr>
            <w:tcW w:w="6475" w:type="dxa"/>
          </w:tcPr>
          <w:p w14:paraId="49D03283" w14:textId="77777777" w:rsidR="00CA09FB" w:rsidRPr="00827E08" w:rsidRDefault="00CA09FB" w:rsidP="00E46A94">
            <w:pPr>
              <w:rPr>
                <w:rFonts w:asciiTheme="minorBidi" w:hAnsiTheme="minorBidi" w:cstheme="minorBidi"/>
                <w:sz w:val="22"/>
                <w:szCs w:val="22"/>
              </w:rPr>
            </w:pPr>
            <w:r w:rsidRPr="00827E08">
              <w:rPr>
                <w:rFonts w:asciiTheme="minorBidi" w:hAnsiTheme="minorBidi" w:cstheme="minorBidi"/>
                <w:sz w:val="22"/>
                <w:szCs w:val="22"/>
              </w:rPr>
              <w:t>455, 455.1, 455.2, 455.3, 455.4, 455.5, 455.6, 455.7, 455.8, 456, 456.2, 459, 530.1, 530.7, 530.82, 531, 531.01, 531.1, 531.2, 531.21, 531.3, 531.4, 531.41, 531.5, 531.6, 531.61, 531.7, 531.9, 532, 532.01, 532.1, 532.2, 532.21, 532.3, 532.4, 532.41, 532.5, 532.6, 532.61, 532.7, 532.9, 533, 533.01, 533.1, 533.2, 533.21, 533.3, 533.4, 533.41, 533.5, 533.6, 533.61, 533.7, 533.9, 534, 534.01, 534.1, 534.2, 534.21, 534.3, 534.4, 534.41, 534.5, 534.6, 534.61, 534.7, 534.9, 535, 535.01, 535.1, 535.11, 535.2, 535.21, 535.3, 535.31, 535.4, 535.41, 535.5, 535.51, 535.6, 535.61, 537.83, 562, 562.01, 562.02, 562.03, 562.1, 562.11, 562.12, 562.13, 568.81, 569.3, 569.85, 578, 578.1, 578.9</w:t>
            </w:r>
          </w:p>
          <w:p w14:paraId="532E98FD" w14:textId="77777777" w:rsidR="00CA09FB" w:rsidRPr="00827E08" w:rsidRDefault="00CA09FB" w:rsidP="00E46A94">
            <w:pPr>
              <w:rPr>
                <w:rFonts w:asciiTheme="minorBidi" w:hAnsiTheme="minorBidi" w:cstheme="minorBidi"/>
                <w:sz w:val="22"/>
                <w:szCs w:val="22"/>
              </w:rPr>
            </w:pPr>
          </w:p>
        </w:tc>
      </w:tr>
      <w:tr w:rsidR="00CA09FB" w:rsidRPr="00827E08" w14:paraId="0D7C8160" w14:textId="77777777" w:rsidTr="00E46A94">
        <w:tc>
          <w:tcPr>
            <w:tcW w:w="2875" w:type="dxa"/>
            <w:vAlign w:val="center"/>
          </w:tcPr>
          <w:p w14:paraId="26FFFC65" w14:textId="77777777" w:rsidR="00CA09FB" w:rsidRPr="00827E08" w:rsidRDefault="00CA09FB" w:rsidP="00E46A94">
            <w:pPr>
              <w:rPr>
                <w:rFonts w:asciiTheme="minorBidi" w:hAnsiTheme="minorBidi" w:cstheme="minorBidi"/>
                <w:b/>
                <w:bCs/>
                <w:sz w:val="22"/>
                <w:szCs w:val="22"/>
              </w:rPr>
            </w:pPr>
            <w:r w:rsidRPr="00827E08">
              <w:rPr>
                <w:rFonts w:asciiTheme="minorBidi" w:hAnsiTheme="minorBidi" w:cstheme="minorBidi"/>
                <w:b/>
                <w:bCs/>
                <w:sz w:val="22"/>
                <w:szCs w:val="22"/>
              </w:rPr>
              <w:t>ICD-10-CM</w:t>
            </w:r>
          </w:p>
        </w:tc>
        <w:tc>
          <w:tcPr>
            <w:tcW w:w="6475" w:type="dxa"/>
          </w:tcPr>
          <w:p w14:paraId="45826517" w14:textId="77777777" w:rsidR="00CA09FB" w:rsidRPr="00827E08" w:rsidRDefault="00CA09FB" w:rsidP="00E46A94">
            <w:pPr>
              <w:rPr>
                <w:rFonts w:asciiTheme="minorBidi" w:hAnsiTheme="minorBidi" w:cstheme="minorBidi"/>
                <w:sz w:val="22"/>
                <w:szCs w:val="22"/>
              </w:rPr>
            </w:pPr>
            <w:r w:rsidRPr="00827E08">
              <w:rPr>
                <w:rFonts w:asciiTheme="minorBidi" w:hAnsiTheme="minorBidi" w:cstheme="minorBidi"/>
                <w:sz w:val="22"/>
                <w:szCs w:val="22"/>
              </w:rPr>
              <w:t>I85.01 ,I85.11 ,K22.6 ,K22.8 ,K25.0 ,K25.2 ,K25.4 ,K25.6 ,K26.0 ,K26.2 ,K26.4 ,K26.6 ,K27.0 ,K27.2 ,K27.4 ,K27.6 ,K28.0 ,K28.2 ,K28.4 ,K28.6 ,K29.00 ,K29.01 ,K29.20 ,K29.21 ,K29.30 ,K29.31 ,K29.40 ,K29.41 ,K29.50 ,K29.51 ,K29.60 ,K29.61 ,K29.70 ,K29.71 ,K29.80 ,K29.81 ,K29.90 ,K29.91 ,K31.811 ,K55.21 ,K56.699 ,K57.00 ,K57.01 ,K57.10 ,K57.11 ,K57.12 ,K57.13 ,K57.20 ,K57.21 ,K57.30 ,K57.31 ,K57.32 ,K57.33 ,K57.40 ,K57.41 ,K57.50 ,K57.51 ,K57.52 ,K57.53 ,K57.80 ,K57.81 ,K57.90 ,K57.91 ,K57.92 ,K57.93 ,K62.5 ,K64.0 ,K64.0 ,K64.1 ,K64.1 ,K64.2 ,K64.2 ,K64.3 ,K64.3 ,K64.4 ,K64.4 ,K64.5 ,K64.8 ,K64.8 ,K64.9 ,K66.1 ,K92.0 ,K92.1 ,K92.2 ,R58</w:t>
            </w:r>
          </w:p>
          <w:p w14:paraId="366CF840" w14:textId="77777777" w:rsidR="00CA09FB" w:rsidRPr="00827E08" w:rsidRDefault="00CA09FB" w:rsidP="00E46A94">
            <w:pPr>
              <w:rPr>
                <w:rFonts w:asciiTheme="minorBidi" w:hAnsiTheme="minorBidi" w:cstheme="minorBidi"/>
                <w:sz w:val="22"/>
                <w:szCs w:val="22"/>
              </w:rPr>
            </w:pPr>
          </w:p>
        </w:tc>
      </w:tr>
    </w:tbl>
    <w:p w14:paraId="7C7BF658" w14:textId="77777777" w:rsidR="00CA09FB" w:rsidRPr="007E0CDD" w:rsidRDefault="00CA09FB" w:rsidP="00CA09FB">
      <w:pPr>
        <w:spacing w:after="160" w:line="259" w:lineRule="auto"/>
        <w:rPr>
          <w:rFonts w:eastAsia="Calibri" w:cs="Arial"/>
        </w:rPr>
      </w:pPr>
    </w:p>
    <w:p w14:paraId="1112AC94" w14:textId="06C39D13" w:rsidR="00B54A7F" w:rsidRPr="00B54A7F" w:rsidRDefault="00651455" w:rsidP="00B54A7F">
      <w:pPr>
        <w:rPr>
          <w:rFonts w:eastAsia="Calibri" w:cs="Arial"/>
        </w:rPr>
      </w:pPr>
      <w:r w:rsidRPr="00B54A7F">
        <w:rPr>
          <w:rFonts w:eastAsia="Calibri" w:cs="Arial"/>
        </w:rPr>
        <w:t>U.S. Food and Drug Administration - Sentinel Initiative. Gastrointestinal Bleeding Algorithm Defined in "Thromboembolic Stroke, Intracranial Hemorrhage, Gastrointestinal Bleeding, and Major Extracranial Bleeding following Dabigatran, Rivaroxaban, and Apixaban Use in Patients with Atrial Fibrillation: A Propensity score matched analysis. Published online 2020.</w:t>
      </w:r>
      <w:r w:rsidR="00B54A7F" w:rsidRPr="00B54A7F">
        <w:rPr>
          <w:rFonts w:eastAsia="Calibri" w:cs="Arial"/>
        </w:rPr>
        <w:t xml:space="preserve"> </w:t>
      </w:r>
      <w:hyperlink r:id="rId9" w:history="1">
        <w:r w:rsidR="00B54A7F" w:rsidRPr="00B54A7F">
          <w:rPr>
            <w:rStyle w:val="Hyperlink"/>
            <w:rFonts w:eastAsia="Calibri" w:cs="Arial"/>
          </w:rPr>
          <w:t>https://www.sentinelinitiative.org/methods-data-tools/health-outcomes-interest/gastrointestinal-bleeding-algorithm-defined</w:t>
        </w:r>
      </w:hyperlink>
    </w:p>
    <w:p w14:paraId="3AA69032" w14:textId="49D0EC93" w:rsidR="00CA09FB" w:rsidRDefault="00817321" w:rsidP="00CA09FB">
      <w:pPr>
        <w:rPr>
          <w:rFonts w:eastAsia="Calibri" w:cs="Arial"/>
        </w:rPr>
      </w:pPr>
      <w:r w:rsidRPr="007E0CDD">
        <w:rPr>
          <w:rFonts w:eastAsia="Calibri" w:cs="Arial"/>
        </w:rPr>
        <w:t>(Accessed 31/03/2021)</w:t>
      </w:r>
      <w:r w:rsidR="00CA09FB">
        <w:rPr>
          <w:rFonts w:eastAsia="Calibri" w:cs="Arial"/>
        </w:rPr>
        <w:br w:type="page"/>
      </w:r>
    </w:p>
    <w:p w14:paraId="22F69C51" w14:textId="24265330" w:rsidR="00CA09FB" w:rsidRPr="007E0CDD" w:rsidRDefault="00615D0C" w:rsidP="00E34B97">
      <w:pPr>
        <w:pStyle w:val="003First-LevelSubheadingBOLD"/>
        <w:jc w:val="left"/>
        <w:rPr>
          <w:rFonts w:eastAsia="Calibri"/>
        </w:rPr>
      </w:pPr>
      <w:bookmarkStart w:id="4" w:name="_Toc100265146"/>
      <w:bookmarkStart w:id="5" w:name="_Toc102815473"/>
      <w:r>
        <w:rPr>
          <w:rFonts w:eastAsia="Calibri"/>
        </w:rPr>
        <w:lastRenderedPageBreak/>
        <w:t xml:space="preserve">1.3 </w:t>
      </w:r>
      <w:r w:rsidR="00CA09FB">
        <w:rPr>
          <w:rFonts w:eastAsia="Calibri"/>
        </w:rPr>
        <w:t xml:space="preserve">Density and Histogram Plots for Propensity Scores After Trimming </w:t>
      </w:r>
      <w:r>
        <w:rPr>
          <w:rFonts w:eastAsia="Calibri"/>
        </w:rPr>
        <w:t xml:space="preserve">in Various Data scenarios </w:t>
      </w:r>
      <w:r w:rsidR="00CA09FB">
        <w:rPr>
          <w:rFonts w:eastAsia="Calibri"/>
        </w:rPr>
        <w:t>(B, C1, C2, C4)</w:t>
      </w:r>
      <w:bookmarkEnd w:id="4"/>
      <w:bookmarkEnd w:id="5"/>
    </w:p>
    <w:p w14:paraId="69D79435" w14:textId="77777777" w:rsidR="00CA09FB" w:rsidRPr="007E0CDD" w:rsidRDefault="00CA09FB" w:rsidP="00CA09FB">
      <w:pPr>
        <w:spacing w:after="160" w:line="259" w:lineRule="auto"/>
        <w:rPr>
          <w:rFonts w:eastAsia="Calibri" w:cs="Arial"/>
        </w:rPr>
      </w:pPr>
    </w:p>
    <w:p w14:paraId="0E5DABB8" w14:textId="77777777" w:rsidR="00CA09FB" w:rsidRDefault="00CA09FB" w:rsidP="00CA09FB">
      <w:pPr>
        <w:spacing w:after="160" w:line="259" w:lineRule="auto"/>
        <w:rPr>
          <w:rFonts w:eastAsia="Calibri" w:cs="Arial"/>
        </w:rPr>
      </w:pPr>
      <w:r>
        <w:rPr>
          <w:rFonts w:eastAsia="Calibri" w:cs="Arial"/>
          <w:noProof/>
        </w:rPr>
        <w:drawing>
          <wp:inline distT="0" distB="0" distL="0" distR="0" wp14:anchorId="5FF3C151" wp14:editId="254C262E">
            <wp:extent cx="5849471" cy="7091004"/>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57942" cy="7101273"/>
                    </a:xfrm>
                    <a:prstGeom prst="rect">
                      <a:avLst/>
                    </a:prstGeom>
                    <a:noFill/>
                    <a:ln>
                      <a:noFill/>
                    </a:ln>
                    <a:extLst>
                      <a:ext uri="{53640926-AAD7-44D8-BBD7-CCE9431645EC}">
                        <a14:shadowObscured xmlns:a14="http://schemas.microsoft.com/office/drawing/2010/main"/>
                      </a:ext>
                    </a:extLst>
                  </pic:spPr>
                </pic:pic>
              </a:graphicData>
            </a:graphic>
          </wp:inline>
        </w:drawing>
      </w:r>
    </w:p>
    <w:p w14:paraId="3A916BFD" w14:textId="77777777" w:rsidR="00CA09FB" w:rsidRDefault="00CA09FB" w:rsidP="00CA09FB">
      <w:pPr>
        <w:spacing w:after="160" w:line="259" w:lineRule="auto"/>
        <w:rPr>
          <w:rFonts w:eastAsia="Calibri" w:cs="Arial"/>
        </w:rPr>
      </w:pPr>
    </w:p>
    <w:p w14:paraId="77E8A0F3" w14:textId="77777777" w:rsidR="00CA09FB" w:rsidRDefault="00CA09FB" w:rsidP="00CA09FB">
      <w:pPr>
        <w:spacing w:after="160" w:line="259" w:lineRule="auto"/>
        <w:rPr>
          <w:rFonts w:eastAsia="Calibri" w:cs="Arial"/>
        </w:rPr>
      </w:pPr>
    </w:p>
    <w:p w14:paraId="32737487" w14:textId="77777777" w:rsidR="00CA09FB" w:rsidRDefault="00CA09FB" w:rsidP="00CA09FB">
      <w:pPr>
        <w:spacing w:after="160" w:line="259" w:lineRule="auto"/>
        <w:rPr>
          <w:rFonts w:eastAsia="Calibri" w:cs="Arial"/>
        </w:rPr>
      </w:pPr>
    </w:p>
    <w:p w14:paraId="124A2867" w14:textId="77777777" w:rsidR="00CA09FB" w:rsidRDefault="00CA09FB" w:rsidP="00CA09FB">
      <w:pPr>
        <w:spacing w:after="160" w:line="259" w:lineRule="auto"/>
        <w:rPr>
          <w:rFonts w:eastAsia="Calibri" w:cs="Arial"/>
        </w:rPr>
      </w:pPr>
      <w:r>
        <w:rPr>
          <w:rFonts w:eastAsia="Calibri" w:cs="Arial"/>
          <w:noProof/>
        </w:rPr>
        <w:drawing>
          <wp:inline distT="0" distB="0" distL="0" distR="0" wp14:anchorId="75617FCF" wp14:editId="387124E1">
            <wp:extent cx="5732216" cy="7165910"/>
            <wp:effectExtent l="0" t="0" r="190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a:stretch/>
                  </pic:blipFill>
                  <pic:spPr bwMode="auto">
                    <a:xfrm>
                      <a:off x="0" y="0"/>
                      <a:ext cx="5747856" cy="7185462"/>
                    </a:xfrm>
                    <a:prstGeom prst="rect">
                      <a:avLst/>
                    </a:prstGeom>
                    <a:noFill/>
                    <a:ln>
                      <a:noFill/>
                    </a:ln>
                    <a:extLst>
                      <a:ext uri="{53640926-AAD7-44D8-BBD7-CCE9431645EC}">
                        <a14:shadowObscured xmlns:a14="http://schemas.microsoft.com/office/drawing/2010/main"/>
                      </a:ext>
                    </a:extLst>
                  </pic:spPr>
                </pic:pic>
              </a:graphicData>
            </a:graphic>
          </wp:inline>
        </w:drawing>
      </w:r>
    </w:p>
    <w:p w14:paraId="41FCA43A" w14:textId="77777777" w:rsidR="00CA09FB" w:rsidRDefault="00CA09FB" w:rsidP="00CA09FB">
      <w:pPr>
        <w:spacing w:after="160" w:line="259" w:lineRule="auto"/>
        <w:rPr>
          <w:rFonts w:eastAsia="Calibri" w:cs="Arial"/>
        </w:rPr>
      </w:pPr>
    </w:p>
    <w:p w14:paraId="14351060" w14:textId="77777777" w:rsidR="00CA09FB" w:rsidRDefault="00CA09FB" w:rsidP="00CA09FB">
      <w:pPr>
        <w:spacing w:after="160" w:line="259" w:lineRule="auto"/>
        <w:rPr>
          <w:rFonts w:eastAsia="Calibri" w:cs="Arial"/>
        </w:rPr>
      </w:pPr>
    </w:p>
    <w:p w14:paraId="52C1FB68" w14:textId="77777777" w:rsidR="00CA09FB" w:rsidRDefault="00CA09FB" w:rsidP="00CA09FB">
      <w:pPr>
        <w:spacing w:after="160" w:line="259" w:lineRule="auto"/>
        <w:rPr>
          <w:rFonts w:eastAsia="Calibri" w:cs="Arial"/>
        </w:rPr>
      </w:pPr>
    </w:p>
    <w:p w14:paraId="76D69806" w14:textId="77777777" w:rsidR="00CA09FB" w:rsidRDefault="00CA09FB" w:rsidP="00CA09FB">
      <w:pPr>
        <w:spacing w:after="160" w:line="259" w:lineRule="auto"/>
        <w:rPr>
          <w:rFonts w:eastAsia="Calibri" w:cs="Arial"/>
        </w:rPr>
      </w:pPr>
      <w:r>
        <w:rPr>
          <w:rFonts w:eastAsia="Calibri" w:cs="Arial"/>
          <w:noProof/>
        </w:rPr>
        <w:drawing>
          <wp:inline distT="0" distB="0" distL="0" distR="0" wp14:anchorId="67A0AF2B" wp14:editId="1A6CDFE3">
            <wp:extent cx="5728996" cy="6953919"/>
            <wp:effectExtent l="0" t="0" r="508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a:stretch/>
                  </pic:blipFill>
                  <pic:spPr bwMode="auto">
                    <a:xfrm>
                      <a:off x="0" y="0"/>
                      <a:ext cx="5734166" cy="6960194"/>
                    </a:xfrm>
                    <a:prstGeom prst="rect">
                      <a:avLst/>
                    </a:prstGeom>
                    <a:noFill/>
                    <a:ln>
                      <a:noFill/>
                    </a:ln>
                    <a:extLst>
                      <a:ext uri="{53640926-AAD7-44D8-BBD7-CCE9431645EC}">
                        <a14:shadowObscured xmlns:a14="http://schemas.microsoft.com/office/drawing/2010/main"/>
                      </a:ext>
                    </a:extLst>
                  </pic:spPr>
                </pic:pic>
              </a:graphicData>
            </a:graphic>
          </wp:inline>
        </w:drawing>
      </w:r>
    </w:p>
    <w:p w14:paraId="219316D1" w14:textId="77777777" w:rsidR="00CA09FB" w:rsidRDefault="00CA09FB" w:rsidP="00CA09FB">
      <w:pPr>
        <w:spacing w:after="160" w:line="259" w:lineRule="auto"/>
        <w:rPr>
          <w:rFonts w:eastAsia="Calibri" w:cs="Arial"/>
        </w:rPr>
      </w:pPr>
    </w:p>
    <w:p w14:paraId="22DF147D" w14:textId="77777777" w:rsidR="00CA09FB" w:rsidRDefault="00CA09FB" w:rsidP="00CA09FB">
      <w:pPr>
        <w:spacing w:after="160" w:line="259" w:lineRule="auto"/>
        <w:rPr>
          <w:rFonts w:eastAsia="Calibri" w:cs="Arial"/>
        </w:rPr>
      </w:pPr>
    </w:p>
    <w:p w14:paraId="6321BA9A" w14:textId="77777777" w:rsidR="00CA09FB" w:rsidRDefault="00CA09FB" w:rsidP="00CA09FB">
      <w:pPr>
        <w:spacing w:after="160" w:line="259" w:lineRule="auto"/>
        <w:rPr>
          <w:rFonts w:eastAsia="Calibri" w:cs="Arial"/>
        </w:rPr>
      </w:pPr>
    </w:p>
    <w:p w14:paraId="200092D2" w14:textId="77777777" w:rsidR="00CA09FB" w:rsidRDefault="00CA09FB" w:rsidP="00CA09FB">
      <w:pPr>
        <w:spacing w:after="160" w:line="259" w:lineRule="auto"/>
        <w:rPr>
          <w:rFonts w:eastAsia="Calibri" w:cs="Arial"/>
        </w:rPr>
      </w:pPr>
    </w:p>
    <w:p w14:paraId="510D32D8" w14:textId="77777777" w:rsidR="00CA09FB" w:rsidRDefault="00CA09FB" w:rsidP="00CA09FB">
      <w:pPr>
        <w:spacing w:after="160" w:line="259" w:lineRule="auto"/>
        <w:rPr>
          <w:rFonts w:eastAsia="Calibri" w:cs="Arial"/>
        </w:rPr>
      </w:pPr>
      <w:r>
        <w:rPr>
          <w:rFonts w:eastAsia="Calibri" w:cs="Arial"/>
          <w:noProof/>
        </w:rPr>
        <w:drawing>
          <wp:inline distT="0" distB="0" distL="0" distR="0" wp14:anchorId="5DD5C415" wp14:editId="6CD03171">
            <wp:extent cx="5617001" cy="6772275"/>
            <wp:effectExtent l="0" t="0" r="3175"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a:stretch/>
                  </pic:blipFill>
                  <pic:spPr bwMode="auto">
                    <a:xfrm>
                      <a:off x="0" y="0"/>
                      <a:ext cx="5632894" cy="6791437"/>
                    </a:xfrm>
                    <a:prstGeom prst="rect">
                      <a:avLst/>
                    </a:prstGeom>
                    <a:noFill/>
                    <a:ln>
                      <a:noFill/>
                    </a:ln>
                    <a:extLst>
                      <a:ext uri="{53640926-AAD7-44D8-BBD7-CCE9431645EC}">
                        <a14:shadowObscured xmlns:a14="http://schemas.microsoft.com/office/drawing/2010/main"/>
                      </a:ext>
                    </a:extLst>
                  </pic:spPr>
                </pic:pic>
              </a:graphicData>
            </a:graphic>
          </wp:inline>
        </w:drawing>
      </w:r>
    </w:p>
    <w:p w14:paraId="026456EC" w14:textId="77777777" w:rsidR="00CA09FB" w:rsidRDefault="00CA09FB" w:rsidP="00CA09FB">
      <w:pPr>
        <w:rPr>
          <w:rFonts w:eastAsia="Calibri" w:cs="Arial"/>
        </w:rPr>
      </w:pPr>
      <w:r>
        <w:rPr>
          <w:rFonts w:eastAsia="Calibri" w:cs="Arial"/>
        </w:rPr>
        <w:br w:type="page"/>
      </w:r>
    </w:p>
    <w:p w14:paraId="5E675607" w14:textId="650DC735" w:rsidR="00CA09FB" w:rsidRDefault="00615D0C" w:rsidP="00615D0C">
      <w:pPr>
        <w:pStyle w:val="003First-LevelSubheadingBOLD"/>
        <w:jc w:val="left"/>
        <w:rPr>
          <w:rFonts w:eastAsia="Calibri"/>
        </w:rPr>
      </w:pPr>
      <w:bookmarkStart w:id="6" w:name="_Toc100265147"/>
      <w:bookmarkStart w:id="7" w:name="_Toc102815474"/>
      <w:bookmarkStart w:id="8" w:name="_Hlk96423835"/>
      <w:r>
        <w:rPr>
          <w:rFonts w:eastAsia="Calibri"/>
        </w:rPr>
        <w:lastRenderedPageBreak/>
        <w:t xml:space="preserve">1.4 </w:t>
      </w:r>
      <w:r w:rsidR="00CA09FB">
        <w:rPr>
          <w:rFonts w:eastAsia="Calibri"/>
        </w:rPr>
        <w:t>Role of Prevalence Filter in High-Dimensional Propensity Score Procedure</w:t>
      </w:r>
      <w:bookmarkEnd w:id="6"/>
      <w:bookmarkEnd w:id="7"/>
    </w:p>
    <w:p w14:paraId="3D5C3086" w14:textId="77777777" w:rsidR="00CA09FB" w:rsidRDefault="00CA09FB" w:rsidP="00CA09FB">
      <w:pPr>
        <w:rPr>
          <w:rFonts w:eastAsia="Calibri" w:cs="Arial"/>
        </w:rPr>
      </w:pPr>
    </w:p>
    <w:p w14:paraId="14BE5754" w14:textId="77777777" w:rsidR="00CA09FB" w:rsidRDefault="00CA09FB" w:rsidP="00CA09FB">
      <w:pPr>
        <w:rPr>
          <w:rFonts w:eastAsia="Calibri" w:cs="Arial"/>
        </w:rPr>
      </w:pPr>
    </w:p>
    <w:bookmarkEnd w:id="8"/>
    <w:tbl>
      <w:tblPr>
        <w:tblStyle w:val="ListTable1Light"/>
        <w:tblW w:w="9441" w:type="dxa"/>
        <w:tblLayout w:type="fixed"/>
        <w:tblLook w:val="04A0" w:firstRow="1" w:lastRow="0" w:firstColumn="1" w:lastColumn="0" w:noHBand="0" w:noVBand="1"/>
      </w:tblPr>
      <w:tblGrid>
        <w:gridCol w:w="3150"/>
        <w:gridCol w:w="2097"/>
        <w:gridCol w:w="2097"/>
        <w:gridCol w:w="2097"/>
      </w:tblGrid>
      <w:tr w:rsidR="00CA09FB" w:rsidRPr="00B764BC" w14:paraId="1D834CEF" w14:textId="77777777" w:rsidTr="00E46A9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6528F267" w14:textId="77777777" w:rsidR="00CA09FB" w:rsidRPr="00B764BC" w:rsidRDefault="00CA09FB" w:rsidP="00E46A94">
            <w:pPr>
              <w:rPr>
                <w:rFonts w:asciiTheme="minorBidi" w:hAnsiTheme="minorBidi"/>
                <w:sz w:val="20"/>
                <w:szCs w:val="20"/>
              </w:rPr>
            </w:pPr>
          </w:p>
        </w:tc>
        <w:tc>
          <w:tcPr>
            <w:tcW w:w="2097" w:type="dxa"/>
            <w:noWrap/>
            <w:vAlign w:val="center"/>
            <w:hideMark/>
          </w:tcPr>
          <w:p w14:paraId="6EE83ECB"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Scenario 1</w:t>
            </w:r>
          </w:p>
          <w:p w14:paraId="5EBDE8BB"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(NSAID: N=25,000)</w:t>
            </w:r>
          </w:p>
          <w:p w14:paraId="369638DB"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(COXIB: N=25,000)</w:t>
            </w:r>
          </w:p>
        </w:tc>
        <w:tc>
          <w:tcPr>
            <w:tcW w:w="2097" w:type="dxa"/>
            <w:noWrap/>
            <w:vAlign w:val="center"/>
            <w:hideMark/>
          </w:tcPr>
          <w:p w14:paraId="3C100B1E"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Scenario 2</w:t>
            </w:r>
          </w:p>
          <w:p w14:paraId="4E874468"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(NSAID: N=45,000)</w:t>
            </w:r>
          </w:p>
          <w:p w14:paraId="365820B3"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(COXIB: N=5,000)</w:t>
            </w:r>
          </w:p>
        </w:tc>
        <w:tc>
          <w:tcPr>
            <w:tcW w:w="2097" w:type="dxa"/>
            <w:noWrap/>
            <w:vAlign w:val="center"/>
            <w:hideMark/>
          </w:tcPr>
          <w:p w14:paraId="6DEB417A"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Scenario 3</w:t>
            </w:r>
          </w:p>
          <w:p w14:paraId="753BC5FA"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(NSAID: N=5,000)</w:t>
            </w:r>
          </w:p>
          <w:p w14:paraId="1126EDF3" w14:textId="77777777" w:rsidR="00CA09FB" w:rsidRPr="00B764BC" w:rsidRDefault="00CA09FB" w:rsidP="00E46A94">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(COXIB: N=45,000)</w:t>
            </w:r>
          </w:p>
        </w:tc>
      </w:tr>
      <w:tr w:rsidR="00CA09FB" w:rsidRPr="00B764BC" w14:paraId="7A76D4FD"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512B3581"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Original Sample</w:t>
            </w:r>
          </w:p>
        </w:tc>
        <w:tc>
          <w:tcPr>
            <w:tcW w:w="2097" w:type="dxa"/>
            <w:noWrap/>
            <w:vAlign w:val="center"/>
            <w:hideMark/>
          </w:tcPr>
          <w:p w14:paraId="01B0770D"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1.21 (1.04-1.41)</w:t>
            </w:r>
          </w:p>
        </w:tc>
        <w:tc>
          <w:tcPr>
            <w:tcW w:w="2097" w:type="dxa"/>
            <w:noWrap/>
            <w:vAlign w:val="center"/>
            <w:hideMark/>
          </w:tcPr>
          <w:p w14:paraId="69D3D163"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1.18 (0.92-1.51)</w:t>
            </w:r>
          </w:p>
        </w:tc>
        <w:tc>
          <w:tcPr>
            <w:tcW w:w="2097" w:type="dxa"/>
            <w:noWrap/>
            <w:vAlign w:val="center"/>
            <w:hideMark/>
          </w:tcPr>
          <w:p w14:paraId="7E14AE7C"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1.27 (0.97-1.67)</w:t>
            </w:r>
          </w:p>
        </w:tc>
      </w:tr>
      <w:tr w:rsidR="00CA09FB" w:rsidRPr="00B764BC" w14:paraId="2DF440AA"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3BD5D72F" w14:textId="77777777" w:rsidR="00CA09FB" w:rsidRPr="00B764BC" w:rsidRDefault="00CA09FB" w:rsidP="00E46A94">
            <w:pPr>
              <w:rPr>
                <w:rFonts w:asciiTheme="minorBidi" w:hAnsiTheme="minorBidi"/>
                <w:color w:val="000000"/>
                <w:sz w:val="20"/>
                <w:szCs w:val="20"/>
              </w:rPr>
            </w:pPr>
          </w:p>
        </w:tc>
        <w:tc>
          <w:tcPr>
            <w:tcW w:w="2097" w:type="dxa"/>
            <w:noWrap/>
            <w:vAlign w:val="center"/>
            <w:hideMark/>
          </w:tcPr>
          <w:p w14:paraId="15AD07DC"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c>
          <w:tcPr>
            <w:tcW w:w="2097" w:type="dxa"/>
            <w:noWrap/>
            <w:vAlign w:val="center"/>
            <w:hideMark/>
          </w:tcPr>
          <w:p w14:paraId="2A1337F9"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c>
          <w:tcPr>
            <w:tcW w:w="2097" w:type="dxa"/>
            <w:noWrap/>
            <w:vAlign w:val="center"/>
            <w:hideMark/>
          </w:tcPr>
          <w:p w14:paraId="3E571603"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p>
        </w:tc>
      </w:tr>
      <w:tr w:rsidR="00CA09FB" w:rsidRPr="00B764BC" w14:paraId="6C964D28"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0E618FDB"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Relative Risk – ATE – No Trim</w:t>
            </w:r>
          </w:p>
        </w:tc>
        <w:tc>
          <w:tcPr>
            <w:tcW w:w="2097" w:type="dxa"/>
            <w:noWrap/>
            <w:vAlign w:val="center"/>
            <w:hideMark/>
          </w:tcPr>
          <w:p w14:paraId="4FD86CB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p>
        </w:tc>
        <w:tc>
          <w:tcPr>
            <w:tcW w:w="2097" w:type="dxa"/>
            <w:noWrap/>
            <w:vAlign w:val="center"/>
            <w:hideMark/>
          </w:tcPr>
          <w:p w14:paraId="3CCFB67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p>
        </w:tc>
        <w:tc>
          <w:tcPr>
            <w:tcW w:w="2097" w:type="dxa"/>
            <w:noWrap/>
            <w:vAlign w:val="center"/>
            <w:hideMark/>
          </w:tcPr>
          <w:p w14:paraId="0797FB74"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p>
        </w:tc>
      </w:tr>
      <w:tr w:rsidR="00CA09FB" w:rsidRPr="00B764BC" w14:paraId="3DD10E5B"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5D1AE453"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(N=50)</w:t>
            </w:r>
          </w:p>
        </w:tc>
        <w:tc>
          <w:tcPr>
            <w:tcW w:w="2097" w:type="dxa"/>
            <w:noWrap/>
            <w:vAlign w:val="center"/>
          </w:tcPr>
          <w:p w14:paraId="6BB63A76"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1.02 (0.87-1.18)</w:t>
            </w:r>
          </w:p>
        </w:tc>
        <w:tc>
          <w:tcPr>
            <w:tcW w:w="2097" w:type="dxa"/>
            <w:noWrap/>
            <w:vAlign w:val="center"/>
          </w:tcPr>
          <w:p w14:paraId="48EDB9CD"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1.28 (1.00-1.63)</w:t>
            </w:r>
          </w:p>
        </w:tc>
        <w:tc>
          <w:tcPr>
            <w:tcW w:w="2097" w:type="dxa"/>
            <w:noWrap/>
            <w:vAlign w:val="center"/>
          </w:tcPr>
          <w:p w14:paraId="62FDCDE7"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1.13 (0.89-1.44)</w:t>
            </w:r>
          </w:p>
        </w:tc>
      </w:tr>
      <w:tr w:rsidR="00CA09FB" w:rsidRPr="00B764BC" w14:paraId="243E8CA7"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18208111"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(N=100)</w:t>
            </w:r>
          </w:p>
        </w:tc>
        <w:tc>
          <w:tcPr>
            <w:tcW w:w="2097" w:type="dxa"/>
            <w:noWrap/>
            <w:vAlign w:val="center"/>
          </w:tcPr>
          <w:p w14:paraId="32043202"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1.01 (0.87-1.18)</w:t>
            </w:r>
          </w:p>
        </w:tc>
        <w:tc>
          <w:tcPr>
            <w:tcW w:w="2097" w:type="dxa"/>
            <w:noWrap/>
            <w:vAlign w:val="center"/>
          </w:tcPr>
          <w:p w14:paraId="65FF3F7B"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0.92 (0.69-1.21)</w:t>
            </w:r>
          </w:p>
        </w:tc>
        <w:tc>
          <w:tcPr>
            <w:tcW w:w="2097" w:type="dxa"/>
            <w:noWrap/>
            <w:vAlign w:val="center"/>
          </w:tcPr>
          <w:p w14:paraId="0C3339D6"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1.23 (0.96-1.57)</w:t>
            </w:r>
          </w:p>
        </w:tc>
      </w:tr>
      <w:tr w:rsidR="00CA09FB" w:rsidRPr="00B764BC" w14:paraId="294885D6"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0EA6A834"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(N=200)</w:t>
            </w:r>
          </w:p>
        </w:tc>
        <w:tc>
          <w:tcPr>
            <w:tcW w:w="2097" w:type="dxa"/>
            <w:noWrap/>
            <w:vAlign w:val="center"/>
          </w:tcPr>
          <w:p w14:paraId="2A8F9BF3"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0.98 (0.84-1.13)</w:t>
            </w:r>
          </w:p>
        </w:tc>
        <w:tc>
          <w:tcPr>
            <w:tcW w:w="2097" w:type="dxa"/>
            <w:noWrap/>
            <w:vAlign w:val="center"/>
          </w:tcPr>
          <w:p w14:paraId="625E7093"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0.96 (0.73-1.26)</w:t>
            </w:r>
          </w:p>
        </w:tc>
        <w:tc>
          <w:tcPr>
            <w:tcW w:w="2097" w:type="dxa"/>
            <w:noWrap/>
            <w:vAlign w:val="center"/>
          </w:tcPr>
          <w:p w14:paraId="5C119330"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1.19 (0.92-1.52)</w:t>
            </w:r>
          </w:p>
        </w:tc>
      </w:tr>
      <w:tr w:rsidR="00CA09FB" w:rsidRPr="00B764BC" w14:paraId="4CDE1B51"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5E431DB6"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(N=300)</w:t>
            </w:r>
          </w:p>
        </w:tc>
        <w:tc>
          <w:tcPr>
            <w:tcW w:w="2097" w:type="dxa"/>
            <w:noWrap/>
            <w:vAlign w:val="center"/>
          </w:tcPr>
          <w:p w14:paraId="4FD7A715"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1.00 (0.86-1.16)</w:t>
            </w:r>
          </w:p>
        </w:tc>
        <w:tc>
          <w:tcPr>
            <w:tcW w:w="2097" w:type="dxa"/>
            <w:noWrap/>
            <w:vAlign w:val="center"/>
          </w:tcPr>
          <w:p w14:paraId="1F31B3E9"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1.14 (0.88-1.46)</w:t>
            </w:r>
          </w:p>
        </w:tc>
        <w:tc>
          <w:tcPr>
            <w:tcW w:w="2097" w:type="dxa"/>
            <w:noWrap/>
            <w:vAlign w:val="center"/>
          </w:tcPr>
          <w:p w14:paraId="50CFBEF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1.24 (0.96-1.61)</w:t>
            </w:r>
          </w:p>
        </w:tc>
      </w:tr>
      <w:tr w:rsidR="00CA09FB" w:rsidRPr="00B764BC" w14:paraId="109BB774"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7FCAC97D"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(N=400)</w:t>
            </w:r>
          </w:p>
        </w:tc>
        <w:tc>
          <w:tcPr>
            <w:tcW w:w="2097" w:type="dxa"/>
            <w:noWrap/>
            <w:vAlign w:val="center"/>
          </w:tcPr>
          <w:p w14:paraId="21A0C32A"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1.00 (0.86-1.16)</w:t>
            </w:r>
          </w:p>
        </w:tc>
        <w:tc>
          <w:tcPr>
            <w:tcW w:w="2097" w:type="dxa"/>
            <w:noWrap/>
            <w:vAlign w:val="center"/>
          </w:tcPr>
          <w:p w14:paraId="2F6BD463"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1.05 (0.81-1.36)</w:t>
            </w:r>
          </w:p>
        </w:tc>
        <w:tc>
          <w:tcPr>
            <w:tcW w:w="2097" w:type="dxa"/>
            <w:noWrap/>
            <w:vAlign w:val="center"/>
          </w:tcPr>
          <w:p w14:paraId="56BFA14C"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1.34 (1.02-1.74)</w:t>
            </w:r>
          </w:p>
        </w:tc>
      </w:tr>
      <w:tr w:rsidR="00CA09FB" w:rsidRPr="00B764BC" w14:paraId="37A39136"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40D9A49F" w14:textId="77777777" w:rsidR="00CA09FB" w:rsidRPr="00B764BC" w:rsidRDefault="00CA09FB" w:rsidP="00E46A94">
            <w:pPr>
              <w:rPr>
                <w:rFonts w:asciiTheme="minorBidi" w:hAnsiTheme="minorBidi"/>
                <w:color w:val="000000"/>
                <w:sz w:val="20"/>
                <w:szCs w:val="20"/>
              </w:rPr>
            </w:pPr>
          </w:p>
        </w:tc>
        <w:tc>
          <w:tcPr>
            <w:tcW w:w="2097" w:type="dxa"/>
            <w:noWrap/>
            <w:vAlign w:val="center"/>
          </w:tcPr>
          <w:p w14:paraId="788D4C8A"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p>
        </w:tc>
        <w:tc>
          <w:tcPr>
            <w:tcW w:w="2097" w:type="dxa"/>
            <w:noWrap/>
            <w:vAlign w:val="center"/>
          </w:tcPr>
          <w:p w14:paraId="5FBE2FBC"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p>
        </w:tc>
        <w:tc>
          <w:tcPr>
            <w:tcW w:w="2097" w:type="dxa"/>
            <w:noWrap/>
            <w:vAlign w:val="center"/>
          </w:tcPr>
          <w:p w14:paraId="1E3A24D4"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p>
        </w:tc>
      </w:tr>
      <w:tr w:rsidR="00CA09FB" w:rsidRPr="00B764BC" w14:paraId="47C004C2"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1906A74D"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Relative Risk – ATE – 5% Trim</w:t>
            </w:r>
          </w:p>
        </w:tc>
        <w:tc>
          <w:tcPr>
            <w:tcW w:w="2097" w:type="dxa"/>
            <w:noWrap/>
            <w:vAlign w:val="center"/>
          </w:tcPr>
          <w:p w14:paraId="2F4CF0EB"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p>
        </w:tc>
        <w:tc>
          <w:tcPr>
            <w:tcW w:w="2097" w:type="dxa"/>
            <w:noWrap/>
            <w:vAlign w:val="center"/>
          </w:tcPr>
          <w:p w14:paraId="35C326D6"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p>
        </w:tc>
        <w:tc>
          <w:tcPr>
            <w:tcW w:w="2097" w:type="dxa"/>
            <w:noWrap/>
            <w:vAlign w:val="center"/>
          </w:tcPr>
          <w:p w14:paraId="1AB5B3D0"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0"/>
                <w:szCs w:val="20"/>
              </w:rPr>
            </w:pPr>
          </w:p>
        </w:tc>
      </w:tr>
      <w:tr w:rsidR="00CA09FB" w:rsidRPr="00B764BC" w14:paraId="0F866BE9"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2C836A48"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(N=50)</w:t>
            </w:r>
          </w:p>
        </w:tc>
        <w:tc>
          <w:tcPr>
            <w:tcW w:w="2097" w:type="dxa"/>
            <w:noWrap/>
            <w:vAlign w:val="center"/>
            <w:hideMark/>
          </w:tcPr>
          <w:p w14:paraId="489123E6"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0.95 (0.81-1.12)</w:t>
            </w:r>
          </w:p>
        </w:tc>
        <w:tc>
          <w:tcPr>
            <w:tcW w:w="2097" w:type="dxa"/>
            <w:noWrap/>
            <w:vAlign w:val="center"/>
            <w:hideMark/>
          </w:tcPr>
          <w:p w14:paraId="031AFCEF"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0.86 (0.63-1.19)</w:t>
            </w:r>
          </w:p>
        </w:tc>
        <w:tc>
          <w:tcPr>
            <w:tcW w:w="2097" w:type="dxa"/>
            <w:noWrap/>
            <w:vAlign w:val="center"/>
            <w:hideMark/>
          </w:tcPr>
          <w:p w14:paraId="3D661027"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1.00 (0.76-1.33)</w:t>
            </w:r>
          </w:p>
        </w:tc>
      </w:tr>
      <w:tr w:rsidR="00CA09FB" w:rsidRPr="00B764BC" w14:paraId="68C2F5BC"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32E6758E"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(N=100)</w:t>
            </w:r>
          </w:p>
        </w:tc>
        <w:tc>
          <w:tcPr>
            <w:tcW w:w="2097" w:type="dxa"/>
            <w:noWrap/>
            <w:vAlign w:val="center"/>
          </w:tcPr>
          <w:p w14:paraId="4E388CFF"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0.96 (0.82-1.14)</w:t>
            </w:r>
          </w:p>
        </w:tc>
        <w:tc>
          <w:tcPr>
            <w:tcW w:w="2097" w:type="dxa"/>
            <w:noWrap/>
            <w:vAlign w:val="center"/>
          </w:tcPr>
          <w:p w14:paraId="6A85E641"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0.85 (0.61-1.17)</w:t>
            </w:r>
          </w:p>
        </w:tc>
        <w:tc>
          <w:tcPr>
            <w:tcW w:w="2097" w:type="dxa"/>
            <w:noWrap/>
            <w:vAlign w:val="center"/>
          </w:tcPr>
          <w:p w14:paraId="2DDF40BA"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0.90 (0.68-1.18)</w:t>
            </w:r>
          </w:p>
        </w:tc>
      </w:tr>
      <w:tr w:rsidR="00CA09FB" w:rsidRPr="00B764BC" w14:paraId="5BD128CB"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1A5A2928"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(N=200)</w:t>
            </w:r>
          </w:p>
        </w:tc>
        <w:tc>
          <w:tcPr>
            <w:tcW w:w="2097" w:type="dxa"/>
            <w:noWrap/>
            <w:vAlign w:val="center"/>
          </w:tcPr>
          <w:p w14:paraId="0FE9A0AD"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0.92 (0.78-1.08)</w:t>
            </w:r>
          </w:p>
        </w:tc>
        <w:tc>
          <w:tcPr>
            <w:tcW w:w="2097" w:type="dxa"/>
            <w:noWrap/>
            <w:vAlign w:val="center"/>
          </w:tcPr>
          <w:p w14:paraId="10C5C8B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0.82 (0.59-1.14)</w:t>
            </w:r>
          </w:p>
        </w:tc>
        <w:tc>
          <w:tcPr>
            <w:tcW w:w="2097" w:type="dxa"/>
            <w:noWrap/>
            <w:vAlign w:val="center"/>
          </w:tcPr>
          <w:p w14:paraId="0EB1F35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0.73 (0.57-0.95)</w:t>
            </w:r>
          </w:p>
        </w:tc>
      </w:tr>
      <w:tr w:rsidR="00CA09FB" w:rsidRPr="00B764BC" w14:paraId="0F50B0E7" w14:textId="77777777" w:rsidTr="00E46A94">
        <w:trPr>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tcPr>
          <w:p w14:paraId="0216EBEF"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(N=300)</w:t>
            </w:r>
          </w:p>
        </w:tc>
        <w:tc>
          <w:tcPr>
            <w:tcW w:w="2097" w:type="dxa"/>
            <w:noWrap/>
            <w:vAlign w:val="center"/>
          </w:tcPr>
          <w:p w14:paraId="4465F0C9"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0.96 (0.81-1.13)</w:t>
            </w:r>
          </w:p>
        </w:tc>
        <w:tc>
          <w:tcPr>
            <w:tcW w:w="2097" w:type="dxa"/>
            <w:noWrap/>
            <w:vAlign w:val="center"/>
          </w:tcPr>
          <w:p w14:paraId="15D33B5F"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0.79 (0.57-1.11)</w:t>
            </w:r>
          </w:p>
        </w:tc>
        <w:tc>
          <w:tcPr>
            <w:tcW w:w="2097" w:type="dxa"/>
            <w:noWrap/>
            <w:vAlign w:val="center"/>
          </w:tcPr>
          <w:p w14:paraId="639968A7" w14:textId="77777777" w:rsidR="00CA09FB" w:rsidRPr="00B764BC" w:rsidRDefault="00CA09FB" w:rsidP="00E46A94">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0.90 (0.68-1.19)</w:t>
            </w:r>
          </w:p>
        </w:tc>
      </w:tr>
      <w:tr w:rsidR="00CA09FB" w:rsidRPr="00B764BC" w14:paraId="7DE0B2E0" w14:textId="77777777" w:rsidTr="00E46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50" w:type="dxa"/>
            <w:noWrap/>
            <w:vAlign w:val="center"/>
            <w:hideMark/>
          </w:tcPr>
          <w:p w14:paraId="259F466A" w14:textId="77777777" w:rsidR="00CA09FB" w:rsidRPr="00B764BC" w:rsidRDefault="00CA09FB" w:rsidP="00E46A94">
            <w:pPr>
              <w:rPr>
                <w:rFonts w:asciiTheme="minorBidi" w:hAnsiTheme="minorBidi"/>
                <w:color w:val="000000"/>
                <w:sz w:val="20"/>
                <w:szCs w:val="20"/>
              </w:rPr>
            </w:pPr>
            <w:r w:rsidRPr="00B764BC">
              <w:rPr>
                <w:rFonts w:asciiTheme="minorBidi" w:hAnsiTheme="minorBidi"/>
                <w:color w:val="000000"/>
                <w:sz w:val="20"/>
                <w:szCs w:val="20"/>
              </w:rPr>
              <w:t>Prevalence Filter (N=400)</w:t>
            </w:r>
          </w:p>
        </w:tc>
        <w:tc>
          <w:tcPr>
            <w:tcW w:w="2097" w:type="dxa"/>
            <w:noWrap/>
            <w:vAlign w:val="center"/>
            <w:hideMark/>
          </w:tcPr>
          <w:p w14:paraId="6A5D28B2"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0"/>
                <w:szCs w:val="20"/>
              </w:rPr>
            </w:pPr>
            <w:r w:rsidRPr="00B764BC">
              <w:rPr>
                <w:rFonts w:asciiTheme="minorBidi" w:hAnsiTheme="minorBidi"/>
                <w:color w:val="000000"/>
                <w:sz w:val="20"/>
                <w:szCs w:val="20"/>
              </w:rPr>
              <w:t>0.93 (0.78-1.10)</w:t>
            </w:r>
          </w:p>
        </w:tc>
        <w:tc>
          <w:tcPr>
            <w:tcW w:w="2097" w:type="dxa"/>
            <w:noWrap/>
            <w:vAlign w:val="center"/>
            <w:hideMark/>
          </w:tcPr>
          <w:p w14:paraId="12EF2CDA"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0.76 (0.54-1.07)</w:t>
            </w:r>
          </w:p>
        </w:tc>
        <w:tc>
          <w:tcPr>
            <w:tcW w:w="2097" w:type="dxa"/>
            <w:noWrap/>
            <w:vAlign w:val="center"/>
            <w:hideMark/>
          </w:tcPr>
          <w:p w14:paraId="7C986828" w14:textId="77777777" w:rsidR="00CA09FB" w:rsidRPr="00B764BC" w:rsidRDefault="00CA09FB" w:rsidP="00E46A94">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B764BC">
              <w:rPr>
                <w:rFonts w:asciiTheme="minorBidi" w:hAnsiTheme="minorBidi"/>
                <w:color w:val="000000"/>
                <w:sz w:val="20"/>
                <w:szCs w:val="20"/>
              </w:rPr>
              <w:t>0.82 (0.63-1.08)</w:t>
            </w:r>
          </w:p>
        </w:tc>
      </w:tr>
    </w:tbl>
    <w:p w14:paraId="303B2E64" w14:textId="77777777" w:rsidR="00DB4FCC" w:rsidRPr="00CA09FB" w:rsidRDefault="00CA09FB" w:rsidP="00CA09FB">
      <w:pPr>
        <w:rPr>
          <w:rFonts w:eastAsia="Calibri" w:cs="Arial"/>
        </w:rPr>
      </w:pPr>
      <w:r>
        <w:rPr>
          <w:rFonts w:eastAsia="Calibri" w:cs="Arial"/>
        </w:rPr>
        <w:t xml:space="preserve">All numbers in the table are relative risk (95% confidence interval). Three </w:t>
      </w:r>
      <w:r w:rsidRPr="00AE6342">
        <w:rPr>
          <w:rFonts w:eastAsia="Calibri" w:cs="Arial"/>
        </w:rPr>
        <w:t>random sample</w:t>
      </w:r>
      <w:r>
        <w:rPr>
          <w:rFonts w:eastAsia="Calibri" w:cs="Arial"/>
        </w:rPr>
        <w:t>s</w:t>
      </w:r>
      <w:r w:rsidRPr="00AE6342">
        <w:rPr>
          <w:rFonts w:eastAsia="Calibri" w:cs="Arial"/>
        </w:rPr>
        <w:t xml:space="preserve"> </w:t>
      </w:r>
      <w:r>
        <w:rPr>
          <w:rFonts w:eastAsia="Calibri" w:cs="Arial"/>
        </w:rPr>
        <w:t xml:space="preserve">with different selection patterns were drawn </w:t>
      </w:r>
      <w:r w:rsidRPr="00AE6342">
        <w:rPr>
          <w:rFonts w:eastAsia="Calibri" w:cs="Arial"/>
        </w:rPr>
        <w:t xml:space="preserve">from the </w:t>
      </w:r>
      <w:r>
        <w:rPr>
          <w:rFonts w:eastAsia="Calibri" w:cs="Arial"/>
        </w:rPr>
        <w:t>parent</w:t>
      </w:r>
      <w:r w:rsidRPr="00AE6342">
        <w:rPr>
          <w:rFonts w:eastAsia="Calibri" w:cs="Arial"/>
        </w:rPr>
        <w:t xml:space="preserve"> cohort</w:t>
      </w:r>
      <w:r>
        <w:rPr>
          <w:rFonts w:eastAsia="Calibri" w:cs="Arial"/>
        </w:rPr>
        <w:t xml:space="preserve"> </w:t>
      </w:r>
      <w:r w:rsidRPr="00AE6342">
        <w:rPr>
          <w:rFonts w:eastAsia="Calibri" w:cs="Arial"/>
        </w:rPr>
        <w:t>(2012-2015, ICD-9 era).</w:t>
      </w:r>
    </w:p>
    <w:sectPr w:rsidR="00DB4FCC" w:rsidRPr="00CA09F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2082D" w14:textId="77777777" w:rsidR="00B4750A" w:rsidRDefault="00B4750A" w:rsidP="00B4750A">
      <w:r>
        <w:separator/>
      </w:r>
    </w:p>
  </w:endnote>
  <w:endnote w:type="continuationSeparator" w:id="0">
    <w:p w14:paraId="2339D7AD" w14:textId="77777777" w:rsidR="00B4750A" w:rsidRDefault="00B4750A" w:rsidP="00B4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70AB" w14:textId="77777777" w:rsidR="00EF1E2E" w:rsidRDefault="00EF1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3F0B" w14:textId="06BA6BA9" w:rsidR="00B4750A" w:rsidRDefault="00EF1E2E">
    <w:pPr>
      <w:pStyle w:val="Footer"/>
      <w:jc w:val="center"/>
    </w:pPr>
    <w:r>
      <w:rPr>
        <w:noProof/>
      </w:rPr>
      <mc:AlternateContent>
        <mc:Choice Requires="wps">
          <w:drawing>
            <wp:anchor distT="0" distB="0" distL="114300" distR="114300" simplePos="0" relativeHeight="251659264" behindDoc="0" locked="0" layoutInCell="0" allowOverlap="1" wp14:anchorId="38C0E3A0" wp14:editId="41F2CC62">
              <wp:simplePos x="0" y="0"/>
              <wp:positionH relativeFrom="page">
                <wp:posOffset>0</wp:posOffset>
              </wp:positionH>
              <wp:positionV relativeFrom="page">
                <wp:posOffset>9603740</wp:posOffset>
              </wp:positionV>
              <wp:extent cx="7772400" cy="263525"/>
              <wp:effectExtent l="0" t="0" r="0" b="3175"/>
              <wp:wrapNone/>
              <wp:docPr id="1" name="MSIPCM600a42beb2714bac16830c8e"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375AF" w14:textId="0EA42266" w:rsidR="00EF1E2E" w:rsidRPr="00EF1E2E" w:rsidRDefault="00EF1E2E" w:rsidP="00EF1E2E">
                          <w:pPr>
                            <w:rPr>
                              <w:rFonts w:ascii="Rockwell" w:hAnsi="Rockwell"/>
                              <w:color w:val="0078D7"/>
                              <w:sz w:val="18"/>
                            </w:rPr>
                          </w:pPr>
                          <w:r w:rsidRPr="00EF1E2E">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8C0E3A0" id="_x0000_t202" coordsize="21600,21600" o:spt="202" path="m,l,21600r21600,l21600,xe">
              <v:stroke joinstyle="miter"/>
              <v:path gradientshapeok="t" o:connecttype="rect"/>
            </v:shapetype>
            <v:shape id="MSIPCM600a42beb2714bac16830c8e" o:spid="_x0000_s1026" type="#_x0000_t202" alt="{&quot;HashCode&quot;:-1348403003,&quot;Height&quot;:792.0,&quot;Width&quot;:612.0,&quot;Placement&quot;:&quot;Footer&quot;,&quot;Index&quot;:&quot;Primary&quot;,&quot;Section&quot;:1,&quot;Top&quot;:0.0,&quot;Left&quot;:0.0}" style="position:absolute;left:0;text-align:left;margin-left:0;margin-top:756.2pt;width:612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" o:allowincell="f" filled="f" stroked="f" strokeweight=".5pt">
              <v:fill o:detectmouseclick="t"/>
              <v:textbox inset="20pt,0,,0">
                <w:txbxContent>
                  <w:p w14:paraId="5ED375AF" w14:textId="0EA42266" w:rsidR="00EF1E2E" w:rsidRPr="00EF1E2E" w:rsidRDefault="00EF1E2E" w:rsidP="00EF1E2E">
                    <w:pPr>
                      <w:rPr>
                        <w:rFonts w:ascii="Rockwell" w:hAnsi="Rockwell"/>
                        <w:color w:val="0078D7"/>
                        <w:sz w:val="18"/>
                      </w:rPr>
                    </w:pPr>
                    <w:r w:rsidRPr="00EF1E2E">
                      <w:rPr>
                        <w:rFonts w:ascii="Rockwell" w:hAnsi="Rockwell"/>
                        <w:color w:val="0078D7"/>
                        <w:sz w:val="18"/>
                      </w:rPr>
                      <w:t>Information Classification: General</w:t>
                    </w:r>
                  </w:p>
                </w:txbxContent>
              </v:textbox>
              <w10:wrap anchorx="page" anchory="page"/>
            </v:shape>
          </w:pict>
        </mc:Fallback>
      </mc:AlternateContent>
    </w:r>
    <w:sdt>
      <w:sdtPr>
        <w:id w:val="-37666685"/>
        <w:docPartObj>
          <w:docPartGallery w:val="Page Numbers (Bottom of Page)"/>
          <w:docPartUnique/>
        </w:docPartObj>
      </w:sdtPr>
      <w:sdtEndPr>
        <w:rPr>
          <w:noProof/>
        </w:rPr>
      </w:sdtEndPr>
      <w:sdtContent>
        <w:r w:rsidR="00B4750A">
          <w:fldChar w:fldCharType="begin"/>
        </w:r>
        <w:r w:rsidR="00B4750A">
          <w:instrText xml:space="preserve"> PAGE   \* MERGEFORMAT </w:instrText>
        </w:r>
        <w:r w:rsidR="00B4750A">
          <w:fldChar w:fldCharType="separate"/>
        </w:r>
        <w:r w:rsidR="00B4750A">
          <w:rPr>
            <w:noProof/>
          </w:rPr>
          <w:t>2</w:t>
        </w:r>
        <w:r w:rsidR="00B4750A">
          <w:rPr>
            <w:noProof/>
          </w:rPr>
          <w:fldChar w:fldCharType="end"/>
        </w:r>
      </w:sdtContent>
    </w:sdt>
  </w:p>
  <w:p w14:paraId="6763D6F7" w14:textId="77777777" w:rsidR="00B4750A" w:rsidRDefault="00B47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90F9" w14:textId="77777777" w:rsidR="00EF1E2E" w:rsidRDefault="00EF1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2CF3" w14:textId="77777777" w:rsidR="00B4750A" w:rsidRDefault="00B4750A" w:rsidP="00B4750A">
      <w:r>
        <w:separator/>
      </w:r>
    </w:p>
  </w:footnote>
  <w:footnote w:type="continuationSeparator" w:id="0">
    <w:p w14:paraId="6C67BA93" w14:textId="77777777" w:rsidR="00B4750A" w:rsidRDefault="00B4750A" w:rsidP="00B47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0706" w14:textId="77777777" w:rsidR="00EF1E2E" w:rsidRDefault="00EF1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99A8" w14:textId="77777777" w:rsidR="00EF1E2E" w:rsidRDefault="00EF1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E50A" w14:textId="77777777" w:rsidR="00EF1E2E" w:rsidRDefault="00EF1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53FE"/>
    <w:multiLevelType w:val="hybridMultilevel"/>
    <w:tmpl w:val="B2C856CA"/>
    <w:lvl w:ilvl="0" w:tplc="C55620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D5CEE"/>
    <w:multiLevelType w:val="hybridMultilevel"/>
    <w:tmpl w:val="A626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361641">
    <w:abstractNumId w:val="1"/>
  </w:num>
  <w:num w:numId="2" w16cid:durableId="1800293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0MDQ3MDY2NDA3NTBX0lEKTi0uzszPAykwqwUArvtgBCwAAAA="/>
  </w:docVars>
  <w:rsids>
    <w:rsidRoot w:val="00CA09FB"/>
    <w:rsid w:val="00033DF2"/>
    <w:rsid w:val="000C68BC"/>
    <w:rsid w:val="000F420C"/>
    <w:rsid w:val="00414601"/>
    <w:rsid w:val="00615D0C"/>
    <w:rsid w:val="00651455"/>
    <w:rsid w:val="00730568"/>
    <w:rsid w:val="00817321"/>
    <w:rsid w:val="00854D87"/>
    <w:rsid w:val="00B4750A"/>
    <w:rsid w:val="00B54A7F"/>
    <w:rsid w:val="00B80C94"/>
    <w:rsid w:val="00CA09FB"/>
    <w:rsid w:val="00CC0F52"/>
    <w:rsid w:val="00DB4FCC"/>
    <w:rsid w:val="00E34B97"/>
    <w:rsid w:val="00EF1E2E"/>
    <w:rsid w:val="00F806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67631F"/>
  <w15:chartTrackingRefBased/>
  <w15:docId w15:val="{A762F440-649E-447C-8B22-729B23D6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9F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854D8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2CHAPTERTITLE">
    <w:name w:val="002 CHAPTER TITLE"/>
    <w:basedOn w:val="Normal"/>
    <w:next w:val="Normal"/>
    <w:rsid w:val="00CA09FB"/>
    <w:pPr>
      <w:spacing w:after="240"/>
      <w:jc w:val="center"/>
      <w:outlineLvl w:val="0"/>
    </w:pPr>
  </w:style>
  <w:style w:type="paragraph" w:customStyle="1" w:styleId="003First-LevelSubheadingBOLD">
    <w:name w:val="003 First-Level Subheading BOLD"/>
    <w:basedOn w:val="Normal"/>
    <w:next w:val="Normal"/>
    <w:qFormat/>
    <w:rsid w:val="00CA09FB"/>
    <w:pPr>
      <w:keepNext/>
      <w:spacing w:after="240"/>
      <w:jc w:val="center"/>
      <w:outlineLvl w:val="1"/>
    </w:pPr>
    <w:rPr>
      <w:b/>
    </w:rPr>
  </w:style>
  <w:style w:type="paragraph" w:customStyle="1" w:styleId="006BodyText">
    <w:name w:val="006 Body Text"/>
    <w:basedOn w:val="Normal"/>
    <w:qFormat/>
    <w:rsid w:val="00CA09FB"/>
    <w:pPr>
      <w:spacing w:line="480" w:lineRule="auto"/>
      <w:ind w:firstLine="720"/>
    </w:pPr>
    <w:rPr>
      <w:rFonts w:eastAsia="Calibri" w:cs="Arial"/>
    </w:rPr>
  </w:style>
  <w:style w:type="table" w:customStyle="1" w:styleId="TableGrid2">
    <w:name w:val="Table Grid2"/>
    <w:basedOn w:val="TableNormal"/>
    <w:next w:val="TableGrid"/>
    <w:uiPriority w:val="39"/>
    <w:rsid w:val="00CA09F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CA09FB"/>
    <w:pPr>
      <w:spacing w:after="0" w:line="240" w:lineRule="auto"/>
    </w:pPr>
    <w:rPr>
      <w:rFonts w:ascii="Arial" w:eastAsia="Times New Roman" w:hAnsi="Arial" w:cs="Times New Roman"/>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CA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4D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4D87"/>
    <w:pPr>
      <w:spacing w:line="259" w:lineRule="auto"/>
      <w:outlineLvl w:val="9"/>
    </w:pPr>
  </w:style>
  <w:style w:type="paragraph" w:styleId="TOC2">
    <w:name w:val="toc 2"/>
    <w:basedOn w:val="Normal"/>
    <w:next w:val="Normal"/>
    <w:autoRedefine/>
    <w:uiPriority w:val="39"/>
    <w:unhideWhenUsed/>
    <w:rsid w:val="00854D87"/>
    <w:pPr>
      <w:spacing w:after="100"/>
      <w:ind w:left="240"/>
    </w:pPr>
  </w:style>
  <w:style w:type="character" w:styleId="Hyperlink">
    <w:name w:val="Hyperlink"/>
    <w:basedOn w:val="DefaultParagraphFont"/>
    <w:uiPriority w:val="99"/>
    <w:unhideWhenUsed/>
    <w:rsid w:val="00854D87"/>
    <w:rPr>
      <w:color w:val="0563C1" w:themeColor="hyperlink"/>
      <w:u w:val="single"/>
    </w:rPr>
  </w:style>
  <w:style w:type="paragraph" w:styleId="Header">
    <w:name w:val="header"/>
    <w:basedOn w:val="Normal"/>
    <w:link w:val="HeaderChar"/>
    <w:uiPriority w:val="99"/>
    <w:unhideWhenUsed/>
    <w:rsid w:val="00B4750A"/>
    <w:pPr>
      <w:tabs>
        <w:tab w:val="center" w:pos="4680"/>
        <w:tab w:val="right" w:pos="9360"/>
      </w:tabs>
    </w:pPr>
  </w:style>
  <w:style w:type="character" w:customStyle="1" w:styleId="HeaderChar">
    <w:name w:val="Header Char"/>
    <w:basedOn w:val="DefaultParagraphFont"/>
    <w:link w:val="Header"/>
    <w:uiPriority w:val="99"/>
    <w:rsid w:val="00B4750A"/>
    <w:rPr>
      <w:rFonts w:ascii="Arial" w:eastAsia="Times New Roman" w:hAnsi="Arial" w:cs="Times New Roman"/>
      <w:sz w:val="24"/>
      <w:szCs w:val="24"/>
    </w:rPr>
  </w:style>
  <w:style w:type="paragraph" w:styleId="Footer">
    <w:name w:val="footer"/>
    <w:basedOn w:val="Normal"/>
    <w:link w:val="FooterChar"/>
    <w:uiPriority w:val="99"/>
    <w:unhideWhenUsed/>
    <w:rsid w:val="00B4750A"/>
    <w:pPr>
      <w:tabs>
        <w:tab w:val="center" w:pos="4680"/>
        <w:tab w:val="right" w:pos="9360"/>
      </w:tabs>
    </w:pPr>
  </w:style>
  <w:style w:type="character" w:customStyle="1" w:styleId="FooterChar">
    <w:name w:val="Footer Char"/>
    <w:basedOn w:val="DefaultParagraphFont"/>
    <w:link w:val="Footer"/>
    <w:uiPriority w:val="99"/>
    <w:rsid w:val="00B4750A"/>
    <w:rPr>
      <w:rFonts w:ascii="Arial" w:eastAsia="Times New Roman" w:hAnsi="Arial" w:cs="Times New Roman"/>
      <w:sz w:val="24"/>
      <w:szCs w:val="24"/>
    </w:rPr>
  </w:style>
  <w:style w:type="paragraph" w:styleId="ListParagraph">
    <w:name w:val="List Paragraph"/>
    <w:basedOn w:val="Normal"/>
    <w:uiPriority w:val="34"/>
    <w:qFormat/>
    <w:rsid w:val="00B54A7F"/>
    <w:pPr>
      <w:ind w:left="720"/>
      <w:contextualSpacing/>
    </w:pPr>
  </w:style>
  <w:style w:type="character" w:styleId="UnresolvedMention">
    <w:name w:val="Unresolved Mention"/>
    <w:basedOn w:val="DefaultParagraphFont"/>
    <w:uiPriority w:val="99"/>
    <w:semiHidden/>
    <w:unhideWhenUsed/>
    <w:rsid w:val="00B54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nchs/icd/icd10cm_pcs_background.ht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entinelinitiative.org/methods-data-tools/health-outcomes-interest/gastrointestinal-bleeding-algorithm-defin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19F8-5F8C-40C6-8B18-0CC52091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Sarayani</dc:creator>
  <cp:keywords/>
  <dc:description/>
  <cp:lastModifiedBy>Pratt, Lucas</cp:lastModifiedBy>
  <cp:revision>2</cp:revision>
  <dcterms:created xsi:type="dcterms:W3CDTF">2023-05-25T21:07:00Z</dcterms:created>
  <dcterms:modified xsi:type="dcterms:W3CDTF">2023-05-25T21:07:00Z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6f9e5a7a-0140-3a7e-8ab9-d3c33a8439f4</vt:lpwstr>
  </property>
  <property fmtid="{D5CDD505-2E9C-101B-9397-08002B2CF9AE}" pid="24" name="Mendeley Citation Style_1">
    <vt:lpwstr>http://www.zotero.org/styles/american-medical-association</vt:lpwstr>
  </property>
  <property fmtid="{D5CDD505-2E9C-101B-9397-08002B2CF9AE}" pid="25" name="MSIP_Label_2bbab825-a111-45e4-86a1-18cee0005896_Enabled">
    <vt:lpwstr>true</vt:lpwstr>
  </property>
  <property fmtid="{D5CDD505-2E9C-101B-9397-08002B2CF9AE}" pid="26" name="MSIP_Label_2bbab825-a111-45e4-86a1-18cee0005896_SetDate">
    <vt:lpwstr>2023-05-25T21:07:44Z</vt:lpwstr>
  </property>
  <property fmtid="{D5CDD505-2E9C-101B-9397-08002B2CF9AE}" pid="27" name="MSIP_Label_2bbab825-a111-45e4-86a1-18cee0005896_Method">
    <vt:lpwstr>Standard</vt:lpwstr>
  </property>
  <property fmtid="{D5CDD505-2E9C-101B-9397-08002B2CF9AE}" pid="28" name="MSIP_Label_2bbab825-a111-45e4-86a1-18cee0005896_Name">
    <vt:lpwstr>2bbab825-a111-45e4-86a1-18cee0005896</vt:lpwstr>
  </property>
  <property fmtid="{D5CDD505-2E9C-101B-9397-08002B2CF9AE}" pid="29" name="MSIP_Label_2bbab825-a111-45e4-86a1-18cee0005896_SiteId">
    <vt:lpwstr>2567d566-604c-408a-8a60-55d0dc9d9d6b</vt:lpwstr>
  </property>
  <property fmtid="{D5CDD505-2E9C-101B-9397-08002B2CF9AE}" pid="30" name="MSIP_Label_2bbab825-a111-45e4-86a1-18cee0005896_ActionId">
    <vt:lpwstr>b8a82b74-87e7-4398-ba49-872a1be90e86</vt:lpwstr>
  </property>
  <property fmtid="{D5CDD505-2E9C-101B-9397-08002B2CF9AE}" pid="31" name="MSIP_Label_2bbab825-a111-45e4-86a1-18cee0005896_ContentBits">
    <vt:lpwstr>2</vt:lpwstr>
  </property>
</Properties>
</file>