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Supplemental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Table.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Baseline characteristics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of c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ovariates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in the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IPTW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 cohort of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339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 eligible patients </w:t>
      </w:r>
    </w:p>
    <w:tbl>
      <w:tblPr>
        <w:tblStyle w:val="2"/>
        <w:tblW w:w="46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90"/>
        <w:gridCol w:w="909"/>
        <w:gridCol w:w="691"/>
        <w:gridCol w:w="720"/>
        <w:gridCol w:w="864"/>
        <w:gridCol w:w="1060"/>
        <w:gridCol w:w="666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1" w:type="pct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Covariates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superscript"/>
                <w:lang w:val="en-US" w:eastAsia="zh-CN"/>
              </w:rPr>
              <w:t>b</w:t>
            </w:r>
          </w:p>
        </w:tc>
        <w:tc>
          <w:tcPr>
            <w:tcW w:w="2074" w:type="pct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General Cohort</w:t>
            </w:r>
          </w:p>
        </w:tc>
        <w:tc>
          <w:tcPr>
            <w:tcW w:w="2054" w:type="pct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Propensity Score IPTW Cohort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vertAlign w:val="superscript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1" w:type="pct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targeted</w:t>
            </w:r>
          </w:p>
        </w:tc>
        <w:tc>
          <w:tcPr>
            <w:tcW w:w="569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nontargeted</w:t>
            </w:r>
          </w:p>
        </w:tc>
        <w:tc>
          <w:tcPr>
            <w:tcW w:w="432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451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SMD</w:t>
            </w:r>
          </w:p>
        </w:tc>
        <w:tc>
          <w:tcPr>
            <w:tcW w:w="541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targeted</w:t>
            </w:r>
          </w:p>
        </w:tc>
        <w:tc>
          <w:tcPr>
            <w:tcW w:w="664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nontargeted</w:t>
            </w:r>
          </w:p>
        </w:tc>
        <w:tc>
          <w:tcPr>
            <w:tcW w:w="417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431" w:type="pct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N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342.54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 (mean (SD))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67.53 (16.82)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62.37 (15.88)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65.69 (17.83)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64.75 (16.08)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Heart failure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 (44.3)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 (57.1)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163.0 (47.6)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144.6 (45.2)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espiratory failure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 (42.4)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(56.0)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160.2 (46.8)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154.0 (48.1)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astrointestinal bleeding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 (27.1)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 (41.7)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107.8 (31.5)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102.8 (32.1)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enal failure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 (32.5)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 (38.1)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0.116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119.3 (34.8)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114.3 (35.7)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alignancy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 (19.2)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(14.3)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 (17.3)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 (19.0)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Cultured for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C. striatum only （N，%）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 (63.1)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 (61.9)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211.8 (61.8)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198.8 (62.1)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 antibacterial drugs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 (96.5)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 (88.1)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0.318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324.7 (94.8)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303.5 (94.8)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ntifungal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 (19.6)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 (23.8)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 (20.7)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 (20.8)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APACHEII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 (5.77)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16.11 (6.14)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14.76 (5.83)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15.42 (5.73)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SOFA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 (3.23)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 (3.14)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 (3.42)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 (2.85)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NLP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 (9.79)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 (11.49)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0.268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12.59 (11.04)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13.63 (11.05)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0.094</w:t>
            </w:r>
          </w:p>
        </w:tc>
      </w:tr>
    </w:tbl>
    <w:p>
      <w:pPr>
        <w:spacing w:line="480" w:lineRule="auto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Supplemental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T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able: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Abbreviations: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SMD standardized mean dif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erence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; IPTW: i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nverse probability of treatment weighting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C.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triat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um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Corynebacterium stri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tum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APACHE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II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: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Acute Physiological and Chronic Health Evaluation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 II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eastAsia="等线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SOFA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: Sequential Organ Failure Assessment; </w:t>
      </w:r>
      <w:r>
        <w:rPr>
          <w:rFonts w:hint="default" w:ascii="Times New Roman" w:hAnsi="Times New Roman" w:eastAsia="等线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NLP</w:t>
      </w:r>
      <w:r>
        <w:rPr>
          <w:rFonts w:hint="eastAsia" w:ascii="Times New Roman" w:hAnsi="Times New Roman" w:eastAsia="等线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: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neutrophil:lymphocyte ratio.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vertAlign w:val="superscript"/>
          <w:lang w:val="en-US" w:eastAsia="zh-CN"/>
        </w:rPr>
        <w:t xml:space="preserve">a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All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of the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numbers of patients in the inverse probability of treatment weighted cohort are rounded to the nearest whole number; some categories may not add up to 100%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vertAlign w:val="superscript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A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ll on the day of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the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first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sample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 xml:space="preserve"> culture collection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spacing w:line="480" w:lineRule="auto"/>
        <w:ind w:firstLine="600" w:firstLineChars="300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default" w:ascii="Times New Roman" w:hAnsi="Times New Roman" w:eastAsia="Italic" w:cs="Times New Roman"/>
          <w:b/>
          <w:bCs/>
          <w:color w:val="323232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default" w:ascii="Times New Roman" w:hAnsi="Times New Roman" w:eastAsia="Italic" w:cs="Times New Roman"/>
          <w:b/>
          <w:bCs/>
          <w:color w:val="323232"/>
          <w:kern w:val="0"/>
          <w:sz w:val="18"/>
          <w:szCs w:val="18"/>
          <w:lang w:val="en-US" w:eastAsia="zh-CN" w:bidi="ar"/>
        </w:rPr>
      </w:pP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</w:rPr>
        <w:t>upplemental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highlight w:val="none"/>
          <w:lang w:val="en-US" w:eastAsia="zh-CN"/>
        </w:rPr>
        <w:t>Figure Legends</w:t>
      </w: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</w:rPr>
        <w:t>upplemental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/>
        </w:rPr>
        <w:t xml:space="preserve"> Figure. 1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F</w:t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>lowchart of included patients</w:t>
      </w: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  <w:highlight w:val="none"/>
          <w:lang w:val="en-US" w:eastAsia="zh-CN"/>
        </w:rPr>
        <w:drawing>
          <wp:inline distT="0" distB="0" distL="114300" distR="114300">
            <wp:extent cx="5041900" cy="4343400"/>
            <wp:effectExtent l="0" t="0" r="0" b="0"/>
            <wp:docPr id="2" name="图片 2" descr="supplemental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l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</w:rPr>
        <w:t>upplemental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/>
        </w:rPr>
        <w:t xml:space="preserve"> Figure. 1: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showed f</w:t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>lowchart of included patients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  <w:t>. Finally, t</w:t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>he number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</w:rPr>
        <w:t>s</w:t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 xml:space="preserve"> of patients in the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</w:rPr>
        <w:t xml:space="preserve">targeted antibiotic therapy group </w:t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 xml:space="preserve">and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</w:rPr>
        <w:t>nontargeted antibiotic therapy</w:t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 xml:space="preserve"> group were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</w:rPr>
        <w:t>84</w:t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 xml:space="preserve"> and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</w:rPr>
        <w:t>255</w:t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>,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0"/>
          <w:szCs w:val="20"/>
        </w:rPr>
        <w:t>respectively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  <w:t>.</w:t>
      </w: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</w:pP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</w:pP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</w:pP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</w:pP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</w:pP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</w:pPr>
    </w:p>
    <w:p>
      <w:pPr>
        <w:spacing w:line="480" w:lineRule="auto"/>
        <w:jc w:val="left"/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</w:rPr>
        <w:t>upplemental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</w:rPr>
        <w:t xml:space="preserve"> Figure. 2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</w:rPr>
        <w:t>Comparison of day 1 and day 7 of laboratory testing in 339 patients</w:t>
      </w:r>
    </w:p>
    <w:p>
      <w:pPr>
        <w:spacing w:line="480" w:lineRule="auto"/>
        <w:jc w:val="left"/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</w:pP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0"/>
          <w:szCs w:val="20"/>
          <w:lang w:val="en-US" w:eastAsia="zh-CN"/>
        </w:rPr>
        <w:drawing>
          <wp:inline distT="0" distB="0" distL="114300" distR="114300">
            <wp:extent cx="5269230" cy="2687320"/>
            <wp:effectExtent l="0" t="0" r="1270" b="5080"/>
            <wp:docPr id="3" name="图片 3" descr="supplemental figure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l figure2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left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</w:rPr>
        <w:t>upplemental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highlight w:val="none"/>
          <w:lang w:val="en-US" w:eastAsia="zh-CN"/>
        </w:rPr>
        <w:t xml:space="preserve">Figure. 2: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Abbreviations: SOFA: Sequential Organ Failure Assessment; WBC: white blood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 count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; NLR: neutrophil:lymphocyte ratio; PCT: procalcitonin; CRP: C-reactive protein; IL-6: interleukin-6; TB: total bilirubin; Cr: creatinine; HB: hemoglobin; PLT: platelet.</w:t>
      </w:r>
    </w:p>
    <w:p>
      <w:pPr>
        <w:spacing w:line="480" w:lineRule="auto"/>
        <w:jc w:val="lef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Figure. 2A showed 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val="en-US" w:eastAsia="zh-CN"/>
        </w:rPr>
        <w:t xml:space="preserve">Comparison of day 1 and day 7 of laboratory testing in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targeted antibiotic group, Figure. 2B showed 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val="en-US" w:eastAsia="zh-CN"/>
        </w:rPr>
        <w:t>Comparison of day 1 and day 7 of laboratory testing in non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targeted antibiotic group,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*a: The SOFA score was significantly decreased in both groups after 7 days, </w:t>
      </w:r>
      <w:r>
        <w:rPr>
          <w:rFonts w:hint="eastAsia" w:ascii="Times New Roman" w:hAnsi="Times New Roman" w:eastAsia="宋体" w:cs="Times New Roman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≤0.05.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*b: NLR was significantly decreased in both groups after 7 days, </w:t>
      </w:r>
      <w:r>
        <w:rPr>
          <w:rFonts w:hint="eastAsia" w:ascii="Times New Roman" w:hAnsi="Times New Roman" w:eastAsia="宋体" w:cs="Times New Roman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≤0.05.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c: Cr was was not significantly decreased after 7 days in figure 2A;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*c: Cr was was significantly decreased after 7 days in figure 2B, </w:t>
      </w:r>
      <w:r>
        <w:rPr>
          <w:rFonts w:hint="eastAsia" w:ascii="Times New Roman" w:hAnsi="Times New Roman" w:eastAsia="宋体" w:cs="Times New Roman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≤0.05.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*d: PLT was significantly increased in both groups after 7 days, </w:t>
      </w:r>
      <w:r>
        <w:rPr>
          <w:rFonts w:hint="eastAsia" w:ascii="Times New Roman" w:hAnsi="Times New Roman" w:eastAsia="宋体" w:cs="Times New Roman"/>
          <w:i/>
          <w:iCs/>
          <w:sz w:val="20"/>
          <w:szCs w:val="20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≤0.05.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</w:rPr>
        <w:t>upplemental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</w:rPr>
        <w:t xml:space="preserve"> Figure. 3 </w:t>
      </w:r>
      <w:r>
        <w:rPr>
          <w:rFonts w:hint="eastAsia" w:ascii="Times New Roman" w:hAnsi="Times New Roman" w:eastAsia="宋体" w:cs="Times New Roman"/>
          <w:color w:val="000000"/>
          <w:sz w:val="20"/>
          <w:szCs w:val="20"/>
        </w:rPr>
        <w:t>Degree of change in laboratory testing (day 7 vs. day 1) between the two groups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drawing>
          <wp:inline distT="0" distB="0" distL="114300" distR="114300">
            <wp:extent cx="5130800" cy="4254500"/>
            <wp:effectExtent l="0" t="0" r="0" b="0"/>
            <wp:docPr id="4" name="图片 4" descr="supplimental 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pplimental fig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left"/>
        <w:rPr>
          <w:rFonts w:hint="default" w:eastAsiaTheme="minorEastAsia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 w:eastAsia="宋体" w:cs="Times New Roman"/>
          <w:b/>
          <w:bCs/>
          <w:color w:val="000000"/>
          <w:sz w:val="20"/>
          <w:szCs w:val="20"/>
        </w:rPr>
        <w:t>upplemental</w:t>
      </w:r>
      <w:r>
        <w:rPr>
          <w:rFonts w:hint="eastAsia" w:ascii="Times New Roman" w:hAnsi="Times New Roman" w:eastAsia="宋体" w:cs="Times New Roman"/>
          <w:b/>
          <w:bCs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Figure. 3: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 Abbreviations: SOFA: Sequential Organ Failure Assessment; WBC: white blood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 count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; NLR: neutrophil:lymphocyte ratio; PCT: procalcitonin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 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; CRP: C-reactive protein; IL-6: interleukin-6; TB: total bilirubin; Cr: creatinine; HB: hemoglobin; PLT: platelet.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*a: The decreased degree of serum Cr was significantly higher in the nontargeted group,</w:t>
      </w:r>
      <w:r>
        <w:rPr>
          <w:rFonts w:hint="eastAsia" w:ascii="Times New Roman" w:hAnsi="Times New Roman" w:eastAsia="宋体" w:cs="Times New Roman"/>
          <w:i/>
          <w:iCs/>
          <w:sz w:val="20"/>
          <w:szCs w:val="20"/>
          <w:lang w:val="en-US" w:eastAsia="zh-CN"/>
        </w:rPr>
        <w:t xml:space="preserve"> P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≤0.05.</w:t>
      </w:r>
    </w:p>
    <w:p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*b: The increased degree of blood PLT was significantly higher in the nontargeted group,</w:t>
      </w:r>
      <w:r>
        <w:rPr>
          <w:rFonts w:hint="eastAsia" w:ascii="Times New Roman" w:hAnsi="Times New Roman" w:eastAsia="宋体" w:cs="Times New Roman"/>
          <w:i/>
          <w:iCs/>
          <w:sz w:val="20"/>
          <w:szCs w:val="20"/>
          <w:lang w:val="en-US" w:eastAsia="zh-CN"/>
        </w:rPr>
        <w:t xml:space="preserve"> P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≤0.05.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Njc1MjA0ZDEzYWNiMTRjNTZjOWUyYzQ5Y2Y5OGMifQ=="/>
  </w:docVars>
  <w:rsids>
    <w:rsidRoot w:val="00000000"/>
    <w:rsid w:val="07D64EA2"/>
    <w:rsid w:val="11974003"/>
    <w:rsid w:val="18BD1C8B"/>
    <w:rsid w:val="1E734B49"/>
    <w:rsid w:val="21D10EE0"/>
    <w:rsid w:val="240223E5"/>
    <w:rsid w:val="277079EE"/>
    <w:rsid w:val="33E14DC3"/>
    <w:rsid w:val="4D143AE2"/>
    <w:rsid w:val="525E4D38"/>
    <w:rsid w:val="63BA1E5D"/>
    <w:rsid w:val="64003DD1"/>
    <w:rsid w:val="7F1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574</Words>
  <Characters>3144</Characters>
  <Lines>0</Lines>
  <Paragraphs>0</Paragraphs>
  <TotalTime>2</TotalTime>
  <ScaleCrop>false</ScaleCrop>
  <LinksUpToDate>false</LinksUpToDate>
  <CharactersWithSpaces>3559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2023-03-01T22:21:00Z</dcterms:created>
  <dc:creator>Lenovo</dc:creator>
  <cp:lastModifiedBy>Mi*@乐</cp:lastModifiedBy>
  <dcterms:modified xsi:type="dcterms:W3CDTF">2023-03-16T11:12:46Z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BD66E9F682D54A36BD99324CAF998799</vt:lpwstr>
  </property>
</Properties>
</file>