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9FB092"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pict w14:anchorId="49065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 o:spid="_x0000_i1025" type="#_x0000_t75" alt="figure S1" style="width:520.8pt;height:587.4pt;mso-position-horizontal-relative:page;mso-position-vertical-relative:page">
            <v:fill o:detectmouseclick="t"/>
            <v:imagedata r:id="rId6" o:title="figure S1"/>
          </v:shape>
        </w:pict>
      </w:r>
    </w:p>
    <w:p w14:paraId="6045AB40" w14:textId="77777777" w:rsidR="003E6FC6" w:rsidRPr="005B4A69" w:rsidRDefault="003E6FC6" w:rsidP="000054AC">
      <w:pPr>
        <w:jc w:val="left"/>
        <w:rPr>
          <w:rFonts w:ascii="Times New Roman" w:hAnsi="Times New Roman"/>
          <w:b/>
          <w:bCs/>
          <w:color w:val="000000"/>
          <w:sz w:val="28"/>
          <w:szCs w:val="36"/>
        </w:rPr>
      </w:pPr>
      <w:r w:rsidRPr="005B4A69">
        <w:rPr>
          <w:rFonts w:ascii="Times New Roman" w:hAnsi="Times New Roman"/>
          <w:b/>
          <w:color w:val="000000"/>
          <w:sz w:val="24"/>
        </w:rPr>
        <w:t>Figure S1</w:t>
      </w:r>
      <w:r w:rsidRPr="005B4A69">
        <w:rPr>
          <w:rFonts w:ascii="Times New Roman" w:hAnsi="Times New Roman"/>
          <w:color w:val="000000"/>
          <w:sz w:val="24"/>
        </w:rPr>
        <w:t>.</w:t>
      </w:r>
      <w:r w:rsidR="000054AC" w:rsidRPr="005B4A69">
        <w:rPr>
          <w:color w:val="000000"/>
        </w:rPr>
        <w:t xml:space="preserve"> </w:t>
      </w:r>
      <w:r w:rsidR="000054AC" w:rsidRPr="005B4A69">
        <w:rPr>
          <w:rFonts w:ascii="Times New Roman" w:hAnsi="Times New Roman"/>
          <w:color w:val="000000"/>
          <w:sz w:val="24"/>
        </w:rPr>
        <w:t xml:space="preserve">Analysis of the progressively upregulated or downregulated genes during the development of NE-BE-EAC. Based on the RNA-seq data in the GEO database, the mRNA expression levels of AEBP1 (A), AGT (B), ALDH3A1 (C), DHRS9 (D), DSC2 (E), FGFBP1 (F), IFI30 (G), MAL (H), MALL (I), S100A14 (J), SERPINA3 (K), UBD (L) </w:t>
      </w:r>
      <w:r w:rsidR="00CB0983" w:rsidRPr="005B4A69">
        <w:rPr>
          <w:rFonts w:ascii="Times New Roman" w:hAnsi="Times New Roman"/>
          <w:color w:val="000000"/>
          <w:sz w:val="24"/>
        </w:rPr>
        <w:t>in</w:t>
      </w:r>
      <w:r w:rsidR="004D2B5E" w:rsidRPr="005B4A69">
        <w:rPr>
          <w:rFonts w:ascii="Times New Roman" w:hAnsi="Times New Roman"/>
          <w:color w:val="000000"/>
          <w:sz w:val="24"/>
        </w:rPr>
        <w:t xml:space="preserve"> 94 NE tissues, 113 BE tissues </w:t>
      </w:r>
      <w:r w:rsidR="00CB0983" w:rsidRPr="005B4A69">
        <w:rPr>
          <w:rFonts w:ascii="Times New Roman" w:hAnsi="Times New Roman"/>
          <w:color w:val="000000"/>
          <w:sz w:val="24"/>
        </w:rPr>
        <w:t>and</w:t>
      </w:r>
      <w:r w:rsidR="004D2B5E" w:rsidRPr="005B4A69">
        <w:rPr>
          <w:rFonts w:ascii="Times New Roman" w:hAnsi="Times New Roman"/>
          <w:color w:val="000000"/>
          <w:sz w:val="24"/>
        </w:rPr>
        <w:t xml:space="preserve"> 147 EAC tissues</w:t>
      </w:r>
      <w:r w:rsidR="00D14180" w:rsidRPr="005B4A69">
        <w:rPr>
          <w:rFonts w:ascii="Times New Roman" w:hAnsi="Times New Roman"/>
          <w:color w:val="000000"/>
          <w:sz w:val="24"/>
        </w:rPr>
        <w:t xml:space="preserve"> were analyzed</w:t>
      </w:r>
      <w:r w:rsidRPr="005B4A69">
        <w:rPr>
          <w:rFonts w:ascii="Times New Roman" w:hAnsi="Times New Roman"/>
          <w:color w:val="000000"/>
          <w:sz w:val="24"/>
        </w:rPr>
        <w:t>.</w:t>
      </w:r>
      <w:r w:rsidR="00F21BEE" w:rsidRPr="005B4A69">
        <w:rPr>
          <w:rFonts w:ascii="Times New Roman" w:hAnsi="Times New Roman"/>
          <w:color w:val="000000"/>
          <w:sz w:val="24"/>
        </w:rPr>
        <w:t xml:space="preserve"> </w:t>
      </w:r>
    </w:p>
    <w:p w14:paraId="6BC7AAC3" w14:textId="77777777" w:rsidR="003E6FC6" w:rsidRPr="005B4A69" w:rsidRDefault="003E6FC6">
      <w:pPr>
        <w:jc w:val="center"/>
        <w:rPr>
          <w:rFonts w:ascii="Times New Roman" w:hAnsi="Times New Roman"/>
          <w:b/>
          <w:bCs/>
          <w:color w:val="000000"/>
          <w:sz w:val="28"/>
          <w:szCs w:val="36"/>
        </w:rPr>
      </w:pPr>
    </w:p>
    <w:p w14:paraId="65EEE5FC" w14:textId="77777777" w:rsidR="003E6FC6" w:rsidRPr="005B4A69" w:rsidRDefault="003E6FC6">
      <w:pPr>
        <w:jc w:val="center"/>
        <w:rPr>
          <w:rFonts w:ascii="Times New Roman" w:hAnsi="Times New Roman"/>
          <w:b/>
          <w:bCs/>
          <w:color w:val="000000"/>
          <w:sz w:val="28"/>
          <w:szCs w:val="36"/>
        </w:rPr>
      </w:pPr>
    </w:p>
    <w:p w14:paraId="18F9EB29" w14:textId="77777777" w:rsidR="003E6FC6" w:rsidRPr="005B4A69" w:rsidRDefault="003E6FC6">
      <w:pPr>
        <w:jc w:val="center"/>
        <w:rPr>
          <w:rFonts w:ascii="Times New Roman" w:hAnsi="Times New Roman"/>
          <w:b/>
          <w:bCs/>
          <w:color w:val="000000"/>
          <w:sz w:val="28"/>
          <w:szCs w:val="36"/>
        </w:rPr>
      </w:pPr>
    </w:p>
    <w:p w14:paraId="46BF4BFA"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pict w14:anchorId="124A451F">
          <v:shape id="图片 12" o:spid="_x0000_i1026" type="#_x0000_t75" alt="figure S2" style="width:516.6pt;height:513pt;mso-position-horizontal-relative:page;mso-position-vertical-relative:page">
            <v:fill o:detectmouseclick="t"/>
            <v:imagedata r:id="rId7" o:title="figure S2"/>
          </v:shape>
        </w:pict>
      </w:r>
    </w:p>
    <w:p w14:paraId="33D2859F" w14:textId="77777777" w:rsidR="003E6FC6" w:rsidRPr="005B4A69" w:rsidRDefault="003E6FC6" w:rsidP="00C737EF">
      <w:pPr>
        <w:jc w:val="left"/>
        <w:rPr>
          <w:rFonts w:ascii="Times New Roman" w:hAnsi="Times New Roman"/>
          <w:b/>
          <w:bCs/>
          <w:color w:val="000000"/>
          <w:sz w:val="28"/>
          <w:szCs w:val="36"/>
        </w:rPr>
      </w:pPr>
      <w:r w:rsidRPr="005B4A69">
        <w:rPr>
          <w:rFonts w:ascii="Times New Roman" w:hAnsi="Times New Roman"/>
          <w:b/>
          <w:color w:val="000000"/>
          <w:sz w:val="24"/>
        </w:rPr>
        <w:t>Figure S2</w:t>
      </w:r>
      <w:r w:rsidRPr="005B4A69">
        <w:rPr>
          <w:rFonts w:ascii="Times New Roman" w:hAnsi="Times New Roman"/>
          <w:color w:val="000000"/>
          <w:sz w:val="24"/>
        </w:rPr>
        <w:t xml:space="preserve">. </w:t>
      </w:r>
      <w:r w:rsidR="00C737EF" w:rsidRPr="005B4A69">
        <w:rPr>
          <w:rFonts w:ascii="Times New Roman" w:hAnsi="Times New Roman"/>
          <w:color w:val="000000"/>
          <w:sz w:val="24"/>
        </w:rPr>
        <w:t>Correlation analysis of hub genes with T</w:t>
      </w:r>
      <w:r w:rsidR="0040292C" w:rsidRPr="005B4A69">
        <w:rPr>
          <w:rFonts w:ascii="Times New Roman" w:hAnsi="Times New Roman"/>
          <w:color w:val="000000"/>
          <w:sz w:val="24"/>
        </w:rPr>
        <w:t>MB</w:t>
      </w:r>
      <w:r w:rsidR="00C737EF" w:rsidRPr="005B4A69">
        <w:rPr>
          <w:rFonts w:ascii="Times New Roman" w:hAnsi="Times New Roman"/>
          <w:color w:val="000000"/>
          <w:sz w:val="24"/>
        </w:rPr>
        <w:t xml:space="preserve"> score. Based on the RNA-seq data of EAC in TCGA database, Spearman's correlation analysis was used to characterize the correlation between COL1A1 (A), TGFBI (B), MMP1 (C), COL4A1 (D), NID2 (E), MMP12 (F), CXCL1 (G) and T</w:t>
      </w:r>
      <w:r w:rsidR="00675FF4" w:rsidRPr="005B4A69">
        <w:rPr>
          <w:rFonts w:ascii="Times New Roman" w:hAnsi="Times New Roman"/>
          <w:color w:val="000000"/>
          <w:sz w:val="24"/>
        </w:rPr>
        <w:t>MB</w:t>
      </w:r>
      <w:r w:rsidR="00C737EF" w:rsidRPr="005B4A69">
        <w:rPr>
          <w:rFonts w:ascii="Times New Roman" w:hAnsi="Times New Roman"/>
          <w:color w:val="000000"/>
          <w:sz w:val="24"/>
        </w:rPr>
        <w:t xml:space="preserve"> score.</w:t>
      </w:r>
    </w:p>
    <w:p w14:paraId="2E5CE966" w14:textId="77777777" w:rsidR="003E6FC6" w:rsidRPr="005B4A69" w:rsidRDefault="003E6FC6">
      <w:pPr>
        <w:jc w:val="center"/>
        <w:rPr>
          <w:rFonts w:ascii="Times New Roman" w:hAnsi="Times New Roman"/>
          <w:b/>
          <w:bCs/>
          <w:color w:val="000000"/>
          <w:sz w:val="28"/>
          <w:szCs w:val="36"/>
        </w:rPr>
      </w:pPr>
    </w:p>
    <w:p w14:paraId="3D72B038" w14:textId="77777777" w:rsidR="003E6FC6" w:rsidRPr="005B4A69" w:rsidRDefault="003E6FC6">
      <w:pPr>
        <w:jc w:val="center"/>
        <w:rPr>
          <w:rFonts w:ascii="Times New Roman" w:hAnsi="Times New Roman"/>
          <w:b/>
          <w:bCs/>
          <w:color w:val="000000"/>
          <w:sz w:val="28"/>
          <w:szCs w:val="36"/>
        </w:rPr>
      </w:pPr>
    </w:p>
    <w:p w14:paraId="73DF16BA" w14:textId="77777777" w:rsidR="003E6FC6" w:rsidRPr="005B4A69" w:rsidRDefault="003E6FC6">
      <w:pPr>
        <w:jc w:val="center"/>
        <w:rPr>
          <w:rFonts w:ascii="Times New Roman" w:hAnsi="Times New Roman"/>
          <w:b/>
          <w:bCs/>
          <w:color w:val="000000"/>
          <w:sz w:val="28"/>
          <w:szCs w:val="36"/>
        </w:rPr>
      </w:pPr>
    </w:p>
    <w:p w14:paraId="5077DB39" w14:textId="77777777" w:rsidR="003E6FC6" w:rsidRPr="005B4A69" w:rsidRDefault="003E6FC6">
      <w:pPr>
        <w:jc w:val="center"/>
        <w:rPr>
          <w:rFonts w:ascii="Times New Roman" w:hAnsi="Times New Roman"/>
          <w:b/>
          <w:bCs/>
          <w:color w:val="000000"/>
          <w:sz w:val="28"/>
          <w:szCs w:val="36"/>
        </w:rPr>
      </w:pPr>
    </w:p>
    <w:p w14:paraId="21220B13" w14:textId="77777777" w:rsidR="003E6FC6" w:rsidRPr="005B4A69" w:rsidRDefault="003E6FC6">
      <w:pPr>
        <w:jc w:val="center"/>
        <w:rPr>
          <w:rFonts w:ascii="Times New Roman" w:hAnsi="Times New Roman"/>
          <w:b/>
          <w:bCs/>
          <w:color w:val="000000"/>
          <w:sz w:val="28"/>
          <w:szCs w:val="36"/>
        </w:rPr>
      </w:pPr>
    </w:p>
    <w:p w14:paraId="320FAAED" w14:textId="77777777" w:rsidR="003E6FC6" w:rsidRPr="005B4A69" w:rsidRDefault="003E6FC6">
      <w:pPr>
        <w:jc w:val="center"/>
        <w:rPr>
          <w:rFonts w:ascii="Times New Roman" w:hAnsi="Times New Roman"/>
          <w:b/>
          <w:bCs/>
          <w:color w:val="000000"/>
          <w:sz w:val="28"/>
          <w:szCs w:val="36"/>
        </w:rPr>
      </w:pPr>
    </w:p>
    <w:p w14:paraId="1E1D0377"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pict w14:anchorId="464A5FD9">
          <v:shape id="图片 13" o:spid="_x0000_i1027" type="#_x0000_t75" alt="figure S3" style="width:519pt;height:382.2pt;mso-position-horizontal-relative:page;mso-position-vertical-relative:page">
            <v:fill o:detectmouseclick="t"/>
            <v:imagedata r:id="rId8" o:title="figure S3"/>
          </v:shape>
        </w:pict>
      </w:r>
    </w:p>
    <w:p w14:paraId="5A1ABD00" w14:textId="77777777" w:rsidR="003E6FC6" w:rsidRPr="005B4A69" w:rsidRDefault="001D35DA" w:rsidP="00F537E4">
      <w:pPr>
        <w:tabs>
          <w:tab w:val="left" w:pos="708"/>
        </w:tabs>
        <w:jc w:val="left"/>
        <w:rPr>
          <w:rFonts w:ascii="Times New Roman" w:hAnsi="Times New Roman"/>
          <w:color w:val="000000"/>
          <w:sz w:val="24"/>
        </w:rPr>
      </w:pPr>
      <w:r w:rsidRPr="005B4A69">
        <w:rPr>
          <w:rFonts w:ascii="Times New Roman" w:hAnsi="Times New Roman"/>
          <w:b/>
          <w:color w:val="000000"/>
          <w:sz w:val="24"/>
        </w:rPr>
        <w:t>Figure S</w:t>
      </w:r>
      <w:r w:rsidR="003B7169" w:rsidRPr="005B4A69">
        <w:rPr>
          <w:rFonts w:ascii="Times New Roman" w:hAnsi="Times New Roman"/>
          <w:b/>
          <w:color w:val="000000"/>
          <w:sz w:val="24"/>
        </w:rPr>
        <w:t>3</w:t>
      </w:r>
      <w:r w:rsidRPr="005B4A69">
        <w:rPr>
          <w:rFonts w:ascii="Times New Roman" w:hAnsi="Times New Roman"/>
          <w:color w:val="000000"/>
          <w:sz w:val="24"/>
        </w:rPr>
        <w:t>. Correlation analysis of hub genes with T</w:t>
      </w:r>
      <w:r w:rsidR="00BF74D1" w:rsidRPr="005B4A69">
        <w:rPr>
          <w:rFonts w:ascii="Times New Roman" w:hAnsi="Times New Roman"/>
          <w:color w:val="000000"/>
          <w:sz w:val="24"/>
        </w:rPr>
        <w:t>IDE</w:t>
      </w:r>
      <w:r w:rsidRPr="005B4A69">
        <w:rPr>
          <w:rFonts w:ascii="Times New Roman" w:hAnsi="Times New Roman"/>
          <w:color w:val="000000"/>
          <w:sz w:val="24"/>
        </w:rPr>
        <w:t xml:space="preserve"> score. Based on the RNA-seq data of EAC in TCGA database, Spearman's correlation analysis was used to characterize the correlation between COL1A1 (A), TGFBI (B), MMP1 (C), COL4A1 (D), NID2 (E), MMP12 (F), CXCL1 (G) and </w:t>
      </w:r>
      <w:r w:rsidR="00BF74D1" w:rsidRPr="005B4A69">
        <w:rPr>
          <w:rFonts w:ascii="Times New Roman" w:hAnsi="Times New Roman"/>
          <w:color w:val="000000"/>
          <w:sz w:val="24"/>
        </w:rPr>
        <w:t>TIDE</w:t>
      </w:r>
      <w:r w:rsidRPr="005B4A69">
        <w:rPr>
          <w:rFonts w:ascii="Times New Roman" w:hAnsi="Times New Roman"/>
          <w:color w:val="000000"/>
          <w:sz w:val="24"/>
        </w:rPr>
        <w:t xml:space="preserve"> score.</w:t>
      </w:r>
    </w:p>
    <w:p w14:paraId="4ED1A1DC" w14:textId="77777777" w:rsidR="003E6FC6" w:rsidRPr="005B4A69" w:rsidRDefault="003E6FC6">
      <w:pPr>
        <w:jc w:val="center"/>
        <w:rPr>
          <w:rFonts w:ascii="Times New Roman" w:hAnsi="Times New Roman"/>
          <w:b/>
          <w:bCs/>
          <w:color w:val="000000"/>
          <w:sz w:val="28"/>
          <w:szCs w:val="36"/>
        </w:rPr>
      </w:pPr>
    </w:p>
    <w:p w14:paraId="5B3B4E3C" w14:textId="77777777" w:rsidR="003E6FC6" w:rsidRPr="005B4A69" w:rsidRDefault="003E6FC6">
      <w:pPr>
        <w:jc w:val="center"/>
        <w:rPr>
          <w:rFonts w:ascii="Times New Roman" w:hAnsi="Times New Roman"/>
          <w:b/>
          <w:bCs/>
          <w:color w:val="000000"/>
          <w:sz w:val="28"/>
          <w:szCs w:val="36"/>
        </w:rPr>
      </w:pPr>
    </w:p>
    <w:p w14:paraId="0D35416C" w14:textId="77777777" w:rsidR="003E6FC6" w:rsidRPr="005B4A69" w:rsidRDefault="003E6FC6">
      <w:pPr>
        <w:jc w:val="center"/>
        <w:rPr>
          <w:rFonts w:ascii="Times New Roman" w:hAnsi="Times New Roman"/>
          <w:b/>
          <w:bCs/>
          <w:color w:val="000000"/>
          <w:sz w:val="28"/>
          <w:szCs w:val="36"/>
        </w:rPr>
      </w:pPr>
    </w:p>
    <w:p w14:paraId="4F1B75BE" w14:textId="77777777" w:rsidR="003E6FC6" w:rsidRPr="005B4A69" w:rsidRDefault="003E6FC6">
      <w:pPr>
        <w:jc w:val="center"/>
        <w:rPr>
          <w:rFonts w:ascii="Times New Roman" w:hAnsi="Times New Roman"/>
          <w:b/>
          <w:bCs/>
          <w:color w:val="000000"/>
          <w:sz w:val="28"/>
          <w:szCs w:val="36"/>
        </w:rPr>
      </w:pPr>
    </w:p>
    <w:p w14:paraId="6B80EBFD" w14:textId="77777777" w:rsidR="003E6FC6" w:rsidRPr="005B4A69" w:rsidRDefault="003E6FC6">
      <w:pPr>
        <w:jc w:val="center"/>
        <w:rPr>
          <w:rFonts w:ascii="Times New Roman" w:hAnsi="Times New Roman"/>
          <w:b/>
          <w:bCs/>
          <w:color w:val="000000"/>
          <w:sz w:val="28"/>
          <w:szCs w:val="36"/>
        </w:rPr>
      </w:pPr>
    </w:p>
    <w:p w14:paraId="4BEA2D50" w14:textId="77777777" w:rsidR="003E6FC6" w:rsidRPr="005B4A69" w:rsidRDefault="003E6FC6">
      <w:pPr>
        <w:jc w:val="center"/>
        <w:rPr>
          <w:rFonts w:ascii="Times New Roman" w:hAnsi="Times New Roman"/>
          <w:b/>
          <w:bCs/>
          <w:color w:val="000000"/>
          <w:sz w:val="28"/>
          <w:szCs w:val="36"/>
        </w:rPr>
      </w:pPr>
    </w:p>
    <w:p w14:paraId="71D93F2F" w14:textId="77777777" w:rsidR="003E6FC6" w:rsidRPr="005B4A69" w:rsidRDefault="003E6FC6">
      <w:pPr>
        <w:jc w:val="center"/>
        <w:rPr>
          <w:rFonts w:ascii="Times New Roman" w:hAnsi="Times New Roman"/>
          <w:b/>
          <w:bCs/>
          <w:color w:val="000000"/>
          <w:sz w:val="28"/>
          <w:szCs w:val="36"/>
        </w:rPr>
      </w:pPr>
    </w:p>
    <w:p w14:paraId="3659E835" w14:textId="77777777" w:rsidR="003E6FC6" w:rsidRPr="005B4A69" w:rsidRDefault="003E6FC6">
      <w:pPr>
        <w:jc w:val="center"/>
        <w:rPr>
          <w:rFonts w:ascii="Times New Roman" w:hAnsi="Times New Roman"/>
          <w:b/>
          <w:bCs/>
          <w:color w:val="000000"/>
          <w:sz w:val="28"/>
          <w:szCs w:val="36"/>
        </w:rPr>
      </w:pPr>
    </w:p>
    <w:p w14:paraId="322E1617" w14:textId="77777777" w:rsidR="003E6FC6" w:rsidRPr="005B4A69" w:rsidRDefault="003E6FC6">
      <w:pPr>
        <w:jc w:val="center"/>
        <w:rPr>
          <w:rFonts w:ascii="Times New Roman" w:hAnsi="Times New Roman"/>
          <w:b/>
          <w:bCs/>
          <w:color w:val="000000"/>
          <w:sz w:val="28"/>
          <w:szCs w:val="36"/>
        </w:rPr>
      </w:pPr>
    </w:p>
    <w:p w14:paraId="2D124C38" w14:textId="77777777" w:rsidR="003E6FC6" w:rsidRPr="005B4A69" w:rsidRDefault="003E6FC6">
      <w:pPr>
        <w:jc w:val="center"/>
        <w:rPr>
          <w:rFonts w:ascii="Times New Roman" w:hAnsi="Times New Roman"/>
          <w:b/>
          <w:bCs/>
          <w:color w:val="000000"/>
          <w:sz w:val="28"/>
          <w:szCs w:val="36"/>
        </w:rPr>
      </w:pPr>
    </w:p>
    <w:p w14:paraId="3202CE58"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lastRenderedPageBreak/>
        <w:pict w14:anchorId="2E4BDA68">
          <v:shape id="图片 14" o:spid="_x0000_i1028" type="#_x0000_t75" alt="figure S4" style="width:300pt;height:700.2pt;mso-position-horizontal-relative:page;mso-position-vertical-relative:page">
            <v:fill o:detectmouseclick="t"/>
            <v:imagedata r:id="rId9" o:title="figure S4"/>
          </v:shape>
        </w:pict>
      </w:r>
    </w:p>
    <w:p w14:paraId="30B2E32E" w14:textId="77777777" w:rsidR="003E6FC6" w:rsidRPr="005B4A69" w:rsidRDefault="003E6FC6" w:rsidP="008D2369">
      <w:pPr>
        <w:jc w:val="left"/>
        <w:rPr>
          <w:rFonts w:ascii="Times New Roman" w:hAnsi="Times New Roman"/>
          <w:b/>
          <w:bCs/>
          <w:color w:val="000000"/>
          <w:sz w:val="28"/>
          <w:szCs w:val="36"/>
        </w:rPr>
      </w:pPr>
      <w:r w:rsidRPr="005B4A69">
        <w:rPr>
          <w:rFonts w:ascii="Times New Roman" w:hAnsi="Times New Roman"/>
          <w:b/>
          <w:color w:val="000000"/>
          <w:sz w:val="24"/>
        </w:rPr>
        <w:t>Figure S4</w:t>
      </w:r>
      <w:r w:rsidRPr="005B4A69">
        <w:rPr>
          <w:rFonts w:ascii="Times New Roman" w:hAnsi="Times New Roman"/>
          <w:color w:val="000000"/>
          <w:sz w:val="24"/>
        </w:rPr>
        <w:t xml:space="preserve">. </w:t>
      </w:r>
      <w:r w:rsidR="00B84B53" w:rsidRPr="005B4A69">
        <w:rPr>
          <w:rFonts w:ascii="Times New Roman" w:hAnsi="Times New Roman"/>
          <w:color w:val="000000"/>
          <w:sz w:val="24"/>
        </w:rPr>
        <w:t xml:space="preserve">Correlation analysis of </w:t>
      </w:r>
      <w:r w:rsidR="00261E38" w:rsidRPr="005B4A69">
        <w:rPr>
          <w:rFonts w:ascii="Times New Roman" w:hAnsi="Times New Roman"/>
          <w:color w:val="000000"/>
          <w:sz w:val="24"/>
        </w:rPr>
        <w:t>COL1A1</w:t>
      </w:r>
      <w:r w:rsidR="00B84B53" w:rsidRPr="005B4A69">
        <w:rPr>
          <w:rFonts w:ascii="Times New Roman" w:hAnsi="Times New Roman"/>
          <w:color w:val="000000"/>
          <w:sz w:val="24"/>
        </w:rPr>
        <w:t xml:space="preserve"> with </w:t>
      </w:r>
      <w:r w:rsidR="00387867" w:rsidRPr="005B4A69">
        <w:rPr>
          <w:rFonts w:ascii="Times New Roman" w:hAnsi="Times New Roman"/>
          <w:color w:val="000000"/>
          <w:sz w:val="24"/>
        </w:rPr>
        <w:t>signaling pathways</w:t>
      </w:r>
      <w:r w:rsidR="00B84B53" w:rsidRPr="005B4A69">
        <w:rPr>
          <w:rFonts w:ascii="Times New Roman" w:hAnsi="Times New Roman"/>
          <w:color w:val="000000"/>
          <w:sz w:val="24"/>
        </w:rPr>
        <w:t xml:space="preserve">. Based on the RNA-seq data of EAC </w:t>
      </w:r>
      <w:r w:rsidR="00B84B53" w:rsidRPr="005B4A69">
        <w:rPr>
          <w:rFonts w:ascii="Times New Roman" w:hAnsi="Times New Roman"/>
          <w:color w:val="000000"/>
          <w:sz w:val="24"/>
        </w:rPr>
        <w:lastRenderedPageBreak/>
        <w:t xml:space="preserve">in TCGA database, Spearman's correlation analysis was used to characterize the correlation between COL1A1 </w:t>
      </w:r>
      <w:r w:rsidR="005E4E96" w:rsidRPr="005B4A69">
        <w:rPr>
          <w:rFonts w:ascii="Times New Roman" w:hAnsi="Times New Roman"/>
          <w:color w:val="000000"/>
          <w:sz w:val="24"/>
        </w:rPr>
        <w:t>and</w:t>
      </w:r>
      <w:r w:rsidR="005E0C91" w:rsidRPr="005B4A69">
        <w:rPr>
          <w:rFonts w:ascii="Times New Roman" w:hAnsi="Times New Roman"/>
          <w:color w:val="000000"/>
          <w:sz w:val="24"/>
        </w:rPr>
        <w:t xml:space="preserve"> tumor inflammation signature</w:t>
      </w:r>
      <w:r w:rsidR="00FA3501" w:rsidRPr="005B4A69">
        <w:rPr>
          <w:rFonts w:ascii="Times New Roman" w:hAnsi="Times New Roman"/>
          <w:color w:val="000000"/>
          <w:sz w:val="24"/>
        </w:rPr>
        <w:t xml:space="preserve"> (A)</w:t>
      </w:r>
      <w:r w:rsidR="005E0C91" w:rsidRPr="005B4A69">
        <w:rPr>
          <w:rFonts w:ascii="Times New Roman" w:hAnsi="Times New Roman"/>
          <w:color w:val="000000"/>
          <w:sz w:val="24"/>
        </w:rPr>
        <w:t>, cellular response to hypoxia</w:t>
      </w:r>
      <w:r w:rsidR="00FA3501" w:rsidRPr="005B4A69">
        <w:rPr>
          <w:rFonts w:ascii="Times New Roman" w:hAnsi="Times New Roman"/>
          <w:color w:val="000000"/>
          <w:sz w:val="24"/>
        </w:rPr>
        <w:t xml:space="preserve"> (B)</w:t>
      </w:r>
      <w:r w:rsidR="005E0C91" w:rsidRPr="005B4A69">
        <w:rPr>
          <w:rFonts w:ascii="Times New Roman" w:hAnsi="Times New Roman"/>
          <w:color w:val="000000"/>
          <w:sz w:val="24"/>
        </w:rPr>
        <w:t>, tumor proliferation signature</w:t>
      </w:r>
      <w:r w:rsidR="00FA3501" w:rsidRPr="005B4A69">
        <w:rPr>
          <w:rFonts w:ascii="Times New Roman" w:hAnsi="Times New Roman"/>
          <w:color w:val="000000"/>
          <w:sz w:val="24"/>
        </w:rPr>
        <w:t xml:space="preserve"> (C)</w:t>
      </w:r>
      <w:r w:rsidR="005E0C91" w:rsidRPr="005B4A69">
        <w:rPr>
          <w:rFonts w:ascii="Times New Roman" w:hAnsi="Times New Roman"/>
          <w:color w:val="000000"/>
          <w:sz w:val="24"/>
        </w:rPr>
        <w:t>, EMT markers</w:t>
      </w:r>
      <w:r w:rsidR="00FA3501" w:rsidRPr="005B4A69">
        <w:rPr>
          <w:rFonts w:ascii="Times New Roman" w:hAnsi="Times New Roman"/>
          <w:color w:val="000000"/>
          <w:sz w:val="24"/>
        </w:rPr>
        <w:t xml:space="preserve"> (D)</w:t>
      </w:r>
      <w:r w:rsidR="005E0C91" w:rsidRPr="005B4A69">
        <w:rPr>
          <w:rFonts w:ascii="Times New Roman" w:hAnsi="Times New Roman"/>
          <w:color w:val="000000"/>
          <w:sz w:val="24"/>
        </w:rPr>
        <w:t>, ECM-related genes</w:t>
      </w:r>
      <w:r w:rsidR="00FA3501" w:rsidRPr="005B4A69">
        <w:rPr>
          <w:rFonts w:ascii="Times New Roman" w:hAnsi="Times New Roman"/>
          <w:color w:val="000000"/>
          <w:sz w:val="24"/>
        </w:rPr>
        <w:t xml:space="preserve"> (E)</w:t>
      </w:r>
      <w:r w:rsidR="005E0C91" w:rsidRPr="005B4A69">
        <w:rPr>
          <w:rFonts w:ascii="Times New Roman" w:hAnsi="Times New Roman"/>
          <w:color w:val="000000"/>
          <w:sz w:val="24"/>
        </w:rPr>
        <w:t>, angiogenesis</w:t>
      </w:r>
      <w:r w:rsidR="00FA3501" w:rsidRPr="005B4A69">
        <w:rPr>
          <w:rFonts w:ascii="Times New Roman" w:hAnsi="Times New Roman"/>
          <w:color w:val="000000"/>
          <w:sz w:val="24"/>
        </w:rPr>
        <w:t xml:space="preserve"> (F)</w:t>
      </w:r>
      <w:r w:rsidR="005E0C91" w:rsidRPr="005B4A69">
        <w:rPr>
          <w:rFonts w:ascii="Times New Roman" w:hAnsi="Times New Roman"/>
          <w:color w:val="000000"/>
          <w:sz w:val="24"/>
        </w:rPr>
        <w:t>, apoptosis</w:t>
      </w:r>
      <w:r w:rsidR="00FA3501" w:rsidRPr="005B4A69">
        <w:rPr>
          <w:rFonts w:ascii="Times New Roman" w:hAnsi="Times New Roman"/>
          <w:color w:val="000000"/>
          <w:sz w:val="24"/>
        </w:rPr>
        <w:t xml:space="preserve"> (G)</w:t>
      </w:r>
      <w:r w:rsidR="005E0C91" w:rsidRPr="005B4A69">
        <w:rPr>
          <w:rFonts w:ascii="Times New Roman" w:hAnsi="Times New Roman"/>
          <w:color w:val="000000"/>
          <w:sz w:val="24"/>
        </w:rPr>
        <w:t>, DNA repair</w:t>
      </w:r>
      <w:r w:rsidR="00FA3501" w:rsidRPr="005B4A69">
        <w:rPr>
          <w:rFonts w:ascii="Times New Roman" w:hAnsi="Times New Roman"/>
          <w:color w:val="000000"/>
          <w:sz w:val="24"/>
        </w:rPr>
        <w:t xml:space="preserve"> (H)</w:t>
      </w:r>
      <w:r w:rsidR="005E0C91" w:rsidRPr="005B4A69">
        <w:rPr>
          <w:rFonts w:ascii="Times New Roman" w:hAnsi="Times New Roman"/>
          <w:color w:val="000000"/>
          <w:sz w:val="24"/>
        </w:rPr>
        <w:t>, G2M checkpoint</w:t>
      </w:r>
      <w:r w:rsidR="00FA3501" w:rsidRPr="005B4A69">
        <w:rPr>
          <w:rFonts w:ascii="Times New Roman" w:hAnsi="Times New Roman"/>
          <w:color w:val="000000"/>
          <w:sz w:val="24"/>
        </w:rPr>
        <w:t xml:space="preserve"> (I)</w:t>
      </w:r>
      <w:r w:rsidR="005E0C91" w:rsidRPr="005B4A69">
        <w:rPr>
          <w:rFonts w:ascii="Times New Roman" w:hAnsi="Times New Roman"/>
          <w:color w:val="000000"/>
          <w:sz w:val="24"/>
        </w:rPr>
        <w:t>, inflammatory response</w:t>
      </w:r>
      <w:r w:rsidR="00FA3501" w:rsidRPr="005B4A69">
        <w:rPr>
          <w:rFonts w:ascii="Times New Roman" w:hAnsi="Times New Roman"/>
          <w:color w:val="000000"/>
          <w:sz w:val="24"/>
        </w:rPr>
        <w:t xml:space="preserve"> (J)</w:t>
      </w:r>
      <w:r w:rsidR="005E0C91" w:rsidRPr="005B4A69">
        <w:rPr>
          <w:rFonts w:ascii="Times New Roman" w:hAnsi="Times New Roman"/>
          <w:color w:val="000000"/>
          <w:sz w:val="24"/>
        </w:rPr>
        <w:t>, PI3K/AKT/mTOR pathway</w:t>
      </w:r>
      <w:r w:rsidR="00FA3501" w:rsidRPr="005B4A69">
        <w:rPr>
          <w:rFonts w:ascii="Times New Roman" w:hAnsi="Times New Roman"/>
          <w:color w:val="000000"/>
          <w:sz w:val="24"/>
        </w:rPr>
        <w:t xml:space="preserve"> (K)</w:t>
      </w:r>
      <w:r w:rsidR="005E0C91" w:rsidRPr="005B4A69">
        <w:rPr>
          <w:rFonts w:ascii="Times New Roman" w:hAnsi="Times New Roman"/>
          <w:color w:val="000000"/>
          <w:sz w:val="24"/>
        </w:rPr>
        <w:t>, P53 pathway</w:t>
      </w:r>
      <w:r w:rsidR="00FA3501" w:rsidRPr="005B4A69">
        <w:rPr>
          <w:rFonts w:ascii="Times New Roman" w:hAnsi="Times New Roman"/>
          <w:color w:val="000000"/>
          <w:sz w:val="24"/>
        </w:rPr>
        <w:t xml:space="preserve"> (L)</w:t>
      </w:r>
      <w:r w:rsidR="005E0C91" w:rsidRPr="005B4A69">
        <w:rPr>
          <w:rFonts w:ascii="Times New Roman" w:hAnsi="Times New Roman"/>
          <w:color w:val="000000"/>
          <w:sz w:val="24"/>
        </w:rPr>
        <w:t>, MYC targets</w:t>
      </w:r>
      <w:r w:rsidR="00FA3501" w:rsidRPr="005B4A69">
        <w:rPr>
          <w:rFonts w:ascii="Times New Roman" w:hAnsi="Times New Roman"/>
          <w:color w:val="000000"/>
          <w:sz w:val="24"/>
        </w:rPr>
        <w:t xml:space="preserve"> (M)</w:t>
      </w:r>
      <w:r w:rsidR="005E0C91" w:rsidRPr="005B4A69">
        <w:rPr>
          <w:rFonts w:ascii="Times New Roman" w:hAnsi="Times New Roman"/>
          <w:color w:val="000000"/>
          <w:sz w:val="24"/>
        </w:rPr>
        <w:t>, TGF-β</w:t>
      </w:r>
      <w:r w:rsidR="00FA3501" w:rsidRPr="005B4A69">
        <w:rPr>
          <w:rFonts w:ascii="Times New Roman" w:hAnsi="Times New Roman"/>
          <w:color w:val="000000"/>
          <w:sz w:val="24"/>
        </w:rPr>
        <w:t xml:space="preserve"> (N)</w:t>
      </w:r>
      <w:r w:rsidR="005E0C91" w:rsidRPr="005B4A69">
        <w:rPr>
          <w:rFonts w:ascii="Times New Roman" w:hAnsi="Times New Roman"/>
          <w:color w:val="000000"/>
          <w:sz w:val="24"/>
        </w:rPr>
        <w:t>, IL-10 anti-inflammatory signaling pathway</w:t>
      </w:r>
      <w:r w:rsidR="00FA3501" w:rsidRPr="005B4A69">
        <w:rPr>
          <w:rFonts w:ascii="Times New Roman" w:hAnsi="Times New Roman"/>
          <w:color w:val="000000"/>
          <w:sz w:val="24"/>
        </w:rPr>
        <w:t xml:space="preserve"> (O)</w:t>
      </w:r>
      <w:r w:rsidR="005E0C91" w:rsidRPr="005B4A69">
        <w:rPr>
          <w:rFonts w:ascii="Times New Roman" w:hAnsi="Times New Roman"/>
          <w:color w:val="000000"/>
          <w:sz w:val="24"/>
        </w:rPr>
        <w:t>, genes upregulated by reactive oxigen species (ROS)</w:t>
      </w:r>
      <w:r w:rsidR="00FA3501" w:rsidRPr="005B4A69">
        <w:rPr>
          <w:rFonts w:ascii="Times New Roman" w:hAnsi="Times New Roman"/>
          <w:color w:val="000000"/>
          <w:sz w:val="24"/>
        </w:rPr>
        <w:t xml:space="preserve"> (P)</w:t>
      </w:r>
      <w:r w:rsidR="005E0C91" w:rsidRPr="005B4A69">
        <w:rPr>
          <w:rFonts w:ascii="Times New Roman" w:hAnsi="Times New Roman"/>
          <w:color w:val="000000"/>
          <w:sz w:val="24"/>
        </w:rPr>
        <w:t>, DNA replication</w:t>
      </w:r>
      <w:r w:rsidR="00FA3501" w:rsidRPr="005B4A69">
        <w:rPr>
          <w:rFonts w:ascii="Times New Roman" w:hAnsi="Times New Roman"/>
          <w:color w:val="000000"/>
          <w:sz w:val="24"/>
        </w:rPr>
        <w:t xml:space="preserve"> (Q)</w:t>
      </w:r>
      <w:r w:rsidR="005E0C91" w:rsidRPr="005B4A69">
        <w:rPr>
          <w:rFonts w:ascii="Times New Roman" w:hAnsi="Times New Roman"/>
          <w:color w:val="000000"/>
          <w:sz w:val="24"/>
        </w:rPr>
        <w:t>, collagen formation</w:t>
      </w:r>
      <w:r w:rsidR="00FA3501" w:rsidRPr="005B4A69">
        <w:rPr>
          <w:rFonts w:ascii="Times New Roman" w:hAnsi="Times New Roman"/>
          <w:color w:val="000000"/>
          <w:sz w:val="24"/>
        </w:rPr>
        <w:t xml:space="preserve"> (R)</w:t>
      </w:r>
      <w:r w:rsidR="005E0C91" w:rsidRPr="005B4A69">
        <w:rPr>
          <w:rFonts w:ascii="Times New Roman" w:hAnsi="Times New Roman"/>
          <w:color w:val="000000"/>
          <w:sz w:val="24"/>
        </w:rPr>
        <w:t>, degradation of ECM</w:t>
      </w:r>
      <w:r w:rsidR="00FA3501" w:rsidRPr="005B4A69">
        <w:rPr>
          <w:rFonts w:ascii="Times New Roman" w:hAnsi="Times New Roman"/>
          <w:color w:val="000000"/>
          <w:sz w:val="24"/>
        </w:rPr>
        <w:t xml:space="preserve"> (S)</w:t>
      </w:r>
      <w:r w:rsidR="005E0C91" w:rsidRPr="005B4A69">
        <w:rPr>
          <w:rFonts w:ascii="Times New Roman" w:hAnsi="Times New Roman"/>
          <w:color w:val="000000"/>
          <w:sz w:val="24"/>
        </w:rPr>
        <w:t>, ferroptosis</w:t>
      </w:r>
      <w:r w:rsidR="00FA3501" w:rsidRPr="005B4A69">
        <w:rPr>
          <w:rFonts w:ascii="Times New Roman" w:hAnsi="Times New Roman"/>
          <w:color w:val="000000"/>
          <w:sz w:val="24"/>
        </w:rPr>
        <w:t xml:space="preserve"> (T)</w:t>
      </w:r>
      <w:r w:rsidR="00B84B53" w:rsidRPr="005B4A69">
        <w:rPr>
          <w:rFonts w:ascii="Times New Roman" w:hAnsi="Times New Roman"/>
          <w:color w:val="000000"/>
          <w:sz w:val="24"/>
        </w:rPr>
        <w:t>.</w:t>
      </w:r>
    </w:p>
    <w:p w14:paraId="59C2340D"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lastRenderedPageBreak/>
        <w:pict w14:anchorId="2F0681B4">
          <v:shape id="图片 15" o:spid="_x0000_i1029" type="#_x0000_t75" alt="figure S5" style="width:303pt;height:707.4pt;mso-position-horizontal-relative:page;mso-position-vertical-relative:page">
            <v:fill o:detectmouseclick="t"/>
            <v:imagedata r:id="rId10" o:title="figure S5"/>
          </v:shape>
        </w:pict>
      </w:r>
    </w:p>
    <w:p w14:paraId="0A53B67C" w14:textId="77777777" w:rsidR="003E6FC6" w:rsidRPr="005B4A69" w:rsidRDefault="007C1402">
      <w:pPr>
        <w:jc w:val="center"/>
        <w:rPr>
          <w:rFonts w:ascii="Times New Roman" w:hAnsi="Times New Roman"/>
          <w:b/>
          <w:bCs/>
          <w:color w:val="000000"/>
          <w:sz w:val="28"/>
          <w:szCs w:val="36"/>
        </w:rPr>
      </w:pPr>
      <w:r w:rsidRPr="005B4A69">
        <w:rPr>
          <w:rFonts w:ascii="Times New Roman" w:hAnsi="Times New Roman"/>
          <w:b/>
          <w:color w:val="000000"/>
          <w:sz w:val="24"/>
        </w:rPr>
        <w:lastRenderedPageBreak/>
        <w:t>Figure S</w:t>
      </w:r>
      <w:r w:rsidR="00367375" w:rsidRPr="005B4A69">
        <w:rPr>
          <w:rFonts w:ascii="Times New Roman" w:hAnsi="Times New Roman"/>
          <w:b/>
          <w:color w:val="000000"/>
          <w:sz w:val="24"/>
        </w:rPr>
        <w:t>5</w:t>
      </w:r>
      <w:r w:rsidRPr="005B4A69">
        <w:rPr>
          <w:rFonts w:ascii="Times New Roman" w:hAnsi="Times New Roman"/>
          <w:color w:val="000000"/>
          <w:sz w:val="24"/>
        </w:rPr>
        <w:t xml:space="preserve">. Correlation analysis of </w:t>
      </w:r>
      <w:r w:rsidR="00261E38" w:rsidRPr="005B4A69">
        <w:rPr>
          <w:rFonts w:ascii="Times New Roman" w:hAnsi="Times New Roman"/>
          <w:color w:val="000000"/>
          <w:sz w:val="24"/>
        </w:rPr>
        <w:t>TGFBI</w:t>
      </w:r>
      <w:r w:rsidRPr="005B4A69">
        <w:rPr>
          <w:rFonts w:ascii="Times New Roman" w:hAnsi="Times New Roman"/>
          <w:color w:val="000000"/>
          <w:sz w:val="24"/>
        </w:rPr>
        <w:t xml:space="preserve"> with signaling pathways. Based on the RNA-seq data of EAC in TCGA database, Spearman's correlation analysis was used to characterize the correlation between </w:t>
      </w:r>
      <w:r w:rsidR="00261E38" w:rsidRPr="005B4A69">
        <w:rPr>
          <w:rFonts w:ascii="Times New Roman" w:hAnsi="Times New Roman"/>
          <w:color w:val="000000"/>
          <w:sz w:val="24"/>
        </w:rPr>
        <w:t>TGFBI</w:t>
      </w:r>
      <w:r w:rsidRPr="005B4A69">
        <w:rPr>
          <w:rFonts w:ascii="Times New Roman" w:hAnsi="Times New Roman"/>
          <w:color w:val="000000"/>
          <w:sz w:val="24"/>
        </w:rPr>
        <w:t xml:space="preserve"> and tumor inflammation signature (A), cellular response to hypoxia (B), tumor proliferation signature (C), EMT markers (D), ECM-related genes (E), angiogenesis (F), apoptosis (G), DNA repair (H), G2M checkpoint (I), inflammatory response (J), PI3K/AKT/mTOR pathway (K), P53 pathway (L), MYC targets (M), TGF-β (N), IL-10 anti-inflammatory signaling pathway (O), genes upregulated by reactive oxigen species (ROS) (P), DNA replication (Q), collagen formation (R), degradation of ECM (S), ferroptosis (T).</w:t>
      </w:r>
    </w:p>
    <w:p w14:paraId="488C6BC4"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lastRenderedPageBreak/>
        <w:pict w14:anchorId="27AA9987">
          <v:shape id="图片 16" o:spid="_x0000_i1030" type="#_x0000_t75" alt="figure S6" style="width:305.4pt;height:712.2pt;mso-position-horizontal-relative:page;mso-position-vertical-relative:page">
            <v:fill o:detectmouseclick="t"/>
            <v:imagedata r:id="rId11" o:title="figure S6"/>
          </v:shape>
        </w:pict>
      </w:r>
    </w:p>
    <w:p w14:paraId="4E0F2B4C" w14:textId="77777777" w:rsidR="003E6FC6" w:rsidRPr="005B4A69" w:rsidRDefault="001B23A7">
      <w:pPr>
        <w:jc w:val="center"/>
        <w:rPr>
          <w:rFonts w:ascii="Times New Roman" w:hAnsi="Times New Roman"/>
          <w:b/>
          <w:bCs/>
          <w:color w:val="000000"/>
          <w:sz w:val="28"/>
          <w:szCs w:val="36"/>
        </w:rPr>
      </w:pPr>
      <w:r w:rsidRPr="005B4A69">
        <w:rPr>
          <w:rFonts w:ascii="Times New Roman" w:hAnsi="Times New Roman"/>
          <w:b/>
          <w:color w:val="000000"/>
          <w:sz w:val="24"/>
        </w:rPr>
        <w:lastRenderedPageBreak/>
        <w:t>Figure S6</w:t>
      </w:r>
      <w:r w:rsidRPr="005B4A69">
        <w:rPr>
          <w:rFonts w:ascii="Times New Roman" w:hAnsi="Times New Roman"/>
          <w:color w:val="000000"/>
          <w:sz w:val="24"/>
        </w:rPr>
        <w:t>. Correlation analysis of MMP1 with signaling pathways. Based on the RNA-seq data of EAC in TCGA database, Spearman's correlation analysis was used to characterize the correlation between MMP1 and tumor inflammation signature (A), cellular response to hypoxia (B), tumor proliferation signature (C), EMT markers (D), ECM-related genes (E), angiogenesis (F), apoptosis (G), DNA repair (H), G2M checkpoint (I), inflammatory response (J), PI3K/AKT/mTOR pathway (K), P53 pathway (L), MYC targets (M), TGF-β (N), IL-10 anti-inflammatory signaling pathway (O), genes upregulated by reactive oxigen species (ROS) (P), DNA replication (Q), collagen formation (R), degradation of ECM (S), ferroptosis (T).</w:t>
      </w:r>
    </w:p>
    <w:p w14:paraId="36FCEE6F"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lastRenderedPageBreak/>
        <w:pict w14:anchorId="56D0A04A">
          <v:shape id="图片 17" o:spid="_x0000_i1031" type="#_x0000_t75" alt="figure S7" style="width:308.4pt;height:719.4pt;mso-position-horizontal-relative:page;mso-position-vertical-relative:page">
            <v:fill o:detectmouseclick="t"/>
            <v:imagedata r:id="rId12" o:title="figure S7"/>
          </v:shape>
        </w:pict>
      </w:r>
    </w:p>
    <w:p w14:paraId="2053DA6A" w14:textId="77777777" w:rsidR="003E6FC6" w:rsidRPr="005B4A69" w:rsidRDefault="001E6AAE" w:rsidP="00927076">
      <w:pPr>
        <w:jc w:val="left"/>
        <w:rPr>
          <w:rFonts w:ascii="Times New Roman" w:hAnsi="Times New Roman"/>
          <w:b/>
          <w:bCs/>
          <w:color w:val="000000"/>
          <w:sz w:val="28"/>
          <w:szCs w:val="36"/>
        </w:rPr>
      </w:pPr>
      <w:r w:rsidRPr="005B4A69">
        <w:rPr>
          <w:rFonts w:ascii="Times New Roman" w:hAnsi="Times New Roman"/>
          <w:b/>
          <w:color w:val="000000"/>
          <w:sz w:val="24"/>
        </w:rPr>
        <w:lastRenderedPageBreak/>
        <w:t>Figure S</w:t>
      </w:r>
      <w:r w:rsidR="00582A19" w:rsidRPr="005B4A69">
        <w:rPr>
          <w:rFonts w:ascii="Times New Roman" w:hAnsi="Times New Roman"/>
          <w:b/>
          <w:color w:val="000000"/>
          <w:sz w:val="24"/>
        </w:rPr>
        <w:t>7</w:t>
      </w:r>
      <w:r w:rsidRPr="005B4A69">
        <w:rPr>
          <w:rFonts w:ascii="Times New Roman" w:hAnsi="Times New Roman"/>
          <w:color w:val="000000"/>
          <w:sz w:val="24"/>
        </w:rPr>
        <w:t xml:space="preserve">. Correlation analysis of </w:t>
      </w:r>
      <w:r w:rsidR="00582A19" w:rsidRPr="005B4A69">
        <w:rPr>
          <w:rFonts w:ascii="Times New Roman" w:hAnsi="Times New Roman"/>
          <w:color w:val="000000"/>
          <w:sz w:val="24"/>
        </w:rPr>
        <w:t>COL4A1</w:t>
      </w:r>
      <w:r w:rsidRPr="005B4A69">
        <w:rPr>
          <w:rFonts w:ascii="Times New Roman" w:hAnsi="Times New Roman"/>
          <w:color w:val="000000"/>
          <w:sz w:val="24"/>
        </w:rPr>
        <w:t xml:space="preserve"> with signaling pathways. Based on the RNA-seq data of EAC in TCGA database, Spearman's correlation analysis was used to characterize the correlation between COL</w:t>
      </w:r>
      <w:r w:rsidR="006A07CD" w:rsidRPr="005B4A69">
        <w:rPr>
          <w:rFonts w:ascii="Times New Roman" w:hAnsi="Times New Roman"/>
          <w:color w:val="000000"/>
          <w:sz w:val="24"/>
        </w:rPr>
        <w:t>4</w:t>
      </w:r>
      <w:r w:rsidRPr="005B4A69">
        <w:rPr>
          <w:rFonts w:ascii="Times New Roman" w:hAnsi="Times New Roman"/>
          <w:color w:val="000000"/>
          <w:sz w:val="24"/>
        </w:rPr>
        <w:t>A1 and tumor inflammation signature (A), cellular response to hypoxia (B), tumor proliferation signature (C), EMT markers (D), ECM-related genes (E), angiogenesis (F), apoptosis (G), DNA repair (H), G2M checkpoint (I), inflammatory response (J), PI3K/AKT/mTOR pathway (K), P53 pathway (L), MYC targets (M), TGF-β (N), IL-10 anti-inflammatory signaling pathway (O), genes upregulated by reactive oxigen species (ROS) (P), DNA replication (Q), collagen formation (R), degradation of ECM (S), ferroptosis (T).</w:t>
      </w:r>
    </w:p>
    <w:p w14:paraId="4BEECFED"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lastRenderedPageBreak/>
        <w:pict w14:anchorId="1CA22554">
          <v:shape id="图片 18" o:spid="_x0000_i1032" type="#_x0000_t75" alt="figure S8" style="width:313.2pt;height:731.4pt;mso-position-horizontal-relative:page;mso-position-vertical-relative:page">
            <v:fill o:detectmouseclick="t"/>
            <v:imagedata r:id="rId13" o:title="figure S8"/>
          </v:shape>
        </w:pict>
      </w:r>
    </w:p>
    <w:p w14:paraId="23AB9283" w14:textId="77777777" w:rsidR="003E6FC6" w:rsidRPr="005B4A69" w:rsidRDefault="00CA29AC" w:rsidP="004F6CB6">
      <w:pPr>
        <w:jc w:val="left"/>
        <w:rPr>
          <w:rFonts w:ascii="Times New Roman" w:hAnsi="Times New Roman"/>
          <w:b/>
          <w:bCs/>
          <w:color w:val="000000"/>
          <w:sz w:val="28"/>
          <w:szCs w:val="36"/>
        </w:rPr>
      </w:pPr>
      <w:r w:rsidRPr="005B4A69">
        <w:rPr>
          <w:rFonts w:ascii="Times New Roman" w:hAnsi="Times New Roman"/>
          <w:b/>
          <w:color w:val="000000"/>
          <w:sz w:val="24"/>
        </w:rPr>
        <w:lastRenderedPageBreak/>
        <w:t>Figure S</w:t>
      </w:r>
      <w:r w:rsidR="00137D96" w:rsidRPr="005B4A69">
        <w:rPr>
          <w:rFonts w:ascii="Times New Roman" w:hAnsi="Times New Roman"/>
          <w:b/>
          <w:color w:val="000000"/>
          <w:sz w:val="24"/>
        </w:rPr>
        <w:t>8</w:t>
      </w:r>
      <w:r w:rsidRPr="005B4A69">
        <w:rPr>
          <w:rFonts w:ascii="Times New Roman" w:hAnsi="Times New Roman"/>
          <w:color w:val="000000"/>
          <w:sz w:val="24"/>
        </w:rPr>
        <w:t xml:space="preserve">. Correlation analysis of </w:t>
      </w:r>
      <w:r w:rsidR="00137D96" w:rsidRPr="005B4A69">
        <w:rPr>
          <w:rFonts w:ascii="Times New Roman" w:hAnsi="Times New Roman"/>
          <w:color w:val="000000"/>
          <w:sz w:val="24"/>
        </w:rPr>
        <w:t>NID2</w:t>
      </w:r>
      <w:r w:rsidRPr="005B4A69">
        <w:rPr>
          <w:rFonts w:ascii="Times New Roman" w:hAnsi="Times New Roman"/>
          <w:color w:val="000000"/>
          <w:sz w:val="24"/>
        </w:rPr>
        <w:t xml:space="preserve"> with signaling pathways. Based on the RNA-seq data of EAC in TCGA database, Spearman's correlation analysis was used to characterize the correlation between </w:t>
      </w:r>
      <w:r w:rsidR="00137D96" w:rsidRPr="005B4A69">
        <w:rPr>
          <w:rFonts w:ascii="Times New Roman" w:hAnsi="Times New Roman"/>
          <w:color w:val="000000"/>
          <w:sz w:val="24"/>
        </w:rPr>
        <w:t>NID2</w:t>
      </w:r>
      <w:r w:rsidRPr="005B4A69">
        <w:rPr>
          <w:rFonts w:ascii="Times New Roman" w:hAnsi="Times New Roman"/>
          <w:color w:val="000000"/>
          <w:sz w:val="24"/>
        </w:rPr>
        <w:t xml:space="preserve"> and tumor inflammation signature (A), cellular response to hypoxia (B), tumor proliferation signature (C), EMT markers (D), ECM-related genes (E), angiogenesis (F), apoptosis (G), DNA repair (H), G2M checkpoint (I), inflammatory response (J), PI3K/AKT/mTOR pathway (K), P53 pathway (L), MYC targets (M), TGF-β (N), IL-10 anti-inflammatory signaling pathway (O), genes upregulated by reactive oxigen species (ROS) (P), DNA replication (Q), collagen formation (R), degradation of ECM (S), ferroptosis (T).</w:t>
      </w:r>
    </w:p>
    <w:p w14:paraId="08207626"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lastRenderedPageBreak/>
        <w:pict w14:anchorId="137ED751">
          <v:shape id="图片 19" o:spid="_x0000_i1033" type="#_x0000_t75" alt="figure S9" style="width:309pt;height:720.6pt;mso-position-horizontal-relative:page;mso-position-vertical-relative:page">
            <v:fill o:detectmouseclick="t"/>
            <v:imagedata r:id="rId14" o:title="figure S9"/>
          </v:shape>
        </w:pict>
      </w:r>
    </w:p>
    <w:p w14:paraId="60613903" w14:textId="77777777" w:rsidR="003E6FC6" w:rsidRPr="005B4A69" w:rsidRDefault="001E03D4" w:rsidP="00AE1310">
      <w:pPr>
        <w:jc w:val="left"/>
        <w:rPr>
          <w:rFonts w:ascii="Times New Roman" w:hAnsi="Times New Roman" w:hint="eastAsia"/>
          <w:b/>
          <w:bCs/>
          <w:color w:val="000000"/>
          <w:sz w:val="28"/>
          <w:szCs w:val="36"/>
        </w:rPr>
      </w:pPr>
      <w:r w:rsidRPr="005B4A69">
        <w:rPr>
          <w:rFonts w:ascii="Times New Roman" w:hAnsi="Times New Roman"/>
          <w:b/>
          <w:color w:val="000000"/>
          <w:sz w:val="24"/>
        </w:rPr>
        <w:lastRenderedPageBreak/>
        <w:t>Figure S9</w:t>
      </w:r>
      <w:r w:rsidRPr="005B4A69">
        <w:rPr>
          <w:rFonts w:ascii="Times New Roman" w:hAnsi="Times New Roman"/>
          <w:color w:val="000000"/>
          <w:sz w:val="24"/>
        </w:rPr>
        <w:t>. Correlation analysis of MMP12 with signaling pathways. Based on the RNA-seq data of EAC in TCGA database, Spearman's correlation analysis was used to characterize the correlation between MMP12 and tumor inflammation signature (A), cellular response to hypoxia (B), tumor proliferation signature (C), EMT markers (D), ECM-related genes (E), angiogenesis (F), apoptosis (G), DNA repair (H), G2M checkpoint (I), inflammatory response (J), PI3K/AKT/mTOR pathway (K), P53 pathway (L), MYC targets (M), TGF-β (N), IL-10 anti-inflammatory signaling pathway (O), genes upregulated by reactive oxigen species (ROS) (P), DNA replication (Q), collagen formation (R), degradation of ECM (S), ferroptosis (T).</w:t>
      </w:r>
    </w:p>
    <w:p w14:paraId="0CD5248D" w14:textId="77777777" w:rsidR="003E6FC6" w:rsidRPr="005B4A69" w:rsidRDefault="003E6FC6">
      <w:pPr>
        <w:jc w:val="center"/>
        <w:rPr>
          <w:rFonts w:ascii="Times New Roman" w:hAnsi="Times New Roman"/>
          <w:b/>
          <w:bCs/>
          <w:color w:val="000000"/>
          <w:sz w:val="28"/>
          <w:szCs w:val="36"/>
        </w:rPr>
      </w:pPr>
      <w:r w:rsidRPr="005B4A69">
        <w:rPr>
          <w:rFonts w:ascii="Times New Roman" w:hAnsi="Times New Roman"/>
          <w:b/>
          <w:bCs/>
          <w:color w:val="000000"/>
          <w:sz w:val="28"/>
          <w:szCs w:val="36"/>
        </w:rPr>
        <w:lastRenderedPageBreak/>
        <w:pict w14:anchorId="04170310">
          <v:shape id="图片 20" o:spid="_x0000_i1034" type="#_x0000_t75" alt="figure S10" style="width:303pt;height:707.4pt;mso-position-horizontal-relative:page;mso-position-vertical-relative:page">
            <v:fill o:detectmouseclick="t"/>
            <v:imagedata r:id="rId15" o:title="figure S10"/>
          </v:shape>
        </w:pict>
      </w:r>
    </w:p>
    <w:p w14:paraId="67E7DD62" w14:textId="77777777" w:rsidR="003E6FC6" w:rsidRPr="005B4A69" w:rsidRDefault="00513BBA" w:rsidP="00F231B6">
      <w:pPr>
        <w:jc w:val="left"/>
        <w:rPr>
          <w:rFonts w:ascii="Times New Roman" w:hAnsi="Times New Roman" w:hint="eastAsia"/>
          <w:b/>
          <w:bCs/>
          <w:color w:val="000000"/>
          <w:sz w:val="28"/>
          <w:szCs w:val="36"/>
        </w:rPr>
      </w:pPr>
      <w:r w:rsidRPr="005B4A69">
        <w:rPr>
          <w:rFonts w:ascii="Times New Roman" w:hAnsi="Times New Roman"/>
          <w:b/>
          <w:color w:val="000000"/>
          <w:sz w:val="24"/>
        </w:rPr>
        <w:lastRenderedPageBreak/>
        <w:t>Figure S10</w:t>
      </w:r>
      <w:r w:rsidRPr="005B4A69">
        <w:rPr>
          <w:rFonts w:ascii="Times New Roman" w:hAnsi="Times New Roman"/>
          <w:color w:val="000000"/>
          <w:sz w:val="24"/>
        </w:rPr>
        <w:t>. Correlation analysis of CXCL1 with signaling pathways. Based on the RNA-seq data of EAC in TCGA database, Spearman's correlation analysis was used to characterize the correlation between CXCL1 and tumor inflammation signature (A), cellular response to hypoxia (B), tumor proliferation signature (C), EMT markers (D), ECM-related genes (E), angiogenesis (F), apoptosis (G), DNA repair (H), G2M checkpoint (I), inflammatory response (J), PI3K/AKT/mTOR pathway (K), P53 pathway (L), MYC targets (M), TGF-β (N), IL-10 anti-inflammatory signaling pathway (O), genes upregulated by reactive oxigen species (ROS) (P), DNA replication (Q), collagen formation (R), degradation of ECM (S), ferroptosis (T).</w:t>
      </w:r>
      <w:r w:rsidR="003E6FC6" w:rsidRPr="005B4A69">
        <w:rPr>
          <w:rFonts w:ascii="Times New Roman" w:hAnsi="Times New Roman"/>
          <w:color w:val="000000"/>
          <w:sz w:val="24"/>
        </w:rPr>
        <w:t xml:space="preserve"> </w:t>
      </w:r>
    </w:p>
    <w:p w14:paraId="4524E03A" w14:textId="77777777" w:rsidR="003E6FC6" w:rsidRPr="005B4A69" w:rsidRDefault="00DE380E">
      <w:pPr>
        <w:jc w:val="center"/>
        <w:rPr>
          <w:rFonts w:ascii="Times New Roman" w:hAnsi="Times New Roman"/>
          <w:b/>
          <w:bCs/>
          <w:color w:val="000000"/>
          <w:sz w:val="28"/>
          <w:szCs w:val="36"/>
        </w:rPr>
      </w:pPr>
      <w:r w:rsidRPr="005B4A69">
        <w:rPr>
          <w:rFonts w:ascii="Times New Roman" w:hAnsi="Times New Roman"/>
          <w:b/>
          <w:bCs/>
          <w:color w:val="000000"/>
          <w:sz w:val="28"/>
          <w:szCs w:val="36"/>
        </w:rPr>
        <w:lastRenderedPageBreak/>
        <w:pict w14:anchorId="01DD3EFA">
          <v:shape id="图片 24" o:spid="_x0000_i1035" type="#_x0000_t75" alt="figure S11" style="width:261.6pt;height:701.4pt">
            <v:fill o:detectmouseclick="t"/>
            <v:imagedata r:id="rId16" o:title="figure S11" cropbottom="808f"/>
          </v:shape>
        </w:pict>
      </w:r>
    </w:p>
    <w:p w14:paraId="32BAF2EE" w14:textId="77777777" w:rsidR="00E447CC" w:rsidRPr="005B4A69" w:rsidRDefault="003E6FC6">
      <w:pPr>
        <w:jc w:val="center"/>
        <w:rPr>
          <w:rFonts w:ascii="Times New Roman" w:hAnsi="Times New Roman"/>
          <w:b/>
          <w:bCs/>
          <w:color w:val="000000"/>
          <w:sz w:val="28"/>
          <w:szCs w:val="36"/>
        </w:rPr>
      </w:pPr>
      <w:r w:rsidRPr="005B4A69">
        <w:rPr>
          <w:rFonts w:ascii="Times New Roman" w:hAnsi="Times New Roman"/>
          <w:b/>
          <w:color w:val="000000"/>
          <w:sz w:val="24"/>
        </w:rPr>
        <w:t>Figure S11</w:t>
      </w:r>
      <w:r w:rsidRPr="005B4A69">
        <w:rPr>
          <w:rFonts w:ascii="Times New Roman" w:hAnsi="Times New Roman"/>
          <w:color w:val="000000"/>
          <w:sz w:val="24"/>
        </w:rPr>
        <w:t xml:space="preserve">. The correlation between IC50 drug data of 265 small molecules and the expression levels of </w:t>
      </w:r>
      <w:r w:rsidRPr="005B4A69">
        <w:rPr>
          <w:rFonts w:ascii="Times New Roman" w:hAnsi="Times New Roman"/>
          <w:color w:val="000000"/>
          <w:sz w:val="24"/>
        </w:rPr>
        <w:lastRenderedPageBreak/>
        <w:t>hub genes based on Genomics of Drug Sensitivity in Cancer (GDSC).</w:t>
      </w:r>
    </w:p>
    <w:sectPr w:rsidR="00E447CC" w:rsidRPr="005B4A69">
      <w:footerReference w:type="default" r:id="rId17"/>
      <w:pgSz w:w="11906" w:h="16838"/>
      <w:pgMar w:top="720" w:right="720" w:bottom="720" w:left="72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CE68B" w14:textId="77777777" w:rsidR="00C81CA2" w:rsidRDefault="00C81CA2" w:rsidP="00BB05DF">
      <w:r>
        <w:separator/>
      </w:r>
    </w:p>
  </w:endnote>
  <w:endnote w:type="continuationSeparator" w:id="0">
    <w:p w14:paraId="7AF109E5" w14:textId="77777777" w:rsidR="00C81CA2" w:rsidRDefault="00C81CA2" w:rsidP="00BB05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Rockwell">
    <w:panose1 w:val="020606030202050204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0798D" w14:textId="77777777" w:rsidR="00BB05DF" w:rsidRDefault="00BB05DF">
    <w:pPr>
      <w:pStyle w:val="Footer"/>
    </w:pPr>
    <w:r>
      <w:rPr>
        <w:noProof/>
      </w:rPr>
      <w:pict w14:anchorId="4C37D16C">
        <v:shapetype id="_x0000_t202" coordsize="21600,21600" o:spt="202" path="m,l,21600r21600,l21600,xe">
          <v:stroke joinstyle="miter"/>
          <v:path gradientshapeok="t" o:connecttype="rect"/>
        </v:shapetype>
        <v:shape id="MSIPCMd4e443f79704e69fb7397f27" o:spid="_x0000_s2049" type="#_x0000_t202" alt="{&quot;HashCode&quot;:-1348403003,&quot;Height&quot;:841.0,&quot;Width&quot;:595.0,&quot;Placement&quot;:&quot;Footer&quot;,&quot;Index&quot;:&quot;Primary&quot;,&quot;Section&quot;:1,&quot;Top&quot;:0.0,&quot;Left&quot;:0.0}" style="position:absolute;left:0;text-align:left;margin-left:0;margin-top:806.1pt;width:595.3pt;height:20.8pt;z-index:251657728;mso-position-horizontal-relative:page;mso-position-vertical-relative:page;v-text-anchor:bottom" o:allowincell="f" filled="f" stroked="f">
          <v:textbox inset="20pt,0,,0">
            <w:txbxContent>
              <w:p w14:paraId="146A0BBB" w14:textId="77777777" w:rsidR="00BB05DF" w:rsidRPr="00BB05DF" w:rsidRDefault="00BB05DF" w:rsidP="00BB05DF">
                <w:pPr>
                  <w:jc w:val="left"/>
                  <w:rPr>
                    <w:rFonts w:ascii="Rockwell" w:hAnsi="Rockwell"/>
                    <w:color w:val="0078D7"/>
                    <w:sz w:val="18"/>
                  </w:rPr>
                </w:pPr>
                <w:r w:rsidRPr="00BB05DF">
                  <w:rPr>
                    <w:rFonts w:ascii="Rockwell" w:hAnsi="Rockwell"/>
                    <w:color w:val="0078D7"/>
                    <w:sz w:val="18"/>
                  </w:rPr>
                  <w:t>Information Classification: General</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2DDDBB" w14:textId="77777777" w:rsidR="00C81CA2" w:rsidRDefault="00C81CA2" w:rsidP="00BB05DF">
      <w:r>
        <w:separator/>
      </w:r>
    </w:p>
  </w:footnote>
  <w:footnote w:type="continuationSeparator" w:id="0">
    <w:p w14:paraId="52AA132A" w14:textId="77777777" w:rsidR="00C81CA2" w:rsidRDefault="00C81CA2" w:rsidP="00BB05D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bordersDoNotSurroundHeader/>
  <w:bordersDoNotSurroundFooter/>
  <w:doNotTrackMoves/>
  <w:doNotTrackFormatting/>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ZGJmYTIxNGQ3MTY3NmQxZWUxZTQ3OWJmOTQ2MTA3YTcifQ=="/>
  </w:docVars>
  <w:rsids>
    <w:rsidRoot w:val="00BB05DF"/>
    <w:rsid w:val="00004ADA"/>
    <w:rsid w:val="000054AC"/>
    <w:rsid w:val="0001032B"/>
    <w:rsid w:val="00013111"/>
    <w:rsid w:val="0005482E"/>
    <w:rsid w:val="00064157"/>
    <w:rsid w:val="0006641D"/>
    <w:rsid w:val="00086101"/>
    <w:rsid w:val="00091010"/>
    <w:rsid w:val="00137D96"/>
    <w:rsid w:val="001B23A7"/>
    <w:rsid w:val="001D35DA"/>
    <w:rsid w:val="001E03D4"/>
    <w:rsid w:val="001E6AAE"/>
    <w:rsid w:val="00261E38"/>
    <w:rsid w:val="00263317"/>
    <w:rsid w:val="00296FAD"/>
    <w:rsid w:val="002C073F"/>
    <w:rsid w:val="002C27D9"/>
    <w:rsid w:val="002C76E7"/>
    <w:rsid w:val="002E2EC1"/>
    <w:rsid w:val="002F1495"/>
    <w:rsid w:val="003025AA"/>
    <w:rsid w:val="00303C78"/>
    <w:rsid w:val="00343014"/>
    <w:rsid w:val="00367375"/>
    <w:rsid w:val="00387867"/>
    <w:rsid w:val="003A301A"/>
    <w:rsid w:val="003A5738"/>
    <w:rsid w:val="003B7169"/>
    <w:rsid w:val="003E038C"/>
    <w:rsid w:val="003E6B94"/>
    <w:rsid w:val="003E6FC6"/>
    <w:rsid w:val="0040292C"/>
    <w:rsid w:val="00437136"/>
    <w:rsid w:val="00497CE1"/>
    <w:rsid w:val="004D2B5E"/>
    <w:rsid w:val="004F49B2"/>
    <w:rsid w:val="004F6CB6"/>
    <w:rsid w:val="00513BBA"/>
    <w:rsid w:val="00546AD5"/>
    <w:rsid w:val="005539C4"/>
    <w:rsid w:val="005669AD"/>
    <w:rsid w:val="00573B50"/>
    <w:rsid w:val="00574090"/>
    <w:rsid w:val="00582A19"/>
    <w:rsid w:val="005938E3"/>
    <w:rsid w:val="005B4A69"/>
    <w:rsid w:val="005E0C91"/>
    <w:rsid w:val="005E4E96"/>
    <w:rsid w:val="005E5F5C"/>
    <w:rsid w:val="005E5F8F"/>
    <w:rsid w:val="005F0789"/>
    <w:rsid w:val="00673D18"/>
    <w:rsid w:val="00675FF4"/>
    <w:rsid w:val="006A07CD"/>
    <w:rsid w:val="006C5AC4"/>
    <w:rsid w:val="0073572B"/>
    <w:rsid w:val="007A0998"/>
    <w:rsid w:val="007A7FD6"/>
    <w:rsid w:val="007C1402"/>
    <w:rsid w:val="008041C2"/>
    <w:rsid w:val="00806361"/>
    <w:rsid w:val="00814D40"/>
    <w:rsid w:val="00866EB1"/>
    <w:rsid w:val="008D2369"/>
    <w:rsid w:val="008E4760"/>
    <w:rsid w:val="008E7C8A"/>
    <w:rsid w:val="009030CA"/>
    <w:rsid w:val="00927076"/>
    <w:rsid w:val="00995AC4"/>
    <w:rsid w:val="009B5C94"/>
    <w:rsid w:val="009D26BC"/>
    <w:rsid w:val="00A07513"/>
    <w:rsid w:val="00A14031"/>
    <w:rsid w:val="00A337B5"/>
    <w:rsid w:val="00A93071"/>
    <w:rsid w:val="00AC4290"/>
    <w:rsid w:val="00AE1310"/>
    <w:rsid w:val="00AE432B"/>
    <w:rsid w:val="00AE4D21"/>
    <w:rsid w:val="00B665B2"/>
    <w:rsid w:val="00B70A05"/>
    <w:rsid w:val="00B84B53"/>
    <w:rsid w:val="00BB05DF"/>
    <w:rsid w:val="00BB4E6A"/>
    <w:rsid w:val="00BF74D1"/>
    <w:rsid w:val="00C33DF4"/>
    <w:rsid w:val="00C47613"/>
    <w:rsid w:val="00C60F8A"/>
    <w:rsid w:val="00C737EF"/>
    <w:rsid w:val="00C75427"/>
    <w:rsid w:val="00C7564C"/>
    <w:rsid w:val="00C81CA2"/>
    <w:rsid w:val="00CA29AC"/>
    <w:rsid w:val="00CB0983"/>
    <w:rsid w:val="00CC15C8"/>
    <w:rsid w:val="00CD2F9B"/>
    <w:rsid w:val="00D14180"/>
    <w:rsid w:val="00D43A7A"/>
    <w:rsid w:val="00D74AE8"/>
    <w:rsid w:val="00DE380E"/>
    <w:rsid w:val="00E047EE"/>
    <w:rsid w:val="00E203BC"/>
    <w:rsid w:val="00E43D0A"/>
    <w:rsid w:val="00E447CC"/>
    <w:rsid w:val="00E87799"/>
    <w:rsid w:val="00EA0C50"/>
    <w:rsid w:val="00EF468E"/>
    <w:rsid w:val="00F11AB4"/>
    <w:rsid w:val="00F20065"/>
    <w:rsid w:val="00F21BEE"/>
    <w:rsid w:val="00F231B6"/>
    <w:rsid w:val="00F30CB6"/>
    <w:rsid w:val="00F47C48"/>
    <w:rsid w:val="00F537E4"/>
    <w:rsid w:val="00F91663"/>
    <w:rsid w:val="00FA3501"/>
    <w:rsid w:val="00FE7D07"/>
    <w:rsid w:val="00FF7856"/>
    <w:rsid w:val="015A3746"/>
    <w:rsid w:val="04A92F17"/>
    <w:rsid w:val="08F85810"/>
    <w:rsid w:val="09412D13"/>
    <w:rsid w:val="0A6D18E6"/>
    <w:rsid w:val="0B446AEB"/>
    <w:rsid w:val="165215B9"/>
    <w:rsid w:val="16640041"/>
    <w:rsid w:val="186662F2"/>
    <w:rsid w:val="1BC82E31"/>
    <w:rsid w:val="1FA83694"/>
    <w:rsid w:val="1FDE0E64"/>
    <w:rsid w:val="21645399"/>
    <w:rsid w:val="23AE5B30"/>
    <w:rsid w:val="2A1D6A2D"/>
    <w:rsid w:val="2BDF21EC"/>
    <w:rsid w:val="2D4F514F"/>
    <w:rsid w:val="303D3876"/>
    <w:rsid w:val="323C423F"/>
    <w:rsid w:val="353D6807"/>
    <w:rsid w:val="3DCE3E6E"/>
    <w:rsid w:val="402141CB"/>
    <w:rsid w:val="430805CF"/>
    <w:rsid w:val="45AA51C1"/>
    <w:rsid w:val="46274A64"/>
    <w:rsid w:val="48525F9D"/>
    <w:rsid w:val="4ABA5EA6"/>
    <w:rsid w:val="4C0A5D8D"/>
    <w:rsid w:val="4C3B4DC5"/>
    <w:rsid w:val="4DBD2BF7"/>
    <w:rsid w:val="4E6069F2"/>
    <w:rsid w:val="504D156B"/>
    <w:rsid w:val="51E452E7"/>
    <w:rsid w:val="53591FD4"/>
    <w:rsid w:val="55CA71B9"/>
    <w:rsid w:val="5689497F"/>
    <w:rsid w:val="5939268C"/>
    <w:rsid w:val="59FE51CE"/>
    <w:rsid w:val="5A353ECB"/>
    <w:rsid w:val="5AB7379D"/>
    <w:rsid w:val="5F8F74AA"/>
    <w:rsid w:val="60B66E2A"/>
    <w:rsid w:val="61783F6D"/>
    <w:rsid w:val="65B44107"/>
    <w:rsid w:val="67184229"/>
    <w:rsid w:val="68281AB8"/>
    <w:rsid w:val="684D1CB0"/>
    <w:rsid w:val="69625C4C"/>
    <w:rsid w:val="7399049F"/>
    <w:rsid w:val="79924559"/>
    <w:rsid w:val="7D0E6C30"/>
    <w:rsid w:val="7F7D6EC7"/>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7C4AFAD9"/>
  <w15:chartTrackingRefBased/>
  <w15:docId w15:val="{C717B772-4008-4252-93D8-FD82BA059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NZ" w:eastAsia="en-N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jc w:val="both"/>
    </w:pPr>
    <w:rPr>
      <w:rFonts w:ascii="Calibri" w:hAnsi="Calibri"/>
      <w:kern w:val="2"/>
      <w:sz w:val="21"/>
      <w:szCs w:val="24"/>
      <w:lang w:val="en-US" w:eastAsia="zh-CN"/>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rsid w:val="00BB05DF"/>
    <w:rPr>
      <w:sz w:val="16"/>
      <w:szCs w:val="16"/>
    </w:rPr>
  </w:style>
  <w:style w:type="paragraph" w:styleId="CommentText">
    <w:name w:val="annotation text"/>
    <w:basedOn w:val="Normal"/>
    <w:link w:val="CommentTextChar"/>
    <w:rsid w:val="00BB05DF"/>
    <w:rPr>
      <w:sz w:val="20"/>
      <w:szCs w:val="20"/>
    </w:rPr>
  </w:style>
  <w:style w:type="character" w:customStyle="1" w:styleId="CommentTextChar">
    <w:name w:val="Comment Text Char"/>
    <w:link w:val="CommentText"/>
    <w:rsid w:val="00BB05DF"/>
    <w:rPr>
      <w:rFonts w:ascii="Calibri" w:hAnsi="Calibri"/>
      <w:kern w:val="2"/>
      <w:lang w:val="en-US" w:eastAsia="zh-CN"/>
    </w:rPr>
  </w:style>
  <w:style w:type="paragraph" w:styleId="CommentSubject">
    <w:name w:val="annotation subject"/>
    <w:basedOn w:val="CommentText"/>
    <w:next w:val="CommentText"/>
    <w:link w:val="CommentSubjectChar"/>
    <w:rsid w:val="00BB05DF"/>
    <w:rPr>
      <w:b/>
      <w:bCs/>
    </w:rPr>
  </w:style>
  <w:style w:type="character" w:customStyle="1" w:styleId="CommentSubjectChar">
    <w:name w:val="Comment Subject Char"/>
    <w:link w:val="CommentSubject"/>
    <w:rsid w:val="00BB05DF"/>
    <w:rPr>
      <w:rFonts w:ascii="Calibri" w:hAnsi="Calibri"/>
      <w:b/>
      <w:bCs/>
      <w:kern w:val="2"/>
      <w:lang w:val="en-US" w:eastAsia="zh-CN"/>
    </w:rPr>
  </w:style>
  <w:style w:type="paragraph" w:styleId="Header">
    <w:name w:val="header"/>
    <w:basedOn w:val="Normal"/>
    <w:link w:val="HeaderChar"/>
    <w:rsid w:val="00BB05DF"/>
    <w:pPr>
      <w:tabs>
        <w:tab w:val="center" w:pos="4513"/>
        <w:tab w:val="right" w:pos="9026"/>
      </w:tabs>
    </w:pPr>
  </w:style>
  <w:style w:type="character" w:customStyle="1" w:styleId="HeaderChar">
    <w:name w:val="Header Char"/>
    <w:link w:val="Header"/>
    <w:rsid w:val="00BB05DF"/>
    <w:rPr>
      <w:rFonts w:ascii="Calibri" w:hAnsi="Calibri"/>
      <w:kern w:val="2"/>
      <w:sz w:val="21"/>
      <w:szCs w:val="24"/>
      <w:lang w:val="en-US" w:eastAsia="zh-CN"/>
    </w:rPr>
  </w:style>
  <w:style w:type="paragraph" w:styleId="Footer">
    <w:name w:val="footer"/>
    <w:basedOn w:val="Normal"/>
    <w:link w:val="FooterChar"/>
    <w:rsid w:val="00BB05DF"/>
    <w:pPr>
      <w:tabs>
        <w:tab w:val="center" w:pos="4513"/>
        <w:tab w:val="right" w:pos="9026"/>
      </w:tabs>
    </w:pPr>
  </w:style>
  <w:style w:type="character" w:customStyle="1" w:styleId="FooterChar">
    <w:name w:val="Footer Char"/>
    <w:link w:val="Footer"/>
    <w:rsid w:val="00BB05DF"/>
    <w:rPr>
      <w:rFonts w:ascii="Calibri" w:hAnsi="Calibri"/>
      <w:kern w:val="2"/>
      <w:sz w:val="21"/>
      <w:szCs w:val="24"/>
      <w:lang w:val="en-US" w:eastAsia="zh-CN"/>
    </w:rPr>
  </w:style>
  <w:style w:type="paragraph" w:styleId="BalloonText">
    <w:name w:val="Balloon Text"/>
    <w:basedOn w:val="Normal"/>
    <w:link w:val="BalloonTextChar"/>
    <w:rsid w:val="00F21BEE"/>
    <w:rPr>
      <w:sz w:val="18"/>
      <w:szCs w:val="18"/>
    </w:rPr>
  </w:style>
  <w:style w:type="character" w:customStyle="1" w:styleId="BalloonTextChar">
    <w:name w:val="Balloon Text Char"/>
    <w:link w:val="BalloonText"/>
    <w:rsid w:val="00F21BEE"/>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914</Words>
  <Characters>5214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Hardgrave, Melissa</cp:lastModifiedBy>
  <cp:revision>3</cp:revision>
  <dcterms:created xsi:type="dcterms:W3CDTF">2023-03-23T03:01:00Z</dcterms:created>
  <dcterms:modified xsi:type="dcterms:W3CDTF">2023-03-23T03:01:00Z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2052-11.1.0.10009</vt:lpwstr>
  </property>
  <property fmtid="{D5CDD505-2E9C-101B-9397-08002B2CF9AE}" pid="3" name="ICV">
    <vt:lpwstr>C06680A1EF214CFF8464F20CB69DC27B</vt:lpwstr>
  </property>
  <property fmtid="{D5CDD505-2E9C-101B-9397-08002B2CF9AE}" pid="4" name="MSIP_Label_2bbab825-a111-45e4-86a1-18cee0005896_Enabled">
    <vt:lpwstr>true</vt:lpwstr>
  </property>
  <property fmtid="{D5CDD505-2E9C-101B-9397-08002B2CF9AE}" pid="5" name="MSIP_Label_2bbab825-a111-45e4-86a1-18cee0005896_SetDate">
    <vt:lpwstr>2023-03-23T03:01:59Z</vt:lpwstr>
  </property>
  <property fmtid="{D5CDD505-2E9C-101B-9397-08002B2CF9AE}" pid="6" name="MSIP_Label_2bbab825-a111-45e4-86a1-18cee0005896_Method">
    <vt:lpwstr>Standard</vt:lpwstr>
  </property>
  <property fmtid="{D5CDD505-2E9C-101B-9397-08002B2CF9AE}" pid="7" name="MSIP_Label_2bbab825-a111-45e4-86a1-18cee0005896_Name">
    <vt:lpwstr>2bbab825-a111-45e4-86a1-18cee0005896</vt:lpwstr>
  </property>
  <property fmtid="{D5CDD505-2E9C-101B-9397-08002B2CF9AE}" pid="8" name="MSIP_Label_2bbab825-a111-45e4-86a1-18cee0005896_SiteId">
    <vt:lpwstr>2567d566-604c-408a-8a60-55d0dc9d9d6b</vt:lpwstr>
  </property>
  <property fmtid="{D5CDD505-2E9C-101B-9397-08002B2CF9AE}" pid="9" name="MSIP_Label_2bbab825-a111-45e4-86a1-18cee0005896_ActionId">
    <vt:lpwstr>3687a571-9f17-41a8-8484-10ba09e7d778</vt:lpwstr>
  </property>
  <property fmtid="{D5CDD505-2E9C-101B-9397-08002B2CF9AE}" pid="10" name="MSIP_Label_2bbab825-a111-45e4-86a1-18cee0005896_ContentBits">
    <vt:lpwstr>2</vt:lpwstr>
  </property>
</Properties>
</file>